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DA" w:rsidRPr="003C0EBF" w:rsidRDefault="0028449F">
      <w:pPr>
        <w:pStyle w:val="Default"/>
        <w:jc w:val="center"/>
        <w:rPr>
          <w:b/>
          <w:sz w:val="28"/>
          <w:szCs w:val="23"/>
        </w:rPr>
      </w:pPr>
      <w:r w:rsidRPr="003C0EBF">
        <w:rPr>
          <w:rFonts w:hint="eastAsia"/>
          <w:b/>
          <w:sz w:val="28"/>
          <w:szCs w:val="23"/>
        </w:rPr>
        <w:t>中银基金管理有限公司</w:t>
      </w:r>
      <w:r w:rsidRPr="003C0EBF">
        <w:rPr>
          <w:b/>
          <w:sz w:val="28"/>
          <w:szCs w:val="23"/>
        </w:rPr>
        <w:t>关于旗下部分基金增加销售机构的公告</w:t>
      </w:r>
    </w:p>
    <w:p w:rsidR="00971BDA" w:rsidRPr="003C0EBF" w:rsidRDefault="00971BDA">
      <w:pPr>
        <w:pStyle w:val="Default"/>
        <w:spacing w:line="360" w:lineRule="auto"/>
        <w:ind w:firstLineChars="200" w:firstLine="480"/>
        <w:jc w:val="both"/>
        <w:rPr>
          <w:szCs w:val="21"/>
        </w:rPr>
      </w:pPr>
    </w:p>
    <w:p w:rsidR="00971BDA" w:rsidRPr="003C0EBF" w:rsidRDefault="0028449F">
      <w:pPr>
        <w:pStyle w:val="Default"/>
        <w:spacing w:line="360" w:lineRule="auto"/>
        <w:ind w:firstLineChars="200" w:firstLine="480"/>
        <w:jc w:val="both"/>
        <w:rPr>
          <w:b/>
          <w:szCs w:val="21"/>
        </w:rPr>
      </w:pPr>
      <w:r w:rsidRPr="003C0EBF">
        <w:rPr>
          <w:rFonts w:hint="eastAsia"/>
          <w:szCs w:val="21"/>
        </w:rPr>
        <w:t>根据中银基金管理有限公司（以下简称</w:t>
      </w:r>
      <w:r w:rsidRPr="003C0EBF">
        <w:rPr>
          <w:rFonts w:ascii="Times New Roman" w:cs="Times New Roman"/>
          <w:szCs w:val="21"/>
        </w:rPr>
        <w:t>“</w:t>
      </w:r>
      <w:r w:rsidRPr="003C0EBF">
        <w:rPr>
          <w:rFonts w:hint="eastAsia"/>
          <w:szCs w:val="21"/>
        </w:rPr>
        <w:t>本公司</w:t>
      </w:r>
      <w:r w:rsidRPr="003C0EBF">
        <w:rPr>
          <w:rFonts w:ascii="Times New Roman" w:cs="Times New Roman"/>
          <w:szCs w:val="21"/>
        </w:rPr>
        <w:t>”</w:t>
      </w:r>
      <w:r w:rsidRPr="003C0EBF">
        <w:rPr>
          <w:rFonts w:hint="eastAsia"/>
          <w:szCs w:val="21"/>
        </w:rPr>
        <w:t>）与</w:t>
      </w:r>
      <w:r w:rsidRPr="003C0EBF">
        <w:rPr>
          <w:szCs w:val="21"/>
        </w:rPr>
        <w:t>杭州银行股份有限公司</w:t>
      </w:r>
      <w:r w:rsidRPr="003C0EBF">
        <w:rPr>
          <w:rFonts w:hint="eastAsia"/>
          <w:szCs w:val="21"/>
        </w:rPr>
        <w:t>签署的基金销售协议及</w:t>
      </w:r>
      <w:r w:rsidRPr="003C0EBF">
        <w:rPr>
          <w:szCs w:val="21"/>
        </w:rPr>
        <w:t>相关补充协议</w:t>
      </w:r>
      <w:r w:rsidRPr="003C0EBF">
        <w:rPr>
          <w:rFonts w:ascii="等线" w:hAnsi="等线" w:cs="SimSun,Bold" w:hint="eastAsia"/>
          <w:bCs/>
          <w:color w:val="auto"/>
        </w:rPr>
        <w:t>，</w:t>
      </w:r>
      <w:r w:rsidRPr="003C0EBF">
        <w:rPr>
          <w:rFonts w:ascii="等线" w:hAnsi="等线" w:cs="SimSun,Bold"/>
          <w:bCs/>
          <w:color w:val="auto"/>
        </w:rPr>
        <w:t>自</w:t>
      </w:r>
      <w:r w:rsidRPr="003C0EBF">
        <w:rPr>
          <w:rFonts w:ascii="Times New Roman" w:cs="Times New Roman"/>
          <w:szCs w:val="21"/>
        </w:rPr>
        <w:t>2023</w:t>
      </w:r>
      <w:r w:rsidRPr="003C0EBF">
        <w:rPr>
          <w:rFonts w:ascii="Times New Roman" w:cs="Times New Roman"/>
          <w:szCs w:val="21"/>
        </w:rPr>
        <w:t>年</w:t>
      </w:r>
      <w:r w:rsidRPr="003C0EBF">
        <w:rPr>
          <w:rFonts w:ascii="Times New Roman" w:cs="Times New Roman"/>
          <w:szCs w:val="21"/>
        </w:rPr>
        <w:t>7</w:t>
      </w:r>
      <w:r w:rsidRPr="003C0EBF">
        <w:rPr>
          <w:rFonts w:ascii="Times New Roman" w:cs="Times New Roman"/>
          <w:szCs w:val="21"/>
        </w:rPr>
        <w:t>月</w:t>
      </w:r>
      <w:r w:rsidRPr="003C0EBF">
        <w:rPr>
          <w:rFonts w:ascii="Times New Roman" w:cs="Times New Roman"/>
          <w:szCs w:val="21"/>
        </w:rPr>
        <w:t>26</w:t>
      </w:r>
      <w:r w:rsidRPr="003C0EBF">
        <w:rPr>
          <w:rFonts w:ascii="Times New Roman" w:cs="Times New Roman"/>
          <w:szCs w:val="21"/>
        </w:rPr>
        <w:t>日</w:t>
      </w:r>
      <w:r w:rsidRPr="003C0EBF">
        <w:rPr>
          <w:rFonts w:ascii="等线" w:hAnsi="等线" w:cs="SimSun,Bold"/>
          <w:bCs/>
          <w:color w:val="auto"/>
        </w:rPr>
        <w:t>起，</w:t>
      </w:r>
      <w:r w:rsidRPr="003C0EBF">
        <w:rPr>
          <w:rFonts w:ascii="等线" w:hAnsi="等线" w:cs="SimSun,Bold" w:hint="eastAsia"/>
          <w:bCs/>
        </w:rPr>
        <w:t>杭州银行股份有限公司杭</w:t>
      </w:r>
      <w:r w:rsidRPr="003C0EBF">
        <w:rPr>
          <w:rFonts w:ascii="等线" w:hAnsi="等线" w:cs="SimSun,Bold" w:hint="eastAsia"/>
          <w:bCs/>
        </w:rPr>
        <w:t>E</w:t>
      </w:r>
      <w:r w:rsidRPr="003C0EBF">
        <w:rPr>
          <w:rFonts w:ascii="等线" w:hAnsi="等线" w:cs="SimSun,Bold" w:hint="eastAsia"/>
          <w:bCs/>
        </w:rPr>
        <w:t>家同业平台</w:t>
      </w:r>
      <w:r w:rsidRPr="003C0EBF">
        <w:rPr>
          <w:rFonts w:ascii="等线" w:hAnsi="等线" w:cs="SimSun,Bold"/>
          <w:bCs/>
          <w:color w:val="auto"/>
        </w:rPr>
        <w:t>开始</w:t>
      </w:r>
      <w:r w:rsidRPr="003C0EBF">
        <w:rPr>
          <w:rFonts w:ascii="等线" w:hAnsi="等线" w:cs="SimSun,Bold" w:hint="eastAsia"/>
          <w:bCs/>
          <w:color w:val="auto"/>
        </w:rPr>
        <w:t>办理</w:t>
      </w:r>
      <w:r w:rsidRPr="003C0EBF">
        <w:rPr>
          <w:rFonts w:ascii="等线" w:hAnsi="等线" w:cs="SimSun,Bold"/>
          <w:bCs/>
          <w:color w:val="auto"/>
        </w:rPr>
        <w:t>本公司旗下</w:t>
      </w:r>
      <w:r w:rsidRPr="003C0EBF">
        <w:rPr>
          <w:rFonts w:ascii="等线" w:hAnsi="等线" w:cs="SimSun,Bold" w:hint="eastAsia"/>
          <w:bCs/>
          <w:color w:val="auto"/>
        </w:rPr>
        <w:t>部分基金的销售及相关业务</w:t>
      </w:r>
      <w:r w:rsidRPr="003C0EBF">
        <w:rPr>
          <w:rFonts w:ascii="等线" w:hAnsi="等线" w:cs="SimSun,Bold"/>
          <w:bCs/>
          <w:color w:val="auto"/>
        </w:rPr>
        <w:t>。</w:t>
      </w:r>
      <w:r w:rsidRPr="003C0EBF">
        <w:rPr>
          <w:rFonts w:ascii="等线" w:hAnsi="等线" w:cs="SimSun,Bold" w:hint="eastAsia"/>
          <w:bCs/>
          <w:color w:val="auto"/>
        </w:rPr>
        <w:t>具体业务规则、费率优惠活动内容及办理程序</w:t>
      </w:r>
      <w:r w:rsidRPr="003C0EBF">
        <w:rPr>
          <w:rFonts w:ascii="等线" w:hAnsi="等线" w:cs="SimSun,Bold" w:hint="eastAsia"/>
          <w:bCs/>
        </w:rPr>
        <w:t>等相关规则以</w:t>
      </w:r>
      <w:r w:rsidR="003C0EBF" w:rsidRPr="003C0EBF">
        <w:rPr>
          <w:rFonts w:hint="eastAsia"/>
          <w:szCs w:val="21"/>
        </w:rPr>
        <w:t>杭州银行股份有限公司杭E家同业平台</w:t>
      </w:r>
      <w:r w:rsidRPr="003C0EBF">
        <w:rPr>
          <w:rFonts w:ascii="等线" w:hAnsi="等线" w:cs="SimSun,Bold" w:hint="eastAsia"/>
          <w:bCs/>
        </w:rPr>
        <w:t>的规定为准，</w:t>
      </w:r>
      <w:r w:rsidRPr="003C0EBF">
        <w:rPr>
          <w:rFonts w:hint="eastAsia"/>
          <w:szCs w:val="21"/>
        </w:rPr>
        <w:t>现将有关事项公告如下：</w:t>
      </w:r>
    </w:p>
    <w:p w:rsidR="00971BDA" w:rsidRPr="003C0EBF" w:rsidRDefault="0028449F">
      <w:pPr>
        <w:pStyle w:val="Default"/>
        <w:spacing w:line="360" w:lineRule="auto"/>
        <w:ind w:left="482"/>
        <w:rPr>
          <w:b/>
          <w:szCs w:val="21"/>
        </w:rPr>
      </w:pPr>
      <w:r w:rsidRPr="003C0EBF">
        <w:rPr>
          <w:rFonts w:hint="eastAsia"/>
          <w:b/>
          <w:szCs w:val="21"/>
        </w:rPr>
        <w:t>一、适用基金</w:t>
      </w:r>
    </w:p>
    <w:tbl>
      <w:tblPr>
        <w:tblW w:w="5265" w:type="pct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1"/>
        <w:gridCol w:w="6972"/>
        <w:gridCol w:w="725"/>
      </w:tblGrid>
      <w:tr w:rsidR="00971BDA" w:rsidRPr="003C0EBF" w:rsidTr="003C0EBF">
        <w:trPr>
          <w:gridAfter w:val="1"/>
          <w:wAfter w:w="366" w:type="pct"/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BDA" w:rsidRPr="003C0EBF" w:rsidRDefault="0028449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0EBF">
              <w:rPr>
                <w:rFonts w:ascii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BDA" w:rsidRPr="003C0EBF" w:rsidRDefault="0028449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0EBF">
              <w:rPr>
                <w:rFonts w:ascii="宋体" w:hint="eastAsia"/>
                <w:b/>
                <w:bCs/>
                <w:color w:val="000000"/>
                <w:kern w:val="0"/>
                <w:sz w:val="24"/>
                <w:szCs w:val="24"/>
              </w:rPr>
              <w:t>基金全称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009877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中银内核驱动股票型证券投资基金A类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007035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中银中债1-3年期国开行债券指数证券投资基金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006952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中银景元回报混合型证券投资基金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008773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中银景泰回报混合型证券投资基金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010217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中银添禧丰禄稳健养老目标一年持有期混合型基金中基金（FOF）A类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010509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中银彭博政策性银行债券1-5年指数证券投资基金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006243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中银双息回报混合型证券投资基金A类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009411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中银科技创新一年定期开放混合型证券投资基金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163806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中银稳健增利债券型证券投资基金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163809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中银蓝筹精选灵活配置混合型证券投资基金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380010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中银聚享债券型证券投资基金A类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163810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中银价值精选灵活配置混合型证券投资基金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163811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中银稳健双利债券型证券投资基金A类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163816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中银转债增强债券型证券投资基金A类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000372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中银惠利纯债半年定期开放债券型证券投资基金A类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000939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中银研究精选灵活配置混合型证券投资基金A类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002503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中银腾利灵活配置混合型证券投资基金C类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004871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中银金融地产混合型证券投资基金A类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163823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中银稳健策略灵活配置混合型证券投资基金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002056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中银新财富灵活配置混合型证券投资基金C类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002535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中银鑫利灵活配置混合型证券投资基金A类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163825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中银互利半年定期开放债券型证券投资基金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002054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中银新财富灵活配置混合型证券投资基金A类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004881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中银量化价值混合型证券投资基金A类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002462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中银珍利灵活配置混合型证券投资基金C类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002461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中银珍利灵活配置混合型证券投资基金A类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002286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中银美元债债券型证券投资基金（QDII）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006331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中银国有企业债债券型证券投资基金C类</w:t>
            </w:r>
          </w:p>
        </w:tc>
      </w:tr>
      <w:tr w:rsidR="00971BDA" w:rsidRPr="003C0EBF" w:rsidTr="003C0EBF">
        <w:trPr>
          <w:trHeight w:val="288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>
            <w:pPr>
              <w:jc w:val="center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001370</w:t>
            </w:r>
          </w:p>
        </w:tc>
        <w:tc>
          <w:tcPr>
            <w:tcW w:w="3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BDA" w:rsidRPr="003C0EBF" w:rsidRDefault="0028449F" w:rsidP="003C0EBF">
            <w:pPr>
              <w:jc w:val="left"/>
            </w:pPr>
            <w:r w:rsidRPr="003C0EBF">
              <w:rPr>
                <w:rFonts w:ascii="宋体"/>
                <w:color w:val="000000"/>
                <w:position w:val="-1"/>
                <w:sz w:val="24"/>
              </w:rPr>
              <w:t>中银新趋势灵活配置混合型证券投资基金A类</w:t>
            </w:r>
          </w:p>
        </w:tc>
      </w:tr>
    </w:tbl>
    <w:p w:rsidR="00971BDA" w:rsidRPr="003C0EBF" w:rsidRDefault="0028449F">
      <w:pPr>
        <w:pStyle w:val="Default"/>
        <w:spacing w:line="360" w:lineRule="auto"/>
        <w:ind w:firstLineChars="200" w:firstLine="482"/>
        <w:rPr>
          <w:b/>
          <w:szCs w:val="21"/>
        </w:rPr>
      </w:pPr>
      <w:r w:rsidRPr="003C0EBF">
        <w:rPr>
          <w:rFonts w:hint="eastAsia"/>
          <w:b/>
          <w:szCs w:val="21"/>
        </w:rPr>
        <w:t>二、投资者可以通过以下途径咨询有关详情</w:t>
      </w:r>
    </w:p>
    <w:p w:rsidR="00971BDA" w:rsidRPr="003C0EBF" w:rsidRDefault="0028449F">
      <w:pPr>
        <w:spacing w:line="360" w:lineRule="auto"/>
        <w:ind w:firstLine="485"/>
      </w:pP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lastRenderedPageBreak/>
        <w:t>1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、杭州银行股份有限公司</w:t>
      </w:r>
      <w:r w:rsidRPr="003C0EBF">
        <w:rPr>
          <w:rFonts w:ascii="Times New Roman" w:hAnsi="Times New Roman" w:cs="Times New Roman" w:hint="eastAsia"/>
          <w:color w:val="000000"/>
          <w:sz w:val="24"/>
          <w:szCs w:val="21"/>
        </w:rPr>
        <w:t>杭</w:t>
      </w:r>
      <w:r w:rsidRPr="003C0EBF">
        <w:rPr>
          <w:rFonts w:ascii="Times New Roman" w:hAnsi="Times New Roman"/>
          <w:color w:val="000000"/>
          <w:sz w:val="24"/>
          <w:szCs w:val="21"/>
        </w:rPr>
        <w:t>E</w:t>
      </w:r>
      <w:r w:rsidRPr="003C0EBF">
        <w:rPr>
          <w:rFonts w:ascii="Times New Roman" w:hAnsi="Times New Roman" w:cs="Times New Roman" w:hint="eastAsia"/>
          <w:color w:val="000000"/>
          <w:sz w:val="24"/>
          <w:szCs w:val="21"/>
        </w:rPr>
        <w:t>家同业平台</w:t>
      </w:r>
    </w:p>
    <w:p w:rsidR="00971BDA" w:rsidRPr="003C0EBF" w:rsidRDefault="0028449F">
      <w:pPr>
        <w:spacing w:line="360" w:lineRule="auto"/>
        <w:ind w:firstLine="485"/>
      </w:pP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公司网站：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www.hzbank.com.cn</w:t>
      </w:r>
    </w:p>
    <w:p w:rsidR="00971BDA" w:rsidRPr="003C0EBF" w:rsidRDefault="0028449F">
      <w:pPr>
        <w:spacing w:line="360" w:lineRule="auto"/>
        <w:ind w:firstLine="485"/>
      </w:pP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客户服务电话：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95398</w:t>
      </w:r>
    </w:p>
    <w:p w:rsidR="00971BDA" w:rsidRPr="003C0EBF" w:rsidRDefault="0028449F">
      <w:pPr>
        <w:spacing w:line="360" w:lineRule="auto"/>
        <w:ind w:firstLine="485"/>
      </w:pP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2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、中银基金管理有限公司</w:t>
      </w:r>
    </w:p>
    <w:p w:rsidR="00971BDA" w:rsidRPr="003C0EBF" w:rsidRDefault="0028449F">
      <w:pPr>
        <w:spacing w:line="360" w:lineRule="auto"/>
        <w:ind w:firstLine="485"/>
      </w:pP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公司网站：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www.bocim.com</w:t>
      </w:r>
    </w:p>
    <w:p w:rsidR="00971BDA" w:rsidRPr="003C0EBF" w:rsidRDefault="0028449F">
      <w:pPr>
        <w:spacing w:line="360" w:lineRule="auto"/>
        <w:ind w:firstLine="485"/>
      </w:pP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客户服务电话：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400-888-5566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；</w:t>
      </w:r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021-38</w:t>
      </w:r>
      <w:bookmarkStart w:id="0" w:name="_GoBack"/>
      <w:bookmarkEnd w:id="0"/>
      <w:r w:rsidRPr="003C0EBF">
        <w:rPr>
          <w:rFonts w:ascii="Times New Roman" w:hAnsi="Times New Roman" w:cs="Times New Roman"/>
          <w:color w:val="000000"/>
          <w:kern w:val="0"/>
          <w:sz w:val="24"/>
          <w:szCs w:val="21"/>
        </w:rPr>
        <w:t>834788</w:t>
      </w:r>
    </w:p>
    <w:p w:rsidR="00971BDA" w:rsidRPr="003C0EBF" w:rsidRDefault="0028449F">
      <w:pPr>
        <w:pStyle w:val="Default"/>
        <w:spacing w:line="360" w:lineRule="auto"/>
        <w:ind w:firstLineChars="200" w:firstLine="482"/>
        <w:rPr>
          <w:b/>
          <w:szCs w:val="21"/>
        </w:rPr>
      </w:pPr>
      <w:r w:rsidRPr="003C0EBF">
        <w:rPr>
          <w:rFonts w:hint="eastAsia"/>
          <w:b/>
          <w:szCs w:val="21"/>
        </w:rPr>
        <w:t>风险提示：</w:t>
      </w:r>
    </w:p>
    <w:p w:rsidR="00971BDA" w:rsidRPr="003C0EBF" w:rsidRDefault="0028449F">
      <w:pPr>
        <w:pStyle w:val="Default"/>
        <w:spacing w:line="360" w:lineRule="auto"/>
        <w:ind w:firstLineChars="200" w:firstLine="480"/>
        <w:jc w:val="both"/>
        <w:rPr>
          <w:szCs w:val="21"/>
        </w:rPr>
      </w:pPr>
      <w:r w:rsidRPr="003C0EBF">
        <w:rPr>
          <w:rFonts w:hint="eastAsia"/>
          <w:szCs w:val="21"/>
        </w:rPr>
        <w:t>本公司承诺以诚实信用、勤勉尽责的原则管理和运用基金资产，但不保证基金一定盈利，也不保证最低收益。投资有风险，基金管理人管理的其他基金的业绩不构成对本基金业绩表现的保证。基金管理人提醒投资者基金投资的“买者自负”原则，在做出投资决策后，基金运营状况与基金净值变化引致的投资风险，由投资者自行负担。投资者投资基金前应认真阅读基金合同、招募说明书、</w:t>
      </w:r>
      <w:r w:rsidRPr="003C0EBF">
        <w:rPr>
          <w:szCs w:val="21"/>
        </w:rPr>
        <w:t>产品资料</w:t>
      </w:r>
      <w:r w:rsidRPr="003C0EBF">
        <w:rPr>
          <w:rFonts w:hint="eastAsia"/>
          <w:szCs w:val="21"/>
        </w:rPr>
        <w:t>概要等法律文件，了解拟投资基金的风险收益特征，根据自身投资目的、投资期限、投资经验、资产状况等判断基金是否和投资者的风险承受能力相匹配。</w:t>
      </w:r>
    </w:p>
    <w:p w:rsidR="00971BDA" w:rsidRPr="003C0EBF" w:rsidRDefault="0028449F">
      <w:pPr>
        <w:pStyle w:val="Default"/>
        <w:spacing w:line="360" w:lineRule="auto"/>
        <w:ind w:firstLineChars="200" w:firstLine="480"/>
        <w:jc w:val="both"/>
        <w:rPr>
          <w:szCs w:val="21"/>
        </w:rPr>
      </w:pPr>
      <w:r w:rsidRPr="003C0EBF">
        <w:rPr>
          <w:rFonts w:hint="eastAsia"/>
          <w:szCs w:val="21"/>
        </w:rPr>
        <w:t>特此公告。</w:t>
      </w:r>
    </w:p>
    <w:p w:rsidR="00971BDA" w:rsidRPr="003C0EBF" w:rsidRDefault="00971BDA">
      <w:pPr>
        <w:pStyle w:val="Default"/>
        <w:spacing w:line="360" w:lineRule="auto"/>
        <w:ind w:firstLineChars="200" w:firstLine="480"/>
        <w:jc w:val="both"/>
        <w:rPr>
          <w:szCs w:val="21"/>
        </w:rPr>
      </w:pPr>
    </w:p>
    <w:p w:rsidR="00971BDA" w:rsidRPr="003C0EBF" w:rsidRDefault="0028449F">
      <w:pPr>
        <w:pStyle w:val="Default"/>
        <w:spacing w:line="360" w:lineRule="auto"/>
        <w:ind w:firstLineChars="200" w:firstLine="480"/>
        <w:jc w:val="right"/>
        <w:rPr>
          <w:szCs w:val="21"/>
        </w:rPr>
      </w:pPr>
      <w:r w:rsidRPr="003C0EBF">
        <w:rPr>
          <w:rFonts w:hint="eastAsia"/>
          <w:szCs w:val="21"/>
        </w:rPr>
        <w:t>中银基金管理有限公司</w:t>
      </w:r>
    </w:p>
    <w:p w:rsidR="00971BDA" w:rsidRDefault="0028449F">
      <w:pPr>
        <w:spacing w:line="360" w:lineRule="auto"/>
        <w:ind w:firstLineChars="200" w:firstLine="480"/>
        <w:jc w:val="right"/>
        <w:rPr>
          <w:sz w:val="24"/>
        </w:rPr>
      </w:pPr>
      <w:r w:rsidRPr="003C0EBF">
        <w:rPr>
          <w:rFonts w:ascii="Times New Roman" w:hAnsi="Times New Roman" w:cs="Times New Roman"/>
          <w:sz w:val="24"/>
          <w:szCs w:val="21"/>
        </w:rPr>
        <w:t xml:space="preserve">     2023</w:t>
      </w:r>
      <w:r w:rsidRPr="003C0EBF">
        <w:rPr>
          <w:rFonts w:ascii="Times New Roman" w:hAnsi="Times New Roman" w:cs="Times New Roman"/>
          <w:sz w:val="24"/>
          <w:szCs w:val="21"/>
        </w:rPr>
        <w:t>年</w:t>
      </w:r>
      <w:r w:rsidRPr="003C0EBF">
        <w:rPr>
          <w:rFonts w:ascii="Times New Roman" w:hAnsi="Times New Roman" w:cs="Times New Roman"/>
          <w:sz w:val="24"/>
          <w:szCs w:val="21"/>
        </w:rPr>
        <w:t>7</w:t>
      </w:r>
      <w:r w:rsidRPr="003C0EBF">
        <w:rPr>
          <w:rFonts w:ascii="Times New Roman" w:hAnsi="Times New Roman" w:cs="Times New Roman"/>
          <w:sz w:val="24"/>
          <w:szCs w:val="21"/>
        </w:rPr>
        <w:t>月</w:t>
      </w:r>
      <w:r w:rsidRPr="003C0EBF">
        <w:rPr>
          <w:rFonts w:ascii="Times New Roman" w:hAnsi="Times New Roman" w:cs="Times New Roman"/>
          <w:sz w:val="24"/>
          <w:szCs w:val="21"/>
        </w:rPr>
        <w:t>26</w:t>
      </w:r>
      <w:r w:rsidRPr="003C0EBF">
        <w:rPr>
          <w:rFonts w:ascii="Times New Roman" w:hAnsi="Times New Roman" w:cs="Times New Roman"/>
          <w:sz w:val="24"/>
          <w:szCs w:val="21"/>
        </w:rPr>
        <w:t>日</w:t>
      </w:r>
    </w:p>
    <w:sectPr w:rsidR="00971BDA" w:rsidSect="00C56F86">
      <w:pgSz w:w="11906" w:h="16838"/>
      <w:pgMar w:top="1134" w:right="1361" w:bottom="1134" w:left="1361" w:header="624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49F" w:rsidRDefault="0028449F" w:rsidP="003C0EBF">
      <w:r>
        <w:separator/>
      </w:r>
    </w:p>
  </w:endnote>
  <w:endnote w:type="continuationSeparator" w:id="0">
    <w:p w:rsidR="0028449F" w:rsidRDefault="0028449F" w:rsidP="003C0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,Bold">
    <w:altName w:val="Dialog"/>
    <w:charset w:val="86"/>
    <w:family w:val="auto"/>
    <w:pitch w:val="variable"/>
    <w:sig w:usb0="00000001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49F" w:rsidRDefault="0028449F" w:rsidP="003C0EBF">
      <w:r>
        <w:separator/>
      </w:r>
    </w:p>
  </w:footnote>
  <w:footnote w:type="continuationSeparator" w:id="0">
    <w:p w:rsidR="0028449F" w:rsidRDefault="0028449F" w:rsidP="003C0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971BDA"/>
    <w:rsid w:val="0028449F"/>
    <w:rsid w:val="003C0EBF"/>
    <w:rsid w:val="003D5396"/>
    <w:rsid w:val="00971BDA"/>
    <w:rsid w:val="00C5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6F86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rsid w:val="00C56F86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C56F86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C56F86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C56F86"/>
    <w:rPr>
      <w:sz w:val="18"/>
      <w:szCs w:val="18"/>
    </w:rPr>
  </w:style>
  <w:style w:type="paragraph" w:styleId="a4">
    <w:name w:val="footer"/>
    <w:basedOn w:val="a"/>
    <w:rsid w:val="00C56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C56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sid w:val="00C56F86"/>
    <w:rPr>
      <w:color w:val="0563C1"/>
      <w:u w:val="single"/>
    </w:rPr>
  </w:style>
  <w:style w:type="paragraph" w:customStyle="1" w:styleId="Default">
    <w:name w:val="Default"/>
    <w:rsid w:val="00C56F8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List Paragraph"/>
    <w:basedOn w:val="a"/>
    <w:rsid w:val="00C56F86"/>
    <w:pPr>
      <w:widowControl/>
      <w:ind w:firstLine="420"/>
    </w:pPr>
    <w:rPr>
      <w:rFonts w:ascii="等线" w:eastAsia="等线"/>
      <w:kern w:val="0"/>
      <w:szCs w:val="21"/>
    </w:rPr>
  </w:style>
  <w:style w:type="paragraph" w:customStyle="1" w:styleId="10">
    <w:name w:val="修订1"/>
    <w:rsid w:val="00C56F86"/>
    <w:rPr>
      <w:rFonts w:ascii="Calibri" w:hAnsi="Calibri" w:cs="宋体"/>
      <w:kern w:val="2"/>
      <w:sz w:val="21"/>
      <w:szCs w:val="22"/>
    </w:rPr>
  </w:style>
  <w:style w:type="character" w:styleId="a8">
    <w:name w:val="annotation reference"/>
    <w:basedOn w:val="a0"/>
    <w:rsid w:val="00C56F86"/>
    <w:rPr>
      <w:sz w:val="21"/>
      <w:szCs w:val="21"/>
    </w:rPr>
  </w:style>
  <w:style w:type="paragraph" w:styleId="a9">
    <w:name w:val="annotation text"/>
    <w:basedOn w:val="a"/>
    <w:rsid w:val="00C56F86"/>
    <w:pPr>
      <w:jc w:val="left"/>
    </w:pPr>
  </w:style>
  <w:style w:type="paragraph" w:styleId="aa">
    <w:name w:val="annotation subject"/>
    <w:basedOn w:val="a9"/>
    <w:next w:val="a9"/>
    <w:rsid w:val="00C56F86"/>
    <w:rPr>
      <w:b/>
      <w:bCs/>
    </w:rPr>
  </w:style>
  <w:style w:type="paragraph" w:styleId="11">
    <w:name w:val="toc 1"/>
    <w:basedOn w:val="a"/>
    <w:next w:val="a"/>
    <w:autoRedefine/>
    <w:rsid w:val="00C56F86"/>
  </w:style>
  <w:style w:type="paragraph" w:styleId="20">
    <w:name w:val="toc 2"/>
    <w:basedOn w:val="a"/>
    <w:next w:val="a"/>
    <w:autoRedefine/>
    <w:rsid w:val="00C56F86"/>
    <w:pPr>
      <w:ind w:left="420"/>
    </w:pPr>
  </w:style>
  <w:style w:type="paragraph" w:styleId="30">
    <w:name w:val="toc 3"/>
    <w:basedOn w:val="a"/>
    <w:next w:val="a"/>
    <w:autoRedefine/>
    <w:rsid w:val="00C56F86"/>
    <w:pPr>
      <w:ind w:left="840"/>
    </w:pPr>
  </w:style>
  <w:style w:type="paragraph" w:styleId="4">
    <w:name w:val="toc 4"/>
    <w:basedOn w:val="a"/>
    <w:next w:val="a"/>
    <w:autoRedefine/>
    <w:rsid w:val="00C56F86"/>
    <w:pPr>
      <w:ind w:left="1260"/>
    </w:pPr>
  </w:style>
  <w:style w:type="paragraph" w:styleId="5">
    <w:name w:val="toc 5"/>
    <w:basedOn w:val="a"/>
    <w:next w:val="a"/>
    <w:autoRedefine/>
    <w:rsid w:val="00C56F86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4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zhewei</dc:creator>
  <cp:lastModifiedBy>ZHONGM</cp:lastModifiedBy>
  <cp:revision>2</cp:revision>
  <cp:lastPrinted>2022-11-17T07:54:00Z</cp:lastPrinted>
  <dcterms:created xsi:type="dcterms:W3CDTF">2023-07-25T16:01:00Z</dcterms:created>
  <dcterms:modified xsi:type="dcterms:W3CDTF">2023-07-25T16:01:00Z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C70C9A7F3073472EA6B208A8875791BB</vt:lpwstr>
  </property>
</Properties>
</file>