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旗下部分基金2023年第</w:t>
      </w:r>
      <w:r w:rsidR="006C78FF">
        <w:rPr>
          <w:rFonts w:ascii="黑体" w:eastAsia="黑体" w:hAnsi="黑体" w:hint="eastAsia"/>
          <w:bCs/>
          <w:color w:val="1E1E1E"/>
          <w:sz w:val="30"/>
          <w:szCs w:val="30"/>
        </w:rPr>
        <w:t>二</w:t>
      </w:r>
      <w:r>
        <w:rPr>
          <w:rFonts w:ascii="黑体" w:eastAsia="黑体" w:hAnsi="黑体" w:hint="eastAsia"/>
          <w:bCs/>
          <w:color w:val="1E1E1E"/>
          <w:sz w:val="30"/>
          <w:szCs w:val="30"/>
        </w:rPr>
        <w:t>季度报告提示性公告</w:t>
      </w:r>
    </w:p>
    <w:p w:rsidR="003D2DCF" w:rsidRDefault="00127D6E">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D2DCF" w:rsidRDefault="00127D6E">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0" w:type="auto"/>
        <w:tblLayout w:type="fixed"/>
        <w:tblLook w:val="04A0"/>
      </w:tblPr>
      <w:tblGrid>
        <w:gridCol w:w="646"/>
        <w:gridCol w:w="7467"/>
      </w:tblGrid>
      <w:tr w:rsidR="00127D6E" w:rsidRPr="00127D6E" w:rsidTr="00127D6E">
        <w:trPr>
          <w:trHeight w:val="352"/>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序号</w:t>
            </w:r>
          </w:p>
        </w:tc>
        <w:tc>
          <w:tcPr>
            <w:tcW w:w="7467" w:type="dxa"/>
            <w:tcBorders>
              <w:top w:val="single" w:sz="4" w:space="0" w:color="auto"/>
              <w:left w:val="nil"/>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基金名称</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申万菱信安泰鼎利一年定期开放债券型发起式证券投资基金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申万菱信安泰丰利债券型证券投资基金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申万菱信安泰富利三年定期开放债券型证券投资基金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申万菱信安泰广利63个月定期开放债券型证券投资基金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申万菱信安泰惠利纯债债券型证券投资基金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申万菱信安泰瑞利中短债债券型证券投资基金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申万菱信安泰稳利纯债一年定期开放债券型发起式证券投资基金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申万菱信安泰鑫利纯债一年定期开放债券型发起式证券投资基金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申万菱信安鑫回报灵活配置混合型证券投资基金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10</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申万菱信安鑫精选混合型证券投资基金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申万菱信安鑫优选混合型证券投资基金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申万菱信创业板量化精选股票型证券投资基金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申万菱信多策略灵活配置混合型证券投资基金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申万菱信国证2000指数增强型发起式证券投资基金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申万菱信合利纯债债券型证券投资基金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申万菱信恒利三个月定期开放债券型证券投资基金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申万菱信宏量混合型证券投资基金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申万菱信沪深300价值指数证券投资基金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19</w:t>
            </w:r>
          </w:p>
        </w:tc>
        <w:tc>
          <w:tcPr>
            <w:tcW w:w="7467" w:type="dxa"/>
            <w:tcBorders>
              <w:top w:val="nil"/>
              <w:left w:val="nil"/>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 w:val="20"/>
                <w:szCs w:val="20"/>
              </w:rPr>
            </w:pPr>
            <w:r w:rsidRPr="00127D6E">
              <w:rPr>
                <w:rFonts w:ascii="宋体" w:eastAsia="宋体" w:hAnsi="宋体" w:cs="宋体" w:hint="eastAsia"/>
                <w:color w:val="000000"/>
                <w:kern w:val="0"/>
                <w:sz w:val="20"/>
                <w:szCs w:val="20"/>
              </w:rPr>
              <w:t>申万菱信沪深</w:t>
            </w:r>
            <w:r w:rsidRPr="00127D6E">
              <w:rPr>
                <w:rFonts w:ascii="Arial" w:eastAsia="宋体" w:hAnsi="Arial" w:cs="Arial"/>
                <w:color w:val="000000"/>
                <w:kern w:val="0"/>
                <w:sz w:val="20"/>
                <w:szCs w:val="20"/>
              </w:rPr>
              <w:t>300</w:t>
            </w:r>
            <w:r w:rsidRPr="00127D6E">
              <w:rPr>
                <w:rFonts w:ascii="宋体" w:eastAsia="宋体" w:hAnsi="宋体" w:cs="宋体" w:hint="eastAsia"/>
                <w:color w:val="000000"/>
                <w:kern w:val="0"/>
                <w:sz w:val="20"/>
                <w:szCs w:val="20"/>
              </w:rPr>
              <w:t>优选指数增强发起式证券投资基金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20</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申万菱信沪深300指数增强型证券投资基金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申万菱信汇元宝债券型证券投资基金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申万菱信集利三个月定期开放债券型证券投资基金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申万菱信价值精选混合型证券投资基金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申万菱信竞争优势混合型证券投资基金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申万菱信可转换债券债券型证券投资基金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kern w:val="0"/>
                <w:sz w:val="22"/>
              </w:rPr>
            </w:pPr>
            <w:r w:rsidRPr="00127D6E">
              <w:rPr>
                <w:rFonts w:ascii="宋体" w:eastAsia="宋体" w:hAnsi="宋体" w:cs="宋体" w:hint="eastAsia"/>
                <w:kern w:val="0"/>
                <w:sz w:val="22"/>
              </w:rPr>
              <w:t>申万菱信乐成混合型证券投资基金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申万菱信乐道三年持有期混合型证券投资基金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申万菱信乐融一年持有期混合型证券投资基金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29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申万菱信乐同混合型证券投资基金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lastRenderedPageBreak/>
              <w:t>30</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申万菱信乐享混合型证券投资基金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申万菱信量化对冲策略灵活配置混合型发起式证券投资基金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申万菱信量化小盘股票型证券投资基金（LOF）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申万菱信绿色纯债债券型发起式证券投资基金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申万菱信上证50交易型开放式指数发起式证券投资基金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申万菱信上证G60战略新兴产业成份交易型开放式指数证券投资基金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申万菱信深证成份指数型证券投资基金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申万菱信盛利精选证券投资基金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申万菱信收益宝货币市场基金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39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申万菱信双利混合型证券投资基金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40</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申万菱信双禧混合型发起式证券投资基金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申万菱信碳中和智选混合型发起式证券投资基金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申万菱信稳健养老目标一年持有期混合型发起式基金中基金（FOF）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申万菱信稳鑫30天滚动持有短债债券型发起式证券投资基金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申万菱信稳鑫90天滚动持有中短债债券型证券投资基金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申万菱信稳益宝债券型证券投资基金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申万菱信消费增长混合型证券投资基金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申万菱信新动力混合型证券投资基金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申万菱信新经济混合型证券投资基金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49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申万菱信新能源汽车主题灵活配置混合型证券投资基金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50</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申万菱信鑫享稳健混合型发起式证券投资基金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申万菱信行业轮动股票型证券投资基金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申万菱信兴乐优选混合型证券投资基金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申万菱信兴利债券型证券投资基金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申万菱信养老目标日期2040三年持有期混合型发起式基金中基金（FOF）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申万菱信医药先锋股票型证券投资基金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申万菱信智能汽车股票型证券投资基金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申万菱信智能驱动股票型证券投资基金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kern w:val="0"/>
                <w:sz w:val="22"/>
              </w:rPr>
            </w:pPr>
            <w:r w:rsidRPr="00127D6E">
              <w:rPr>
                <w:rFonts w:ascii="宋体" w:eastAsia="宋体" w:hAnsi="宋体" w:cs="宋体" w:hint="eastAsia"/>
                <w:kern w:val="0"/>
                <w:sz w:val="22"/>
              </w:rPr>
              <w:t>申万菱信智能生活量化选股混合型发起式证券投资基金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59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申万菱信中小企业100指数证券投资基金（LOF）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60</w:t>
            </w:r>
          </w:p>
        </w:tc>
        <w:tc>
          <w:tcPr>
            <w:tcW w:w="7467" w:type="dxa"/>
            <w:tcBorders>
              <w:top w:val="nil"/>
              <w:left w:val="nil"/>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 w:val="20"/>
                <w:szCs w:val="20"/>
              </w:rPr>
            </w:pPr>
            <w:r w:rsidRPr="00127D6E">
              <w:rPr>
                <w:rFonts w:ascii="宋体" w:eastAsia="宋体" w:hAnsi="宋体" w:cs="宋体" w:hint="eastAsia"/>
                <w:color w:val="000000"/>
                <w:kern w:val="0"/>
                <w:sz w:val="20"/>
                <w:szCs w:val="20"/>
              </w:rPr>
              <w:t>申万菱信中证</w:t>
            </w:r>
            <w:r w:rsidRPr="00127D6E">
              <w:rPr>
                <w:rFonts w:ascii="Arial" w:eastAsia="宋体" w:hAnsi="Arial" w:cs="Arial"/>
                <w:color w:val="000000"/>
                <w:kern w:val="0"/>
                <w:sz w:val="20"/>
                <w:szCs w:val="20"/>
              </w:rPr>
              <w:t>1000</w:t>
            </w:r>
            <w:r w:rsidRPr="00127D6E">
              <w:rPr>
                <w:rFonts w:ascii="宋体" w:eastAsia="宋体" w:hAnsi="宋体" w:cs="宋体" w:hint="eastAsia"/>
                <w:color w:val="000000"/>
                <w:kern w:val="0"/>
                <w:sz w:val="20"/>
                <w:szCs w:val="20"/>
              </w:rPr>
              <w:t>指数增强型证券投资基金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申万菱信中证500指数优选增强型证券投资基金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申万菱信中证500指数增强型证券投资基金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申万菱信中证环保产业指数型证券投资基金（LOF）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64</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申万菱信中证军工指数型证券投资基金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65</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申万菱信中证内地新能源主题交易型开放式指数证券投资基金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66</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申万菱信中证内地新能源主题交易型开放式指数证券投资基金发起式联接基金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67</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申万菱信中证申万电子行业投资指数型证券投资基金（LOF）</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lastRenderedPageBreak/>
              <w:t>68</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申万菱信中证申万医药生物指数型证券投资基金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69</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申万菱信中证申万证券行业指数型证券投资基金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70</w:t>
            </w:r>
          </w:p>
        </w:tc>
        <w:tc>
          <w:tcPr>
            <w:tcW w:w="7467" w:type="dxa"/>
            <w:tcBorders>
              <w:top w:val="nil"/>
              <w:left w:val="nil"/>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 w:val="20"/>
                <w:szCs w:val="20"/>
              </w:rPr>
            </w:pPr>
            <w:r w:rsidRPr="00127D6E">
              <w:rPr>
                <w:rFonts w:ascii="宋体" w:eastAsia="宋体" w:hAnsi="宋体" w:cs="宋体" w:hint="eastAsia"/>
                <w:color w:val="000000"/>
                <w:kern w:val="0"/>
                <w:sz w:val="20"/>
                <w:szCs w:val="20"/>
              </w:rPr>
              <w:t>申万菱信中证同业存单</w:t>
            </w:r>
            <w:r w:rsidRPr="00127D6E">
              <w:rPr>
                <w:rFonts w:ascii="Arial" w:eastAsia="宋体" w:hAnsi="Arial" w:cs="Arial"/>
                <w:color w:val="000000"/>
                <w:kern w:val="0"/>
                <w:sz w:val="20"/>
                <w:szCs w:val="20"/>
              </w:rPr>
              <w:t>AAA</w:t>
            </w:r>
            <w:r w:rsidRPr="00127D6E">
              <w:rPr>
                <w:rFonts w:ascii="宋体" w:eastAsia="宋体" w:hAnsi="宋体" w:cs="宋体" w:hint="eastAsia"/>
                <w:color w:val="000000"/>
                <w:kern w:val="0"/>
                <w:sz w:val="20"/>
                <w:szCs w:val="20"/>
              </w:rPr>
              <w:t>指数</w:t>
            </w:r>
            <w:r w:rsidRPr="00127D6E">
              <w:rPr>
                <w:rFonts w:ascii="Arial" w:eastAsia="宋体" w:hAnsi="Arial" w:cs="Arial"/>
                <w:color w:val="000000"/>
                <w:kern w:val="0"/>
                <w:sz w:val="20"/>
                <w:szCs w:val="20"/>
              </w:rPr>
              <w:t>7</w:t>
            </w:r>
            <w:r w:rsidRPr="00127D6E">
              <w:rPr>
                <w:rFonts w:ascii="宋体" w:eastAsia="宋体" w:hAnsi="宋体" w:cs="宋体" w:hint="eastAsia"/>
                <w:color w:val="000000"/>
                <w:kern w:val="0"/>
                <w:sz w:val="20"/>
                <w:szCs w:val="20"/>
              </w:rPr>
              <w:t>天持有期证券投资基金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71</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申万菱信中证研发创新100交易型开放式指数证券投资基金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72</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申万菱信中证研发创新100交易型开放式指数证券投资基金联接基金</w:t>
            </w:r>
          </w:p>
        </w:tc>
      </w:tr>
      <w:tr w:rsidR="00127D6E" w:rsidRPr="00127D6E" w:rsidTr="00127D6E">
        <w:trPr>
          <w:trHeight w:val="35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73</w:t>
            </w:r>
          </w:p>
        </w:tc>
        <w:tc>
          <w:tcPr>
            <w:tcW w:w="7467" w:type="dxa"/>
            <w:tcBorders>
              <w:top w:val="nil"/>
              <w:left w:val="nil"/>
              <w:bottom w:val="single" w:sz="4" w:space="0" w:color="auto"/>
              <w:right w:val="single" w:sz="4" w:space="0" w:color="auto"/>
            </w:tcBorders>
            <w:shd w:val="clear" w:color="auto" w:fill="auto"/>
            <w:vAlign w:val="center"/>
            <w:hideMark/>
          </w:tcPr>
          <w:p w:rsidR="00127D6E" w:rsidRPr="00127D6E" w:rsidRDefault="00127D6E" w:rsidP="00127D6E">
            <w:pPr>
              <w:widowControl/>
              <w:jc w:val="center"/>
              <w:rPr>
                <w:rFonts w:ascii="宋体" w:eastAsia="宋体" w:hAnsi="宋体" w:cs="宋体"/>
                <w:color w:val="000000"/>
                <w:kern w:val="0"/>
                <w:szCs w:val="21"/>
              </w:rPr>
            </w:pPr>
            <w:r w:rsidRPr="00127D6E">
              <w:rPr>
                <w:rFonts w:ascii="宋体" w:eastAsia="宋体" w:hAnsi="宋体" w:cs="宋体" w:hint="eastAsia"/>
                <w:color w:val="000000"/>
                <w:kern w:val="0"/>
                <w:szCs w:val="21"/>
              </w:rPr>
              <w:t>申万菱信专精特新主题混合型发起式证券投资基金</w:t>
            </w:r>
          </w:p>
        </w:tc>
      </w:tr>
    </w:tbl>
    <w:p w:rsidR="00127D6E" w:rsidRPr="00127D6E" w:rsidRDefault="00127D6E">
      <w:pPr>
        <w:spacing w:line="500" w:lineRule="exact"/>
        <w:ind w:firstLineChars="200" w:firstLine="480"/>
        <w:rPr>
          <w:rFonts w:ascii="宋体" w:eastAsia="宋体" w:hAnsi="宋体" w:cs="宋体"/>
          <w:color w:val="000000"/>
          <w:kern w:val="0"/>
          <w:sz w:val="24"/>
          <w:szCs w:val="24"/>
        </w:rPr>
      </w:pP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年第二季度报告全文于 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1日在本公司网站（www.swsmu.com）和中国证监会基金电子披露网站（http://eid.csrc.gov.cn/fund）披露，供投资者查阅。如有疑问可拨打本公司客服电话（400-880-8588）咨询。</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D2DCF" w:rsidRDefault="00127D6E">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D2DCF" w:rsidRDefault="00127D6E">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7</w:t>
      </w:r>
      <w:bookmarkStart w:id="0" w:name="_GoBack"/>
      <w:bookmarkEnd w:id="0"/>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21</w:t>
      </w:r>
      <w:r>
        <w:rPr>
          <w:rFonts w:ascii="宋体" w:eastAsia="宋体" w:hAnsi="宋体" w:cs="宋体" w:hint="eastAsia"/>
          <w:color w:val="000000"/>
          <w:kern w:val="0"/>
          <w:sz w:val="24"/>
          <w:szCs w:val="24"/>
        </w:rPr>
        <w:t>日</w:t>
      </w:r>
    </w:p>
    <w:p w:rsidR="003D2DCF" w:rsidRDefault="003D2DCF"/>
    <w:p w:rsidR="003D2DCF" w:rsidRDefault="003D2DCF"/>
    <w:sectPr w:rsidR="003D2DCF" w:rsidSect="00F624C8">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D6FFD"/>
    <w:rsid w:val="00074006"/>
    <w:rsid w:val="00102ABE"/>
    <w:rsid w:val="00127D6E"/>
    <w:rsid w:val="001D6FFD"/>
    <w:rsid w:val="002D4014"/>
    <w:rsid w:val="00347410"/>
    <w:rsid w:val="0035567B"/>
    <w:rsid w:val="003841BB"/>
    <w:rsid w:val="003D2DCF"/>
    <w:rsid w:val="00422FB9"/>
    <w:rsid w:val="004442FB"/>
    <w:rsid w:val="00572756"/>
    <w:rsid w:val="006C78FF"/>
    <w:rsid w:val="007D3305"/>
    <w:rsid w:val="008C62AD"/>
    <w:rsid w:val="008D0210"/>
    <w:rsid w:val="00AA7BD6"/>
    <w:rsid w:val="00B35A1A"/>
    <w:rsid w:val="00B65CC2"/>
    <w:rsid w:val="00E9785D"/>
    <w:rsid w:val="00EF5A63"/>
    <w:rsid w:val="00F01121"/>
    <w:rsid w:val="00F624C8"/>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C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F62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624C8"/>
    <w:rPr>
      <w:rFonts w:ascii="宋体" w:eastAsia="宋体" w:hAnsi="宋体" w:cs="宋体"/>
      <w:kern w:val="0"/>
      <w:sz w:val="24"/>
      <w:szCs w:val="24"/>
    </w:rPr>
  </w:style>
  <w:style w:type="character" w:customStyle="1" w:styleId="font11">
    <w:name w:val="font11"/>
    <w:basedOn w:val="a0"/>
    <w:rsid w:val="00F624C8"/>
    <w:rPr>
      <w:rFonts w:ascii="宋体" w:eastAsia="宋体" w:hAnsi="宋体" w:hint="eastAsia"/>
      <w:color w:val="000000"/>
      <w:sz w:val="21"/>
      <w:szCs w:val="21"/>
      <w:u w:val="none"/>
    </w:rPr>
  </w:style>
  <w:style w:type="character" w:customStyle="1" w:styleId="font01">
    <w:name w:val="font01"/>
    <w:basedOn w:val="a0"/>
    <w:qFormat/>
    <w:rsid w:val="00F624C8"/>
    <w:rPr>
      <w:rFonts w:ascii="Arial" w:hAnsi="Arial" w:cs="Arial" w:hint="default"/>
      <w:color w:val="000000"/>
      <w:sz w:val="20"/>
      <w:szCs w:val="20"/>
      <w:u w:val="none"/>
    </w:rPr>
  </w:style>
  <w:style w:type="character" w:customStyle="1" w:styleId="font21">
    <w:name w:val="font21"/>
    <w:basedOn w:val="a0"/>
    <w:qFormat/>
    <w:rsid w:val="00F624C8"/>
    <w:rPr>
      <w:rFonts w:ascii="宋体" w:eastAsia="宋体" w:hAnsi="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01969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1930</Characters>
  <Application>Microsoft Office Word</Application>
  <DocSecurity>4</DocSecurity>
  <Lines>16</Lines>
  <Paragraphs>4</Paragraphs>
  <ScaleCrop>false</ScaleCrop>
  <Company>Microsoft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2023-07-20T16:04:00Z</dcterms:created>
  <dcterms:modified xsi:type="dcterms:W3CDTF">2023-07-20T16:04:00Z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