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73" w:rsidRDefault="00250173" w:rsidP="00CF475C">
      <w:pPr>
        <w:spacing w:before="39" w:line="388" w:lineRule="auto"/>
        <w:ind w:left="809" w:right="307" w:hanging="603"/>
        <w:jc w:val="center"/>
        <w:rPr>
          <w:b/>
          <w:sz w:val="30"/>
        </w:rPr>
      </w:pPr>
      <w:r w:rsidRPr="00250173">
        <w:rPr>
          <w:b/>
          <w:sz w:val="30"/>
        </w:rPr>
        <w:t>国金基金管理有限公司关于</w:t>
      </w:r>
      <w:r w:rsidR="00CF475C">
        <w:rPr>
          <w:rFonts w:hint="eastAsia"/>
          <w:b/>
          <w:sz w:val="30"/>
        </w:rPr>
        <w:t>旗下基金</w:t>
      </w:r>
      <w:r w:rsidRPr="00250173">
        <w:rPr>
          <w:b/>
          <w:sz w:val="30"/>
        </w:rPr>
        <w:t>在直销柜台开展费率优惠活动的公告</w:t>
      </w:r>
    </w:p>
    <w:p w:rsidR="00FD6881" w:rsidRDefault="0011297E" w:rsidP="00250173">
      <w:pPr>
        <w:pStyle w:val="a3"/>
        <w:spacing w:before="205" w:line="364" w:lineRule="auto"/>
        <w:ind w:left="120" w:right="216" w:firstLine="479"/>
        <w:jc w:val="both"/>
        <w:rPr>
          <w:spacing w:val="-7"/>
        </w:rPr>
      </w:pPr>
      <w:r w:rsidRPr="00464931">
        <w:rPr>
          <w:spacing w:val="-7"/>
        </w:rPr>
        <w:t>为更好地满足广大投资者的理财需求，国金基金管理有限公司</w:t>
      </w:r>
      <w:r w:rsidR="00896076" w:rsidRPr="00464931">
        <w:rPr>
          <w:rFonts w:hint="eastAsia"/>
          <w:spacing w:val="-7"/>
        </w:rPr>
        <w:t>（以下简称“本公司”）</w:t>
      </w:r>
      <w:r w:rsidRPr="00464931">
        <w:rPr>
          <w:spacing w:val="-7"/>
        </w:rPr>
        <w:t>决定</w:t>
      </w:r>
      <w:r w:rsidR="00FD6881">
        <w:t>自2023年7月1</w:t>
      </w:r>
      <w:r w:rsidR="009B6E06">
        <w:rPr>
          <w:rFonts w:hint="eastAsia"/>
        </w:rPr>
        <w:t>4</w:t>
      </w:r>
      <w:r w:rsidR="00FD6881">
        <w:t>日起在直销柜台开展旗下基金申购（</w:t>
      </w:r>
      <w:r w:rsidR="00FD6881">
        <w:rPr>
          <w:rFonts w:hint="eastAsia"/>
        </w:rPr>
        <w:t>含</w:t>
      </w:r>
      <w:r w:rsidR="00FD6881">
        <w:t>转换转入</w:t>
      </w:r>
      <w:r w:rsidR="003938B3">
        <w:rPr>
          <w:rFonts w:hint="eastAsia"/>
        </w:rPr>
        <w:t>，下同</w:t>
      </w:r>
      <w:r w:rsidR="00FD6881">
        <w:t>）</w:t>
      </w:r>
      <w:r w:rsidR="00FD6881">
        <w:rPr>
          <w:rFonts w:hint="eastAsia"/>
        </w:rPr>
        <w:t>、赎回（含转换转出</w:t>
      </w:r>
      <w:r w:rsidR="003938B3">
        <w:rPr>
          <w:rFonts w:hint="eastAsia"/>
        </w:rPr>
        <w:t>，下同</w:t>
      </w:r>
      <w:r w:rsidR="00FD6881">
        <w:rPr>
          <w:rFonts w:hint="eastAsia"/>
        </w:rPr>
        <w:t>）</w:t>
      </w:r>
      <w:r w:rsidR="00FD6881">
        <w:t>费率优惠。现就有关事项公告如下：</w:t>
      </w:r>
    </w:p>
    <w:p w:rsidR="004316A2" w:rsidRPr="00D02341" w:rsidRDefault="004316A2" w:rsidP="004316A2">
      <w:pPr>
        <w:pStyle w:val="a3"/>
        <w:spacing w:before="240" w:line="365" w:lineRule="auto"/>
        <w:ind w:left="607" w:right="964" w:hanging="6"/>
        <w:rPr>
          <w:b/>
          <w:bCs/>
        </w:rPr>
      </w:pPr>
      <w:r w:rsidRPr="00D02341">
        <w:rPr>
          <w:rFonts w:hint="eastAsia"/>
          <w:b/>
          <w:bCs/>
        </w:rPr>
        <w:t>一、</w:t>
      </w:r>
      <w:r w:rsidRPr="00D02341">
        <w:rPr>
          <w:b/>
          <w:bCs/>
        </w:rPr>
        <w:t>优惠活动起止日期</w:t>
      </w:r>
    </w:p>
    <w:p w:rsidR="004316A2" w:rsidRPr="00387B7A" w:rsidRDefault="004316A2" w:rsidP="004316A2">
      <w:pPr>
        <w:pStyle w:val="a3"/>
        <w:spacing w:before="240" w:line="365" w:lineRule="auto"/>
        <w:ind w:left="142" w:right="3" w:firstLine="459"/>
        <w:rPr>
          <w:spacing w:val="-5"/>
        </w:rPr>
      </w:pPr>
      <w:r w:rsidRPr="00D02341">
        <w:rPr>
          <w:spacing w:val="-5"/>
        </w:rPr>
        <w:t>本次优惠活动</w:t>
      </w:r>
      <w:r>
        <w:rPr>
          <w:rFonts w:hint="eastAsia"/>
          <w:spacing w:val="-5"/>
        </w:rPr>
        <w:t>起止日期为：</w:t>
      </w:r>
      <w:r w:rsidRPr="00464931">
        <w:rPr>
          <w:spacing w:val="-5"/>
        </w:rPr>
        <w:t>自2023年</w:t>
      </w:r>
      <w:r w:rsidR="00FD6881">
        <w:rPr>
          <w:spacing w:val="-5"/>
        </w:rPr>
        <w:t>7</w:t>
      </w:r>
      <w:r w:rsidRPr="00464931">
        <w:rPr>
          <w:spacing w:val="-5"/>
        </w:rPr>
        <w:t>月</w:t>
      </w:r>
      <w:r w:rsidR="00FD6881">
        <w:rPr>
          <w:spacing w:val="-5"/>
        </w:rPr>
        <w:t>1</w:t>
      </w:r>
      <w:r w:rsidR="009B6E06">
        <w:rPr>
          <w:rFonts w:hint="eastAsia"/>
          <w:spacing w:val="-5"/>
        </w:rPr>
        <w:t>4</w:t>
      </w:r>
      <w:r w:rsidRPr="00464931">
        <w:rPr>
          <w:spacing w:val="-5"/>
        </w:rPr>
        <w:t>日</w:t>
      </w:r>
      <w:r w:rsidR="00FD6881">
        <w:rPr>
          <w:rFonts w:hint="eastAsia"/>
          <w:spacing w:val="-5"/>
        </w:rPr>
        <w:t>起，截止时间另行公告</w:t>
      </w:r>
      <w:r w:rsidRPr="00464931">
        <w:rPr>
          <w:rFonts w:hint="eastAsia"/>
          <w:spacing w:val="-5"/>
        </w:rPr>
        <w:t>。</w:t>
      </w:r>
    </w:p>
    <w:p w:rsidR="00FD6881" w:rsidRDefault="00FD6881" w:rsidP="004316A2">
      <w:pPr>
        <w:pStyle w:val="a3"/>
        <w:spacing w:before="240" w:line="365" w:lineRule="auto"/>
        <w:ind w:left="607" w:right="964" w:hanging="6"/>
        <w:rPr>
          <w:b/>
          <w:bCs/>
        </w:rPr>
      </w:pPr>
      <w:r>
        <w:rPr>
          <w:rFonts w:hint="eastAsia"/>
          <w:b/>
          <w:bCs/>
        </w:rPr>
        <w:t>二、适用基金</w:t>
      </w:r>
    </w:p>
    <w:p w:rsidR="00FD6881" w:rsidRDefault="00FD6881" w:rsidP="00FD6881">
      <w:pPr>
        <w:pStyle w:val="a3"/>
        <w:spacing w:before="240" w:line="365" w:lineRule="auto"/>
        <w:ind w:right="3" w:firstLine="601"/>
        <w:rPr>
          <w:b/>
          <w:bCs/>
        </w:rPr>
      </w:pPr>
      <w:r>
        <w:t>国金鑫瑞灵活配置混合型证券投资基金、国金鑫新灵活配置混合</w:t>
      </w:r>
      <w:r>
        <w:rPr>
          <w:rFonts w:hint="eastAsia"/>
        </w:rPr>
        <w:t>型</w:t>
      </w:r>
      <w:r>
        <w:t>证券投资基金（LOF）。</w:t>
      </w:r>
    </w:p>
    <w:p w:rsidR="004316A2" w:rsidRPr="00D02341" w:rsidRDefault="00FD6881" w:rsidP="004316A2">
      <w:pPr>
        <w:pStyle w:val="a3"/>
        <w:spacing w:before="240" w:line="365" w:lineRule="auto"/>
        <w:ind w:left="607" w:right="964" w:hanging="6"/>
        <w:rPr>
          <w:b/>
          <w:bCs/>
        </w:rPr>
      </w:pPr>
      <w:r>
        <w:rPr>
          <w:rFonts w:hint="eastAsia"/>
          <w:b/>
          <w:bCs/>
        </w:rPr>
        <w:t>三</w:t>
      </w:r>
      <w:r w:rsidR="004316A2" w:rsidRPr="00D02341">
        <w:rPr>
          <w:b/>
          <w:bCs/>
        </w:rPr>
        <w:t xml:space="preserve">、适用范围 </w:t>
      </w:r>
    </w:p>
    <w:p w:rsidR="004316A2" w:rsidRPr="00F908AD" w:rsidRDefault="00FD6881" w:rsidP="004316A2">
      <w:pPr>
        <w:pStyle w:val="a3"/>
        <w:spacing w:before="240" w:line="365" w:lineRule="auto"/>
        <w:ind w:left="142" w:right="3" w:firstLine="459"/>
        <w:rPr>
          <w:spacing w:val="-5"/>
        </w:rPr>
      </w:pPr>
      <w:r>
        <w:t>通过本公司直销柜台申购</w:t>
      </w:r>
      <w:r w:rsidR="003938B3">
        <w:rPr>
          <w:rFonts w:hint="eastAsia"/>
        </w:rPr>
        <w:t>、赎回</w:t>
      </w:r>
      <w:r w:rsidR="00F20824">
        <w:rPr>
          <w:rFonts w:hint="eastAsia"/>
        </w:rPr>
        <w:t>上述</w:t>
      </w:r>
      <w:r>
        <w:t>基金的投资者。</w:t>
      </w:r>
    </w:p>
    <w:p w:rsidR="00A571C0" w:rsidRPr="00464931" w:rsidRDefault="00FD6881" w:rsidP="000E0F00">
      <w:pPr>
        <w:pStyle w:val="a3"/>
        <w:spacing w:before="240" w:line="365" w:lineRule="auto"/>
        <w:ind w:left="607" w:right="964" w:hanging="6"/>
        <w:rPr>
          <w:b/>
          <w:bCs/>
        </w:rPr>
      </w:pPr>
      <w:r>
        <w:rPr>
          <w:rFonts w:hint="eastAsia"/>
          <w:b/>
          <w:bCs/>
        </w:rPr>
        <w:t>四</w:t>
      </w:r>
      <w:r w:rsidR="0011297E" w:rsidRPr="00464931">
        <w:rPr>
          <w:b/>
          <w:bCs/>
        </w:rPr>
        <w:t>、优惠活动内容</w:t>
      </w:r>
    </w:p>
    <w:p w:rsidR="00F24EDC" w:rsidRDefault="00456870" w:rsidP="00456870">
      <w:pPr>
        <w:pStyle w:val="a3"/>
        <w:spacing w:before="161" w:line="364" w:lineRule="auto"/>
        <w:ind w:right="3" w:firstLine="479"/>
      </w:pPr>
      <w:r>
        <w:rPr>
          <w:rFonts w:hint="eastAsia"/>
        </w:rPr>
        <w:t>1、</w:t>
      </w:r>
      <w:r w:rsidR="00504EDF" w:rsidRPr="00464931">
        <w:rPr>
          <w:rFonts w:hint="eastAsia"/>
          <w:spacing w:val="-7"/>
        </w:rPr>
        <w:t>优惠活动期间，投资者</w:t>
      </w:r>
      <w:r>
        <w:t>通过本公司直销柜台申购</w:t>
      </w:r>
      <w:r w:rsidR="00F24EDC">
        <w:t>国金鑫瑞灵活配置混合型证券投资基金</w:t>
      </w:r>
      <w:r>
        <w:t>，申购费率</w:t>
      </w:r>
      <w:r w:rsidR="00E903F2">
        <w:rPr>
          <w:rFonts w:hint="eastAsia"/>
        </w:rPr>
        <w:t>（含固定费</w:t>
      </w:r>
      <w:r w:rsidR="00991A79">
        <w:rPr>
          <w:rFonts w:hint="eastAsia"/>
        </w:rPr>
        <w:t>用</w:t>
      </w:r>
      <w:r w:rsidR="00E903F2">
        <w:rPr>
          <w:rFonts w:hint="eastAsia"/>
        </w:rPr>
        <w:t>）</w:t>
      </w:r>
      <w:r>
        <w:t>调整至原费率0.1 折</w:t>
      </w:r>
      <w:r w:rsidR="00E903F2">
        <w:rPr>
          <w:rFonts w:hint="eastAsia"/>
        </w:rPr>
        <w:t>。</w:t>
      </w:r>
    </w:p>
    <w:p w:rsidR="00456870" w:rsidRDefault="00504EDF" w:rsidP="00456870">
      <w:pPr>
        <w:pStyle w:val="a3"/>
        <w:spacing w:before="161" w:line="364" w:lineRule="auto"/>
        <w:ind w:right="3" w:firstLine="479"/>
      </w:pPr>
      <w:r w:rsidRPr="00464931">
        <w:rPr>
          <w:rFonts w:hint="eastAsia"/>
          <w:spacing w:val="-7"/>
        </w:rPr>
        <w:t>优惠活动期间，投资者</w:t>
      </w:r>
      <w:r w:rsidR="00F24EDC">
        <w:t>通过本公司直销柜台申购</w:t>
      </w:r>
      <w:r w:rsidR="00E903F2">
        <w:t>国金鑫新灵活配置混合</w:t>
      </w:r>
      <w:r w:rsidR="00E903F2">
        <w:rPr>
          <w:rFonts w:hint="eastAsia"/>
        </w:rPr>
        <w:t>型</w:t>
      </w:r>
      <w:r w:rsidR="00E903F2">
        <w:t>证券投资基金（LOF）</w:t>
      </w:r>
      <w:r w:rsidR="00F24EDC">
        <w:t>，申购费率</w:t>
      </w:r>
      <w:r w:rsidR="00E903F2">
        <w:rPr>
          <w:rFonts w:hint="eastAsia"/>
        </w:rPr>
        <w:t>（不含固定费</w:t>
      </w:r>
      <w:r w:rsidR="00991A79">
        <w:rPr>
          <w:rFonts w:hint="eastAsia"/>
        </w:rPr>
        <w:t>用</w:t>
      </w:r>
      <w:r w:rsidR="00E903F2">
        <w:rPr>
          <w:rFonts w:hint="eastAsia"/>
        </w:rPr>
        <w:t>）</w:t>
      </w:r>
      <w:r w:rsidR="00F24EDC">
        <w:t>调整至原费率0.1</w:t>
      </w:r>
      <w:r w:rsidR="00E903F2">
        <w:t xml:space="preserve"> </w:t>
      </w:r>
      <w:r w:rsidR="00F24EDC">
        <w:t>折，</w:t>
      </w:r>
      <w:r w:rsidR="00456870">
        <w:t>固定金额费</w:t>
      </w:r>
      <w:r w:rsidR="00991A79">
        <w:rPr>
          <w:rFonts w:hint="eastAsia"/>
        </w:rPr>
        <w:t>用</w:t>
      </w:r>
      <w:r w:rsidR="00456870">
        <w:t>的不变。</w:t>
      </w:r>
    </w:p>
    <w:p w:rsidR="00FB4CD1" w:rsidRDefault="00E903F2" w:rsidP="004316A2">
      <w:pPr>
        <w:pStyle w:val="a3"/>
        <w:spacing w:before="205" w:line="364" w:lineRule="auto"/>
        <w:ind w:left="120" w:right="216" w:firstLine="479"/>
        <w:jc w:val="both"/>
        <w:rPr>
          <w:spacing w:val="-7"/>
        </w:rPr>
      </w:pPr>
      <w:r>
        <w:rPr>
          <w:rFonts w:hint="eastAsia"/>
          <w:spacing w:val="-7"/>
        </w:rPr>
        <w:t>2、</w:t>
      </w:r>
      <w:r w:rsidR="00504EDF" w:rsidRPr="00464931">
        <w:rPr>
          <w:rFonts w:hint="eastAsia"/>
          <w:spacing w:val="-7"/>
        </w:rPr>
        <w:t>优惠活动期间，</w:t>
      </w:r>
      <w:r w:rsidR="00986498" w:rsidRPr="00464931">
        <w:rPr>
          <w:rFonts w:hint="eastAsia"/>
          <w:spacing w:val="-7"/>
        </w:rPr>
        <w:t>投资者通过本公司直销柜台赎回</w:t>
      </w:r>
      <w:r w:rsidR="00F77C13">
        <w:t>国金鑫瑞灵活配置混合型证券投资基金</w:t>
      </w:r>
      <w:r w:rsidR="00986498" w:rsidRPr="00464931">
        <w:rPr>
          <w:rFonts w:hint="eastAsia"/>
          <w:spacing w:val="-7"/>
        </w:rPr>
        <w:t>，仅收取按原费率计算的赎回费用总额中应归入基金资产的部分，其余部分予以免除。</w:t>
      </w:r>
    </w:p>
    <w:p w:rsidR="003B2B6A" w:rsidRPr="00464931" w:rsidRDefault="00F77C13" w:rsidP="004316A2">
      <w:pPr>
        <w:pStyle w:val="a3"/>
        <w:spacing w:before="205" w:line="364" w:lineRule="auto"/>
        <w:ind w:left="120" w:right="216" w:firstLine="479"/>
        <w:jc w:val="both"/>
        <w:rPr>
          <w:spacing w:val="-7"/>
        </w:rPr>
      </w:pPr>
      <w:r>
        <w:rPr>
          <w:rFonts w:hint="eastAsia"/>
          <w:spacing w:val="-7"/>
        </w:rPr>
        <w:t>其中：</w:t>
      </w:r>
      <w:r w:rsidR="003938B3" w:rsidRPr="003938B3">
        <w:rPr>
          <w:rFonts w:hint="eastAsia"/>
          <w:spacing w:val="-7"/>
        </w:rPr>
        <w:t>国金鑫瑞灵活配置混合型证券投资基金</w:t>
      </w:r>
      <w:r w:rsidRPr="00F77C13">
        <w:rPr>
          <w:spacing w:val="-7"/>
        </w:rPr>
        <w:t>A</w:t>
      </w:r>
      <w:r w:rsidR="009D7A72">
        <w:rPr>
          <w:rFonts w:hint="eastAsia"/>
          <w:spacing w:val="-7"/>
        </w:rPr>
        <w:t>类基金份额</w:t>
      </w:r>
      <w:r w:rsidR="003B2B6A" w:rsidRPr="003B2B6A">
        <w:rPr>
          <w:spacing w:val="-7"/>
        </w:rPr>
        <w:t>赎回费率优惠如下：</w:t>
      </w:r>
    </w:p>
    <w:tbl>
      <w:tblPr>
        <w:tblStyle w:val="TableNormal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141"/>
        <w:gridCol w:w="2835"/>
        <w:gridCol w:w="3261"/>
        <w:gridCol w:w="1275"/>
      </w:tblGrid>
      <w:tr w:rsidR="004850A0" w:rsidTr="00107C29">
        <w:trPr>
          <w:trHeight w:val="854"/>
          <w:jc w:val="center"/>
        </w:trPr>
        <w:tc>
          <w:tcPr>
            <w:tcW w:w="1973" w:type="dxa"/>
            <w:vAlign w:val="center"/>
          </w:tcPr>
          <w:p w:rsidR="004850A0" w:rsidRPr="00107C29" w:rsidRDefault="004850A0" w:rsidP="00107C29">
            <w:pPr>
              <w:pStyle w:val="TableParagraph"/>
              <w:spacing w:line="242" w:lineRule="auto"/>
              <w:ind w:left="23" w:right="5"/>
              <w:jc w:val="center"/>
              <w:rPr>
                <w:b/>
                <w:bCs/>
              </w:rPr>
            </w:pPr>
            <w:r w:rsidRPr="00107C29">
              <w:rPr>
                <w:rFonts w:hint="eastAsia"/>
                <w:b/>
                <w:bCs/>
              </w:rPr>
              <w:lastRenderedPageBreak/>
              <w:t>连续</w:t>
            </w:r>
            <w:r w:rsidRPr="00107C29">
              <w:rPr>
                <w:b/>
                <w:bCs/>
              </w:rPr>
              <w:t>持有期（日）</w:t>
            </w:r>
          </w:p>
        </w:tc>
        <w:tc>
          <w:tcPr>
            <w:tcW w:w="1141" w:type="dxa"/>
            <w:vAlign w:val="center"/>
          </w:tcPr>
          <w:p w:rsidR="004850A0" w:rsidRPr="00107C29" w:rsidRDefault="003B2B6A" w:rsidP="00107C29">
            <w:pPr>
              <w:pStyle w:val="TableParagraph"/>
              <w:spacing w:before="155" w:line="242" w:lineRule="auto"/>
              <w:ind w:left="23" w:right="5" w:hanging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优惠前</w:t>
            </w:r>
            <w:r w:rsidR="004850A0" w:rsidRPr="00107C29">
              <w:rPr>
                <w:b/>
                <w:bCs/>
              </w:rPr>
              <w:t>赎回费率</w:t>
            </w:r>
          </w:p>
        </w:tc>
        <w:tc>
          <w:tcPr>
            <w:tcW w:w="2835" w:type="dxa"/>
            <w:vAlign w:val="center"/>
          </w:tcPr>
          <w:p w:rsidR="004850A0" w:rsidRDefault="003B2B6A" w:rsidP="00107C29">
            <w:pPr>
              <w:pStyle w:val="TableParagraph"/>
              <w:spacing w:line="242" w:lineRule="auto"/>
              <w:ind w:left="23" w:right="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优惠前</w:t>
            </w:r>
            <w:r w:rsidR="004850A0" w:rsidRPr="00F908AD">
              <w:rPr>
                <w:b/>
                <w:bCs/>
              </w:rPr>
              <w:t>赎回费计入</w:t>
            </w:r>
          </w:p>
          <w:p w:rsidR="004850A0" w:rsidRPr="00107C29" w:rsidRDefault="004850A0" w:rsidP="00107C29">
            <w:pPr>
              <w:pStyle w:val="TableParagraph"/>
              <w:spacing w:line="242" w:lineRule="auto"/>
              <w:ind w:left="23" w:right="5"/>
              <w:jc w:val="center"/>
              <w:rPr>
                <w:b/>
                <w:bCs/>
              </w:rPr>
            </w:pPr>
            <w:r w:rsidRPr="00F908AD">
              <w:rPr>
                <w:b/>
                <w:bCs/>
              </w:rPr>
              <w:t>基金财产比例</w:t>
            </w:r>
          </w:p>
        </w:tc>
        <w:tc>
          <w:tcPr>
            <w:tcW w:w="3261" w:type="dxa"/>
            <w:vAlign w:val="center"/>
          </w:tcPr>
          <w:p w:rsidR="004850A0" w:rsidRPr="00107C29" w:rsidRDefault="004850A0" w:rsidP="00107C29">
            <w:pPr>
              <w:pStyle w:val="TableParagraph"/>
              <w:spacing w:line="242" w:lineRule="auto"/>
              <w:ind w:left="23" w:right="5"/>
              <w:jc w:val="center"/>
              <w:rPr>
                <w:b/>
                <w:bCs/>
              </w:rPr>
            </w:pPr>
            <w:r w:rsidRPr="00F908AD">
              <w:rPr>
                <w:b/>
                <w:bCs/>
              </w:rPr>
              <w:t>优惠后赎回费率</w:t>
            </w:r>
          </w:p>
        </w:tc>
        <w:tc>
          <w:tcPr>
            <w:tcW w:w="1275" w:type="dxa"/>
            <w:vAlign w:val="center"/>
          </w:tcPr>
          <w:p w:rsidR="004850A0" w:rsidRPr="00107C29" w:rsidRDefault="003B2B6A" w:rsidP="00107C29">
            <w:pPr>
              <w:pStyle w:val="TableParagraph"/>
              <w:spacing w:line="242" w:lineRule="auto"/>
              <w:ind w:left="23" w:right="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优惠后</w:t>
            </w:r>
            <w:r w:rsidR="004850A0" w:rsidRPr="00F908AD">
              <w:rPr>
                <w:b/>
                <w:bCs/>
              </w:rPr>
              <w:t>赎回费</w:t>
            </w:r>
            <w:r>
              <w:rPr>
                <w:rFonts w:hint="eastAsia"/>
                <w:b/>
                <w:bCs/>
              </w:rPr>
              <w:t>计</w:t>
            </w:r>
            <w:r w:rsidR="004850A0" w:rsidRPr="00F908AD">
              <w:rPr>
                <w:b/>
                <w:bCs/>
              </w:rPr>
              <w:t>入基金资产比例</w:t>
            </w:r>
          </w:p>
        </w:tc>
      </w:tr>
      <w:tr w:rsidR="004850A0" w:rsidTr="008F28BD">
        <w:trPr>
          <w:trHeight w:val="397"/>
          <w:jc w:val="center"/>
        </w:trPr>
        <w:tc>
          <w:tcPr>
            <w:tcW w:w="1973" w:type="dxa"/>
            <w:vAlign w:val="center"/>
          </w:tcPr>
          <w:p w:rsidR="004850A0" w:rsidRDefault="004850A0" w:rsidP="008F28BD">
            <w:pPr>
              <w:pStyle w:val="TableParagraph"/>
              <w:spacing w:line="291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8868D6">
              <w:rPr>
                <w:rFonts w:hint="eastAsia"/>
                <w:sz w:val="24"/>
              </w:rPr>
              <w:t>天</w:t>
            </w:r>
            <w:r>
              <w:rPr>
                <w:sz w:val="24"/>
              </w:rPr>
              <w:t>≤N≤7 天</w:t>
            </w:r>
          </w:p>
        </w:tc>
        <w:tc>
          <w:tcPr>
            <w:tcW w:w="1141" w:type="dxa"/>
            <w:vAlign w:val="center"/>
          </w:tcPr>
          <w:p w:rsidR="004850A0" w:rsidRDefault="004850A0" w:rsidP="001C3290">
            <w:pPr>
              <w:pStyle w:val="TableParagraph"/>
              <w:spacing w:line="291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1.50%</w:t>
            </w:r>
          </w:p>
        </w:tc>
        <w:tc>
          <w:tcPr>
            <w:tcW w:w="2835" w:type="dxa"/>
            <w:vAlign w:val="center"/>
          </w:tcPr>
          <w:p w:rsidR="004850A0" w:rsidRDefault="004850A0" w:rsidP="001C3290">
            <w:pPr>
              <w:pStyle w:val="TableParagraph"/>
              <w:spacing w:line="291" w:lineRule="exact"/>
              <w:ind w:right="365"/>
              <w:jc w:val="center"/>
              <w:rPr>
                <w:sz w:val="24"/>
              </w:rPr>
            </w:pPr>
            <w:r w:rsidRPr="005C062B">
              <w:rPr>
                <w:sz w:val="24"/>
              </w:rPr>
              <w:t>100%</w:t>
            </w:r>
          </w:p>
        </w:tc>
        <w:tc>
          <w:tcPr>
            <w:tcW w:w="3261" w:type="dxa"/>
            <w:vAlign w:val="center"/>
          </w:tcPr>
          <w:p w:rsidR="004850A0" w:rsidRDefault="004850A0" w:rsidP="004850A0">
            <w:pPr>
              <w:pStyle w:val="TableParagraph"/>
              <w:spacing w:line="29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1.50%</w:t>
            </w:r>
          </w:p>
        </w:tc>
        <w:tc>
          <w:tcPr>
            <w:tcW w:w="1275" w:type="dxa"/>
            <w:vAlign w:val="center"/>
          </w:tcPr>
          <w:p w:rsidR="004850A0" w:rsidRDefault="004850A0" w:rsidP="008F28BD">
            <w:pPr>
              <w:pStyle w:val="TableParagraph"/>
              <w:spacing w:line="291" w:lineRule="exact"/>
              <w:jc w:val="center"/>
              <w:rPr>
                <w:sz w:val="24"/>
              </w:rPr>
            </w:pPr>
            <w:r w:rsidRPr="005C062B">
              <w:rPr>
                <w:sz w:val="24"/>
              </w:rPr>
              <w:t>100%</w:t>
            </w:r>
          </w:p>
        </w:tc>
      </w:tr>
      <w:tr w:rsidR="00BF04F2" w:rsidTr="008F28BD">
        <w:trPr>
          <w:trHeight w:val="397"/>
          <w:jc w:val="center"/>
        </w:trPr>
        <w:tc>
          <w:tcPr>
            <w:tcW w:w="1973" w:type="dxa"/>
            <w:vMerge w:val="restart"/>
            <w:vAlign w:val="center"/>
          </w:tcPr>
          <w:p w:rsidR="00BF04F2" w:rsidRDefault="00BF04F2" w:rsidP="008F28BD">
            <w:pPr>
              <w:pStyle w:val="TableParagraph"/>
              <w:spacing w:before="2" w:line="292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1"/>
                <w:sz w:val="24"/>
              </w:rPr>
              <w:t>天</w:t>
            </w:r>
            <w:r>
              <w:rPr>
                <w:sz w:val="24"/>
              </w:rPr>
              <w:t>≤N≤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pacing w:val="-30"/>
                <w:sz w:val="24"/>
              </w:rPr>
              <w:t xml:space="preserve"> 天</w:t>
            </w:r>
          </w:p>
        </w:tc>
        <w:tc>
          <w:tcPr>
            <w:tcW w:w="1141" w:type="dxa"/>
            <w:vMerge w:val="restart"/>
            <w:vAlign w:val="center"/>
          </w:tcPr>
          <w:p w:rsidR="00BF04F2" w:rsidRDefault="00BF04F2" w:rsidP="001C3290">
            <w:pPr>
              <w:pStyle w:val="TableParagraph"/>
              <w:spacing w:before="2" w:line="292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0.75%</w:t>
            </w:r>
          </w:p>
        </w:tc>
        <w:tc>
          <w:tcPr>
            <w:tcW w:w="2835" w:type="dxa"/>
            <w:vAlign w:val="center"/>
          </w:tcPr>
          <w:p w:rsidR="00BF04F2" w:rsidRDefault="00BF04F2" w:rsidP="001C3290">
            <w:pPr>
              <w:pStyle w:val="TableParagraph"/>
              <w:spacing w:before="2" w:line="292" w:lineRule="exact"/>
              <w:ind w:right="365"/>
              <w:jc w:val="center"/>
              <w:rPr>
                <w:rStyle w:val="a7"/>
              </w:rPr>
            </w:pPr>
            <w:r>
              <w:rPr>
                <w:sz w:val="24"/>
              </w:rPr>
              <w:t>8</w:t>
            </w:r>
            <w:r>
              <w:rPr>
                <w:spacing w:val="-31"/>
                <w:sz w:val="24"/>
              </w:rPr>
              <w:t>天</w:t>
            </w:r>
            <w:r>
              <w:rPr>
                <w:sz w:val="24"/>
              </w:rPr>
              <w:t>≤N</w:t>
            </w:r>
            <w:r w:rsidRPr="00B92DFD">
              <w:rPr>
                <w:rFonts w:hint="eastAsia"/>
                <w:sz w:val="24"/>
              </w:rPr>
              <w:t>＜</w:t>
            </w:r>
            <w:r w:rsidRPr="00B92DFD"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天：</w:t>
            </w:r>
            <w:r w:rsidRPr="005C062B">
              <w:rPr>
                <w:sz w:val="24"/>
              </w:rPr>
              <w:t>100%</w:t>
            </w:r>
          </w:p>
          <w:p w:rsidR="00BF04F2" w:rsidRDefault="00BF04F2" w:rsidP="001C3290">
            <w:pPr>
              <w:pStyle w:val="TableParagraph"/>
              <w:spacing w:before="2" w:line="292" w:lineRule="exact"/>
              <w:ind w:right="365"/>
              <w:jc w:val="center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BF04F2" w:rsidRDefault="00BF04F2" w:rsidP="004850A0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1"/>
                <w:sz w:val="24"/>
              </w:rPr>
              <w:t>天</w:t>
            </w:r>
            <w:r>
              <w:rPr>
                <w:sz w:val="24"/>
              </w:rPr>
              <w:t>≤N</w:t>
            </w:r>
            <w:r w:rsidRPr="00B92DFD">
              <w:rPr>
                <w:rFonts w:hint="eastAsia"/>
                <w:sz w:val="24"/>
              </w:rPr>
              <w:t>＜</w:t>
            </w:r>
            <w:r w:rsidRPr="00B92DFD"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天：</w:t>
            </w:r>
            <w:r>
              <w:rPr>
                <w:sz w:val="24"/>
              </w:rPr>
              <w:t>0.75%</w:t>
            </w:r>
          </w:p>
          <w:p w:rsidR="00BF04F2" w:rsidRDefault="00BF04F2" w:rsidP="004850A0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F04F2" w:rsidRDefault="00BF04F2" w:rsidP="008F28BD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  <w:r w:rsidRPr="005C062B">
              <w:rPr>
                <w:sz w:val="24"/>
              </w:rPr>
              <w:t>100%</w:t>
            </w:r>
          </w:p>
        </w:tc>
      </w:tr>
      <w:tr w:rsidR="00BF04F2" w:rsidTr="008F28BD">
        <w:trPr>
          <w:trHeight w:val="397"/>
          <w:jc w:val="center"/>
        </w:trPr>
        <w:tc>
          <w:tcPr>
            <w:tcW w:w="1973" w:type="dxa"/>
            <w:vMerge/>
            <w:vAlign w:val="center"/>
          </w:tcPr>
          <w:p w:rsidR="00BF04F2" w:rsidRDefault="00BF04F2" w:rsidP="008F28BD">
            <w:pPr>
              <w:pStyle w:val="TableParagraph"/>
              <w:spacing w:before="2" w:line="292" w:lineRule="exact"/>
              <w:ind w:left="47"/>
              <w:jc w:val="center"/>
              <w:rPr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BF04F2" w:rsidRDefault="00BF04F2" w:rsidP="001C3290">
            <w:pPr>
              <w:pStyle w:val="TableParagraph"/>
              <w:spacing w:before="2" w:line="292" w:lineRule="exact"/>
              <w:ind w:left="100" w:right="90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BF04F2" w:rsidRDefault="00BF04F2" w:rsidP="001C3290">
            <w:pPr>
              <w:pStyle w:val="TableParagraph"/>
              <w:spacing w:before="2" w:line="292" w:lineRule="exact"/>
              <w:ind w:right="3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N=30天：75%</w:t>
            </w:r>
          </w:p>
        </w:tc>
        <w:tc>
          <w:tcPr>
            <w:tcW w:w="3261" w:type="dxa"/>
            <w:vAlign w:val="center"/>
          </w:tcPr>
          <w:p w:rsidR="00BF04F2" w:rsidRDefault="00BF04F2" w:rsidP="004850A0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N=30天：0.5625%</w:t>
            </w:r>
          </w:p>
        </w:tc>
        <w:tc>
          <w:tcPr>
            <w:tcW w:w="1275" w:type="dxa"/>
            <w:vMerge/>
            <w:vAlign w:val="center"/>
          </w:tcPr>
          <w:p w:rsidR="00BF04F2" w:rsidRPr="005C062B" w:rsidRDefault="00BF04F2" w:rsidP="008F28BD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</w:p>
        </w:tc>
      </w:tr>
      <w:tr w:rsidR="004850A0" w:rsidTr="008F28BD">
        <w:trPr>
          <w:trHeight w:val="397"/>
          <w:jc w:val="center"/>
        </w:trPr>
        <w:tc>
          <w:tcPr>
            <w:tcW w:w="1973" w:type="dxa"/>
            <w:vMerge w:val="restart"/>
            <w:vAlign w:val="center"/>
          </w:tcPr>
          <w:p w:rsidR="004850A0" w:rsidRDefault="004850A0" w:rsidP="008F28BD">
            <w:pPr>
              <w:pStyle w:val="TableParagraph"/>
              <w:spacing w:line="289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172C">
              <w:rPr>
                <w:rFonts w:hint="eastAsia"/>
                <w:sz w:val="24"/>
              </w:rPr>
              <w:t>1</w:t>
            </w:r>
            <w:r>
              <w:rPr>
                <w:spacing w:val="-31"/>
                <w:sz w:val="24"/>
              </w:rPr>
              <w:t xml:space="preserve"> 天</w:t>
            </w:r>
            <w:r>
              <w:rPr>
                <w:sz w:val="24"/>
              </w:rPr>
              <w:t>≤N</w:t>
            </w:r>
            <w:r w:rsidR="00903F1A">
              <w:rPr>
                <w:sz w:val="24"/>
              </w:rPr>
              <w:t>≤</w:t>
            </w:r>
            <w:r>
              <w:rPr>
                <w:sz w:val="24"/>
              </w:rPr>
              <w:t>365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1141" w:type="dxa"/>
            <w:vMerge w:val="restart"/>
            <w:vAlign w:val="center"/>
          </w:tcPr>
          <w:p w:rsidR="004850A0" w:rsidRDefault="004850A0" w:rsidP="004850A0">
            <w:pPr>
              <w:pStyle w:val="TableParagraph"/>
              <w:spacing w:line="289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0.50%</w:t>
            </w:r>
          </w:p>
        </w:tc>
        <w:tc>
          <w:tcPr>
            <w:tcW w:w="2835" w:type="dxa"/>
            <w:vAlign w:val="center"/>
          </w:tcPr>
          <w:p w:rsidR="004850A0" w:rsidRPr="00920AF8" w:rsidRDefault="004850A0" w:rsidP="0070460F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 w:rsidRPr="00920AF8">
              <w:rPr>
                <w:sz w:val="24"/>
              </w:rPr>
              <w:t>3</w:t>
            </w:r>
            <w:r w:rsidR="0003172C">
              <w:rPr>
                <w:rFonts w:hint="eastAsia"/>
                <w:sz w:val="24"/>
              </w:rPr>
              <w:t>1</w:t>
            </w:r>
            <w:r w:rsidRPr="00920AF8">
              <w:rPr>
                <w:sz w:val="24"/>
              </w:rPr>
              <w:t xml:space="preserve"> 天≤N＜90 天</w:t>
            </w:r>
            <w:r w:rsidR="0070460F">
              <w:rPr>
                <w:rFonts w:hint="eastAsia"/>
                <w:sz w:val="24"/>
              </w:rPr>
              <w:t>：</w:t>
            </w:r>
            <w:r w:rsidRPr="00AB46A5">
              <w:rPr>
                <w:sz w:val="24"/>
              </w:rPr>
              <w:t>75%</w:t>
            </w:r>
          </w:p>
        </w:tc>
        <w:tc>
          <w:tcPr>
            <w:tcW w:w="3261" w:type="dxa"/>
            <w:vAlign w:val="center"/>
          </w:tcPr>
          <w:p w:rsidR="004850A0" w:rsidRPr="00920AF8" w:rsidRDefault="004850A0" w:rsidP="0070460F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 w:rsidRPr="00920AF8">
              <w:rPr>
                <w:sz w:val="24"/>
              </w:rPr>
              <w:t>3</w:t>
            </w:r>
            <w:r w:rsidR="0003172C">
              <w:rPr>
                <w:rFonts w:hint="eastAsia"/>
                <w:sz w:val="24"/>
              </w:rPr>
              <w:t>1</w:t>
            </w:r>
            <w:r w:rsidRPr="00920AF8">
              <w:rPr>
                <w:sz w:val="24"/>
              </w:rPr>
              <w:t xml:space="preserve"> 天≤N＜90 天</w:t>
            </w:r>
            <w:r>
              <w:rPr>
                <w:rFonts w:hint="eastAsia"/>
                <w:sz w:val="24"/>
              </w:rPr>
              <w:t>：</w:t>
            </w:r>
            <w:r w:rsidRPr="00AB46A5">
              <w:rPr>
                <w:sz w:val="24"/>
              </w:rPr>
              <w:t>0.375%</w:t>
            </w:r>
          </w:p>
        </w:tc>
        <w:tc>
          <w:tcPr>
            <w:tcW w:w="1275" w:type="dxa"/>
            <w:vMerge w:val="restart"/>
            <w:vAlign w:val="center"/>
          </w:tcPr>
          <w:p w:rsidR="004850A0" w:rsidRPr="00920AF8" w:rsidRDefault="004850A0" w:rsidP="008F28BD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  <w:r w:rsidRPr="00956933">
              <w:rPr>
                <w:sz w:val="24"/>
              </w:rPr>
              <w:t>100%</w:t>
            </w:r>
          </w:p>
        </w:tc>
      </w:tr>
      <w:tr w:rsidR="004850A0" w:rsidTr="008F28BD">
        <w:trPr>
          <w:trHeight w:val="397"/>
          <w:jc w:val="center"/>
        </w:trPr>
        <w:tc>
          <w:tcPr>
            <w:tcW w:w="1973" w:type="dxa"/>
            <w:vMerge/>
            <w:vAlign w:val="center"/>
          </w:tcPr>
          <w:p w:rsidR="004850A0" w:rsidRDefault="004850A0" w:rsidP="008F28BD">
            <w:pPr>
              <w:pStyle w:val="TableParagraph"/>
              <w:spacing w:line="289" w:lineRule="exact"/>
              <w:ind w:left="47"/>
              <w:jc w:val="center"/>
              <w:rPr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4850A0" w:rsidRDefault="004850A0" w:rsidP="004850A0">
            <w:pPr>
              <w:pStyle w:val="TableParagraph"/>
              <w:spacing w:line="289" w:lineRule="exact"/>
              <w:ind w:left="100" w:right="90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4850A0" w:rsidRPr="00920AF8" w:rsidRDefault="004850A0" w:rsidP="0070460F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 w:rsidRPr="00920AF8">
              <w:rPr>
                <w:sz w:val="24"/>
              </w:rPr>
              <w:t>90</w:t>
            </w:r>
            <w:r w:rsidRPr="00920AF8">
              <w:rPr>
                <w:spacing w:val="-30"/>
                <w:sz w:val="24"/>
              </w:rPr>
              <w:t xml:space="preserve"> 天</w:t>
            </w:r>
            <w:r w:rsidRPr="00920AF8">
              <w:rPr>
                <w:sz w:val="24"/>
              </w:rPr>
              <w:t>≤N＜180</w:t>
            </w:r>
            <w:r w:rsidRPr="00920AF8">
              <w:rPr>
                <w:spacing w:val="-20"/>
                <w:sz w:val="24"/>
              </w:rPr>
              <w:t xml:space="preserve"> 天</w:t>
            </w:r>
            <w:r>
              <w:rPr>
                <w:rFonts w:hint="eastAsia"/>
                <w:spacing w:val="-20"/>
                <w:sz w:val="24"/>
              </w:rPr>
              <w:t>：</w:t>
            </w:r>
            <w:r w:rsidRPr="00AB46A5">
              <w:rPr>
                <w:sz w:val="24"/>
              </w:rPr>
              <w:t>50%</w:t>
            </w:r>
          </w:p>
        </w:tc>
        <w:tc>
          <w:tcPr>
            <w:tcW w:w="3261" w:type="dxa"/>
            <w:vAlign w:val="center"/>
          </w:tcPr>
          <w:p w:rsidR="004850A0" w:rsidRPr="00920AF8" w:rsidRDefault="004850A0" w:rsidP="0070460F">
            <w:pPr>
              <w:pStyle w:val="TableParagraph"/>
              <w:spacing w:line="289" w:lineRule="exact"/>
              <w:ind w:right="2"/>
              <w:jc w:val="center"/>
              <w:rPr>
                <w:sz w:val="24"/>
              </w:rPr>
            </w:pPr>
            <w:r w:rsidRPr="00920AF8">
              <w:rPr>
                <w:sz w:val="24"/>
              </w:rPr>
              <w:t>90</w:t>
            </w:r>
            <w:r w:rsidRPr="00920AF8">
              <w:rPr>
                <w:spacing w:val="-30"/>
                <w:sz w:val="24"/>
              </w:rPr>
              <w:t xml:space="preserve"> 天</w:t>
            </w:r>
            <w:r w:rsidRPr="00920AF8">
              <w:rPr>
                <w:sz w:val="24"/>
              </w:rPr>
              <w:t>≤N＜180</w:t>
            </w:r>
            <w:r w:rsidRPr="00920AF8">
              <w:rPr>
                <w:spacing w:val="-20"/>
                <w:sz w:val="24"/>
              </w:rPr>
              <w:t xml:space="preserve"> 天</w:t>
            </w:r>
            <w:r>
              <w:rPr>
                <w:rFonts w:hint="eastAsia"/>
                <w:spacing w:val="-20"/>
                <w:sz w:val="24"/>
              </w:rPr>
              <w:t>：</w:t>
            </w:r>
            <w:r w:rsidRPr="00AB46A5">
              <w:rPr>
                <w:sz w:val="24"/>
              </w:rPr>
              <w:t>0.25%</w:t>
            </w:r>
          </w:p>
        </w:tc>
        <w:tc>
          <w:tcPr>
            <w:tcW w:w="1275" w:type="dxa"/>
            <w:vMerge/>
            <w:vAlign w:val="center"/>
          </w:tcPr>
          <w:p w:rsidR="004850A0" w:rsidRPr="00956933" w:rsidRDefault="004850A0" w:rsidP="008F28BD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</w:p>
        </w:tc>
      </w:tr>
      <w:tr w:rsidR="004850A0" w:rsidTr="008F28BD">
        <w:trPr>
          <w:trHeight w:val="397"/>
          <w:jc w:val="center"/>
        </w:trPr>
        <w:tc>
          <w:tcPr>
            <w:tcW w:w="1973" w:type="dxa"/>
            <w:vMerge/>
            <w:vAlign w:val="center"/>
          </w:tcPr>
          <w:p w:rsidR="004850A0" w:rsidRDefault="004850A0" w:rsidP="008F28BD">
            <w:pPr>
              <w:pStyle w:val="TableParagraph"/>
              <w:spacing w:line="289" w:lineRule="exact"/>
              <w:ind w:left="47"/>
              <w:jc w:val="center"/>
              <w:rPr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4850A0" w:rsidRDefault="004850A0" w:rsidP="004850A0">
            <w:pPr>
              <w:pStyle w:val="TableParagraph"/>
              <w:spacing w:line="289" w:lineRule="exact"/>
              <w:ind w:left="100" w:right="90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4850A0" w:rsidRPr="00920AF8" w:rsidRDefault="0070460F" w:rsidP="0070460F">
            <w:pPr>
              <w:pStyle w:val="TableParagraph"/>
              <w:spacing w:line="289" w:lineRule="exact"/>
              <w:ind w:right="134"/>
              <w:jc w:val="center"/>
              <w:rPr>
                <w:sz w:val="24"/>
              </w:rPr>
            </w:pPr>
            <w:r w:rsidRPr="00920AF8">
              <w:rPr>
                <w:rFonts w:hint="eastAsia"/>
                <w:sz w:val="24"/>
              </w:rPr>
              <w:t>180天≤</w:t>
            </w:r>
            <w:r w:rsidR="004850A0" w:rsidRPr="00920AF8">
              <w:rPr>
                <w:sz w:val="24"/>
              </w:rPr>
              <w:t>N</w:t>
            </w:r>
            <w:r w:rsidR="008D00EC">
              <w:rPr>
                <w:sz w:val="24"/>
              </w:rPr>
              <w:t>≤</w:t>
            </w:r>
            <w:r>
              <w:rPr>
                <w:sz w:val="24"/>
              </w:rPr>
              <w:t>365</w:t>
            </w:r>
            <w:r>
              <w:rPr>
                <w:rFonts w:hint="eastAsia"/>
                <w:sz w:val="24"/>
              </w:rPr>
              <w:t>天</w:t>
            </w:r>
            <w:r w:rsidR="004850A0">
              <w:rPr>
                <w:rFonts w:hint="eastAsia"/>
                <w:sz w:val="24"/>
              </w:rPr>
              <w:t>：</w:t>
            </w:r>
            <w:r w:rsidR="004850A0" w:rsidRPr="00AB46A5">
              <w:rPr>
                <w:sz w:val="24"/>
              </w:rPr>
              <w:t>25%</w:t>
            </w:r>
          </w:p>
        </w:tc>
        <w:tc>
          <w:tcPr>
            <w:tcW w:w="3261" w:type="dxa"/>
            <w:vAlign w:val="center"/>
          </w:tcPr>
          <w:p w:rsidR="004850A0" w:rsidRPr="00920AF8" w:rsidRDefault="0070460F" w:rsidP="0070460F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 w:rsidRPr="00920AF8">
              <w:rPr>
                <w:rFonts w:hint="eastAsia"/>
                <w:sz w:val="24"/>
              </w:rPr>
              <w:t>180天≤</w:t>
            </w:r>
            <w:r w:rsidRPr="00920AF8">
              <w:rPr>
                <w:sz w:val="24"/>
              </w:rPr>
              <w:t>N</w:t>
            </w:r>
            <w:r w:rsidR="008D00EC">
              <w:rPr>
                <w:sz w:val="24"/>
              </w:rPr>
              <w:t>≤</w:t>
            </w:r>
            <w:r>
              <w:rPr>
                <w:sz w:val="24"/>
              </w:rPr>
              <w:t>365</w:t>
            </w:r>
            <w:r>
              <w:rPr>
                <w:rFonts w:hint="eastAsia"/>
                <w:sz w:val="24"/>
              </w:rPr>
              <w:t>天：</w:t>
            </w:r>
            <w:r w:rsidR="004850A0" w:rsidRPr="00AB46A5">
              <w:rPr>
                <w:sz w:val="24"/>
              </w:rPr>
              <w:t>0.125%</w:t>
            </w:r>
          </w:p>
        </w:tc>
        <w:tc>
          <w:tcPr>
            <w:tcW w:w="1275" w:type="dxa"/>
            <w:vMerge/>
            <w:vAlign w:val="center"/>
          </w:tcPr>
          <w:p w:rsidR="004850A0" w:rsidRPr="00956933" w:rsidRDefault="004850A0" w:rsidP="008F28BD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</w:p>
        </w:tc>
      </w:tr>
      <w:tr w:rsidR="004850A0" w:rsidTr="008F28BD">
        <w:trPr>
          <w:trHeight w:val="397"/>
          <w:jc w:val="center"/>
        </w:trPr>
        <w:tc>
          <w:tcPr>
            <w:tcW w:w="1973" w:type="dxa"/>
            <w:vAlign w:val="center"/>
          </w:tcPr>
          <w:p w:rsidR="004850A0" w:rsidRDefault="004850A0" w:rsidP="008F28BD">
            <w:pPr>
              <w:pStyle w:val="TableParagraph"/>
              <w:spacing w:before="43"/>
              <w:ind w:left="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  <w:r w:rsidR="00903F1A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天</w:t>
            </w:r>
            <w:r>
              <w:rPr>
                <w:sz w:val="24"/>
              </w:rPr>
              <w:t>≤N≤</w:t>
            </w:r>
            <w:r>
              <w:rPr>
                <w:rFonts w:hint="eastAsia"/>
                <w:sz w:val="24"/>
              </w:rPr>
              <w:t>730天</w:t>
            </w:r>
          </w:p>
        </w:tc>
        <w:tc>
          <w:tcPr>
            <w:tcW w:w="1141" w:type="dxa"/>
            <w:vAlign w:val="center"/>
          </w:tcPr>
          <w:p w:rsidR="004850A0" w:rsidRDefault="004850A0" w:rsidP="004850A0">
            <w:pPr>
              <w:pStyle w:val="TableParagraph"/>
              <w:spacing w:before="43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  <w:tc>
          <w:tcPr>
            <w:tcW w:w="2835" w:type="dxa"/>
            <w:vAlign w:val="center"/>
          </w:tcPr>
          <w:p w:rsidR="004850A0" w:rsidRDefault="004850A0" w:rsidP="004850A0">
            <w:pPr>
              <w:pStyle w:val="TableParagraph"/>
              <w:spacing w:before="43"/>
              <w:ind w:right="3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5%</w:t>
            </w:r>
          </w:p>
        </w:tc>
        <w:tc>
          <w:tcPr>
            <w:tcW w:w="3261" w:type="dxa"/>
            <w:vAlign w:val="center"/>
          </w:tcPr>
          <w:p w:rsidR="004850A0" w:rsidRDefault="004850A0" w:rsidP="004850A0">
            <w:pPr>
              <w:pStyle w:val="TableParagraph"/>
              <w:spacing w:before="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.0625%</w:t>
            </w:r>
          </w:p>
        </w:tc>
        <w:tc>
          <w:tcPr>
            <w:tcW w:w="1275" w:type="dxa"/>
            <w:vAlign w:val="center"/>
          </w:tcPr>
          <w:p w:rsidR="004850A0" w:rsidRDefault="004850A0" w:rsidP="008F28BD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  <w:r w:rsidRPr="00956933">
              <w:rPr>
                <w:sz w:val="24"/>
              </w:rPr>
              <w:t>100%</w:t>
            </w:r>
          </w:p>
        </w:tc>
      </w:tr>
      <w:tr w:rsidR="004850A0" w:rsidTr="008F28BD">
        <w:trPr>
          <w:trHeight w:val="397"/>
          <w:jc w:val="center"/>
        </w:trPr>
        <w:tc>
          <w:tcPr>
            <w:tcW w:w="1973" w:type="dxa"/>
            <w:vAlign w:val="center"/>
          </w:tcPr>
          <w:p w:rsidR="004850A0" w:rsidRDefault="004850A0" w:rsidP="008F28BD">
            <w:pPr>
              <w:pStyle w:val="TableParagraph"/>
              <w:spacing w:before="43"/>
              <w:jc w:val="center"/>
              <w:rPr>
                <w:sz w:val="24"/>
              </w:rPr>
            </w:pPr>
            <w:r>
              <w:rPr>
                <w:sz w:val="24"/>
              </w:rPr>
              <w:t>N≥</w:t>
            </w:r>
            <w:r>
              <w:rPr>
                <w:rFonts w:hint="eastAsia"/>
                <w:sz w:val="24"/>
              </w:rPr>
              <w:t>731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1141" w:type="dxa"/>
            <w:vAlign w:val="center"/>
          </w:tcPr>
          <w:p w:rsidR="004850A0" w:rsidRDefault="004850A0" w:rsidP="004850A0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4850A0" w:rsidRDefault="004850A0" w:rsidP="004850A0">
            <w:pPr>
              <w:pStyle w:val="TableParagraph"/>
              <w:spacing w:before="43"/>
              <w:ind w:right="3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5%</w:t>
            </w:r>
          </w:p>
        </w:tc>
        <w:tc>
          <w:tcPr>
            <w:tcW w:w="3261" w:type="dxa"/>
            <w:vAlign w:val="center"/>
          </w:tcPr>
          <w:p w:rsidR="004850A0" w:rsidRDefault="004850A0" w:rsidP="004850A0">
            <w:pPr>
              <w:pStyle w:val="TableParagraph"/>
              <w:spacing w:before="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4850A0" w:rsidRDefault="004850A0" w:rsidP="008F28BD">
            <w:pPr>
              <w:pStyle w:val="TableParagraph"/>
              <w:spacing w:before="2" w:line="292" w:lineRule="exact"/>
              <w:jc w:val="center"/>
              <w:rPr>
                <w:sz w:val="24"/>
              </w:rPr>
            </w:pPr>
            <w:r w:rsidRPr="00956933">
              <w:rPr>
                <w:sz w:val="24"/>
              </w:rPr>
              <w:t>100%</w:t>
            </w:r>
          </w:p>
        </w:tc>
      </w:tr>
    </w:tbl>
    <w:p w:rsidR="00FB4CD1" w:rsidRDefault="009D7A72" w:rsidP="00464931">
      <w:pPr>
        <w:pStyle w:val="a3"/>
        <w:spacing w:before="205" w:line="364" w:lineRule="auto"/>
        <w:ind w:left="120" w:right="216" w:firstLine="479"/>
        <w:jc w:val="both"/>
        <w:rPr>
          <w:spacing w:val="-7"/>
        </w:rPr>
      </w:pPr>
      <w:r w:rsidRPr="003938B3">
        <w:rPr>
          <w:rFonts w:hint="eastAsia"/>
          <w:spacing w:val="-7"/>
        </w:rPr>
        <w:t>国金鑫瑞灵活配置混合型证券投资基金</w:t>
      </w:r>
      <w:r w:rsidR="003B2B6A" w:rsidRPr="00464931">
        <w:rPr>
          <w:spacing w:val="-7"/>
        </w:rPr>
        <w:t>C</w:t>
      </w:r>
      <w:r>
        <w:rPr>
          <w:rFonts w:hint="eastAsia"/>
          <w:spacing w:val="-7"/>
        </w:rPr>
        <w:t>类基金份额</w:t>
      </w:r>
      <w:r w:rsidR="00F77C13">
        <w:rPr>
          <w:rFonts w:hint="eastAsia"/>
          <w:spacing w:val="-7"/>
        </w:rPr>
        <w:t>和</w:t>
      </w:r>
      <w:r w:rsidR="00F77C13">
        <w:t>国金鑫新灵活配置混合</w:t>
      </w:r>
      <w:r w:rsidR="00F77C13">
        <w:rPr>
          <w:rFonts w:hint="eastAsia"/>
        </w:rPr>
        <w:t>型</w:t>
      </w:r>
      <w:r w:rsidR="00F77C13">
        <w:t>证券投资基金（LOF）</w:t>
      </w:r>
      <w:r w:rsidR="00F77C13">
        <w:rPr>
          <w:rFonts w:hint="eastAsia"/>
        </w:rPr>
        <w:t>的赎</w:t>
      </w:r>
      <w:r w:rsidR="003B2B6A" w:rsidRPr="00464931">
        <w:rPr>
          <w:spacing w:val="-7"/>
        </w:rPr>
        <w:t>回费率不予优惠。</w:t>
      </w:r>
    </w:p>
    <w:p w:rsidR="00A571C0" w:rsidRPr="004316A2" w:rsidRDefault="00F77C13" w:rsidP="004316A2">
      <w:pPr>
        <w:pStyle w:val="a3"/>
        <w:spacing w:before="240" w:line="365" w:lineRule="auto"/>
        <w:ind w:left="607" w:right="964" w:hanging="6"/>
        <w:rPr>
          <w:b/>
          <w:bCs/>
        </w:rPr>
      </w:pPr>
      <w:r>
        <w:rPr>
          <w:rFonts w:hint="eastAsia"/>
          <w:b/>
          <w:bCs/>
        </w:rPr>
        <w:t>五</w:t>
      </w:r>
      <w:r w:rsidR="0011297E" w:rsidRPr="004316A2">
        <w:rPr>
          <w:b/>
          <w:bCs/>
        </w:rPr>
        <w:t>、</w:t>
      </w:r>
      <w:r w:rsidR="00FB4CD1" w:rsidRPr="004316A2">
        <w:rPr>
          <w:rFonts w:hint="eastAsia"/>
          <w:b/>
          <w:bCs/>
        </w:rPr>
        <w:t>重要</w:t>
      </w:r>
      <w:r w:rsidR="0011297E" w:rsidRPr="004316A2">
        <w:rPr>
          <w:b/>
          <w:bCs/>
        </w:rPr>
        <w:t>提示</w:t>
      </w:r>
    </w:p>
    <w:p w:rsidR="00792573" w:rsidRPr="00464931" w:rsidRDefault="00792573" w:rsidP="00792573">
      <w:pPr>
        <w:pStyle w:val="a3"/>
        <w:spacing w:before="161" w:line="364" w:lineRule="auto"/>
        <w:ind w:left="120" w:right="245" w:firstLine="479"/>
      </w:pPr>
      <w:r w:rsidRPr="00464931">
        <w:t>1、</w:t>
      </w:r>
      <w:r w:rsidR="0042229D">
        <w:rPr>
          <w:rFonts w:hint="eastAsia"/>
        </w:rPr>
        <w:t>上述</w:t>
      </w:r>
      <w:r w:rsidRPr="00464931">
        <w:t xml:space="preserve">基金原费率请详见基金相关法律文件。 </w:t>
      </w:r>
    </w:p>
    <w:p w:rsidR="00A27980" w:rsidRPr="00464931" w:rsidRDefault="00792573" w:rsidP="00792573">
      <w:pPr>
        <w:pStyle w:val="a3"/>
        <w:spacing w:before="161" w:line="364" w:lineRule="auto"/>
        <w:ind w:left="120" w:right="245" w:firstLine="479"/>
      </w:pPr>
      <w:r w:rsidRPr="00464931">
        <w:t>2、</w:t>
      </w:r>
      <w:r w:rsidR="00A27980" w:rsidRPr="00464931">
        <w:rPr>
          <w:spacing w:val="-17"/>
        </w:rPr>
        <w:t>投资者欲了解</w:t>
      </w:r>
      <w:r w:rsidR="0042229D">
        <w:rPr>
          <w:rFonts w:hint="eastAsia"/>
          <w:spacing w:val="-17"/>
        </w:rPr>
        <w:t>上述</w:t>
      </w:r>
      <w:r w:rsidR="00A27980" w:rsidRPr="00464931">
        <w:rPr>
          <w:spacing w:val="-17"/>
        </w:rPr>
        <w:t>基金产品的详细情况，请</w:t>
      </w:r>
      <w:r w:rsidR="00A27980" w:rsidRPr="00464931">
        <w:t>仔细阅读</w:t>
      </w:r>
      <w:r w:rsidR="0042229D">
        <w:rPr>
          <w:rFonts w:hint="eastAsia"/>
        </w:rPr>
        <w:t>上述</w:t>
      </w:r>
      <w:r w:rsidR="00A27980" w:rsidRPr="00464931">
        <w:t>基金的基金合同、招募说明书及其更新等法律文件。</w:t>
      </w:r>
    </w:p>
    <w:p w:rsidR="004316A2" w:rsidRDefault="00F77C13" w:rsidP="004316A2">
      <w:pPr>
        <w:spacing w:before="120" w:line="365" w:lineRule="auto"/>
        <w:ind w:left="601" w:right="145"/>
        <w:rPr>
          <w:b/>
          <w:color w:val="333333"/>
          <w:spacing w:val="-1"/>
          <w:sz w:val="24"/>
        </w:rPr>
      </w:pPr>
      <w:r>
        <w:rPr>
          <w:rFonts w:hint="eastAsia"/>
          <w:b/>
          <w:bCs/>
          <w:sz w:val="24"/>
          <w:szCs w:val="24"/>
        </w:rPr>
        <w:t>六</w:t>
      </w:r>
      <w:r w:rsidR="00A27980" w:rsidRPr="004316A2">
        <w:rPr>
          <w:b/>
          <w:bCs/>
          <w:sz w:val="24"/>
          <w:szCs w:val="24"/>
        </w:rPr>
        <w:t>、投资者可以通过以下途径咨询</w:t>
      </w:r>
      <w:r w:rsidR="00053DBA">
        <w:rPr>
          <w:rFonts w:hint="eastAsia"/>
          <w:b/>
          <w:bCs/>
          <w:sz w:val="24"/>
          <w:szCs w:val="24"/>
        </w:rPr>
        <w:t>上述</w:t>
      </w:r>
      <w:r w:rsidR="00A27980" w:rsidRPr="004316A2">
        <w:rPr>
          <w:b/>
          <w:bCs/>
          <w:sz w:val="24"/>
          <w:szCs w:val="24"/>
        </w:rPr>
        <w:t>基金其他有关信息：</w:t>
      </w:r>
      <w:r w:rsidR="00A27980">
        <w:rPr>
          <w:b/>
          <w:color w:val="333333"/>
          <w:spacing w:val="-1"/>
          <w:sz w:val="24"/>
        </w:rPr>
        <w:t xml:space="preserve"> </w:t>
      </w:r>
    </w:p>
    <w:p w:rsidR="004316A2" w:rsidRPr="00464931" w:rsidRDefault="00A27980" w:rsidP="004316A2">
      <w:pPr>
        <w:spacing w:before="120" w:line="365" w:lineRule="auto"/>
        <w:ind w:left="601" w:right="145"/>
        <w:rPr>
          <w:sz w:val="24"/>
        </w:rPr>
      </w:pPr>
      <w:r w:rsidRPr="00464931">
        <w:rPr>
          <w:sz w:val="24"/>
        </w:rPr>
        <w:t xml:space="preserve">1、国金基金管理有限公司客户服务电话：4000-2000-18 </w:t>
      </w:r>
    </w:p>
    <w:p w:rsidR="00A27980" w:rsidRDefault="00A27980" w:rsidP="004316A2">
      <w:pPr>
        <w:spacing w:before="120" w:line="365" w:lineRule="auto"/>
        <w:ind w:left="601" w:right="145"/>
        <w:rPr>
          <w:sz w:val="24"/>
        </w:rPr>
      </w:pPr>
      <w:r w:rsidRPr="00464931">
        <w:rPr>
          <w:sz w:val="24"/>
        </w:rPr>
        <w:t>2、国金基金管理有限公司网站：</w:t>
      </w:r>
      <w:hyperlink r:id="rId8">
        <w:r>
          <w:rPr>
            <w:color w:val="0462C1"/>
            <w:sz w:val="24"/>
            <w:u w:val="single" w:color="0462C1"/>
          </w:rPr>
          <w:t>www.gfund.com</w:t>
        </w:r>
      </w:hyperlink>
    </w:p>
    <w:p w:rsidR="00A27980" w:rsidRDefault="00A27980" w:rsidP="00A27980">
      <w:pPr>
        <w:pStyle w:val="a3"/>
        <w:rPr>
          <w:sz w:val="20"/>
        </w:rPr>
      </w:pPr>
    </w:p>
    <w:p w:rsidR="00A27980" w:rsidRPr="00464931" w:rsidRDefault="00A27980" w:rsidP="004316A2">
      <w:pPr>
        <w:pStyle w:val="a3"/>
        <w:spacing w:before="161" w:line="364" w:lineRule="auto"/>
        <w:ind w:left="120" w:right="245" w:firstLine="479"/>
      </w:pPr>
      <w:r w:rsidRPr="00464931">
        <w:t>风险提示：</w:t>
      </w:r>
      <w:r w:rsidR="00792573" w:rsidRPr="00464931">
        <w:rPr>
          <w:rFonts w:hint="eastAsia"/>
        </w:rPr>
        <w:t>本公司</w:t>
      </w:r>
      <w:r w:rsidR="00792573" w:rsidRPr="00464931">
        <w:t>承诺以诚实信用、勤勉尽责的原则管理和运用基金资产，但不保证基金一定盈利，也不保证最低收益。投资者投资基金前应认真阅读基金合同、招募说明书等法律文件，投资与自身风险承受能力相适应的基金。</w:t>
      </w:r>
    </w:p>
    <w:p w:rsidR="00A27980" w:rsidRPr="00464931" w:rsidRDefault="00A27980" w:rsidP="00EF756E">
      <w:pPr>
        <w:pStyle w:val="a3"/>
        <w:spacing w:before="161" w:line="364" w:lineRule="auto"/>
        <w:ind w:left="120" w:right="245" w:firstLine="479"/>
      </w:pPr>
      <w:r w:rsidRPr="00464931">
        <w:t>特此公告。</w:t>
      </w:r>
    </w:p>
    <w:p w:rsidR="001C3290" w:rsidRPr="00464931" w:rsidRDefault="00A27980" w:rsidP="004316A2">
      <w:pPr>
        <w:pStyle w:val="a3"/>
        <w:spacing w:before="161" w:line="364" w:lineRule="auto"/>
        <w:ind w:left="120" w:right="245" w:firstLine="479"/>
        <w:jc w:val="right"/>
      </w:pPr>
      <w:r w:rsidRPr="00464931">
        <w:t xml:space="preserve">国金基金管理有限公司 </w:t>
      </w:r>
    </w:p>
    <w:p w:rsidR="00FD6881" w:rsidRPr="00464931" w:rsidRDefault="00A27980" w:rsidP="00F77C13">
      <w:pPr>
        <w:pStyle w:val="a3"/>
        <w:spacing w:before="161" w:line="364" w:lineRule="auto"/>
        <w:ind w:left="120" w:right="245" w:firstLine="479"/>
        <w:jc w:val="right"/>
      </w:pPr>
      <w:r w:rsidRPr="00464931">
        <w:t>202</w:t>
      </w:r>
      <w:r w:rsidR="003B5105" w:rsidRPr="00464931">
        <w:t>3</w:t>
      </w:r>
      <w:r w:rsidRPr="00464931">
        <w:t>年</w:t>
      </w:r>
      <w:r w:rsidR="00FD6881">
        <w:t>7</w:t>
      </w:r>
      <w:r w:rsidRPr="00464931">
        <w:t>月</w:t>
      </w:r>
      <w:r w:rsidR="00FD6881">
        <w:t>1</w:t>
      </w:r>
      <w:r w:rsidR="009B6E06">
        <w:rPr>
          <w:rFonts w:hint="eastAsia"/>
        </w:rPr>
        <w:t>4</w:t>
      </w:r>
      <w:r w:rsidR="001C3290" w:rsidRPr="00464931">
        <w:rPr>
          <w:rFonts w:hint="eastAsia"/>
        </w:rPr>
        <w:t>日</w:t>
      </w:r>
    </w:p>
    <w:sectPr w:rsidR="00FD6881" w:rsidRPr="00464931" w:rsidSect="000A5318">
      <w:pgSz w:w="11910" w:h="16840"/>
      <w:pgMar w:top="1460" w:right="1580" w:bottom="1276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8D" w:rsidRDefault="0014288D" w:rsidP="00E957EC">
      <w:r>
        <w:separator/>
      </w:r>
    </w:p>
  </w:endnote>
  <w:endnote w:type="continuationSeparator" w:id="0">
    <w:p w:rsidR="0014288D" w:rsidRDefault="0014288D" w:rsidP="00E9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8D" w:rsidRDefault="0014288D" w:rsidP="00E957EC">
      <w:r>
        <w:separator/>
      </w:r>
    </w:p>
  </w:footnote>
  <w:footnote w:type="continuationSeparator" w:id="0">
    <w:p w:rsidR="0014288D" w:rsidRDefault="0014288D" w:rsidP="00E95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23073"/>
    <w:multiLevelType w:val="hybridMultilevel"/>
    <w:tmpl w:val="3412F196"/>
    <w:lvl w:ilvl="0" w:tplc="646E6C54">
      <w:start w:val="1"/>
      <w:numFmt w:val="japaneseCounting"/>
      <w:lvlText w:val="%1、"/>
      <w:lvlJc w:val="left"/>
      <w:pPr>
        <w:ind w:left="110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571C0"/>
    <w:rsid w:val="000267CA"/>
    <w:rsid w:val="00026FE2"/>
    <w:rsid w:val="0003172C"/>
    <w:rsid w:val="00053DBA"/>
    <w:rsid w:val="000842C2"/>
    <w:rsid w:val="00090D1E"/>
    <w:rsid w:val="00090DB5"/>
    <w:rsid w:val="000A5318"/>
    <w:rsid w:val="000D48AF"/>
    <w:rsid w:val="000E0F00"/>
    <w:rsid w:val="00100825"/>
    <w:rsid w:val="00107C29"/>
    <w:rsid w:val="0011297E"/>
    <w:rsid w:val="00117D8E"/>
    <w:rsid w:val="0014288D"/>
    <w:rsid w:val="001C3290"/>
    <w:rsid w:val="001D5653"/>
    <w:rsid w:val="0020534C"/>
    <w:rsid w:val="00227242"/>
    <w:rsid w:val="00250173"/>
    <w:rsid w:val="002A77AF"/>
    <w:rsid w:val="002D298A"/>
    <w:rsid w:val="002E2A7E"/>
    <w:rsid w:val="002E396D"/>
    <w:rsid w:val="0030502A"/>
    <w:rsid w:val="00306B00"/>
    <w:rsid w:val="00307E9C"/>
    <w:rsid w:val="00361650"/>
    <w:rsid w:val="003938B3"/>
    <w:rsid w:val="003B2B6A"/>
    <w:rsid w:val="003B5105"/>
    <w:rsid w:val="003B521F"/>
    <w:rsid w:val="004010F2"/>
    <w:rsid w:val="004019C4"/>
    <w:rsid w:val="00406BAD"/>
    <w:rsid w:val="0042229D"/>
    <w:rsid w:val="004316A2"/>
    <w:rsid w:val="004500EA"/>
    <w:rsid w:val="00456870"/>
    <w:rsid w:val="00464623"/>
    <w:rsid w:val="00464931"/>
    <w:rsid w:val="00482910"/>
    <w:rsid w:val="004850A0"/>
    <w:rsid w:val="004D6DC6"/>
    <w:rsid w:val="00504EDF"/>
    <w:rsid w:val="00522797"/>
    <w:rsid w:val="00596A92"/>
    <w:rsid w:val="005B4CEC"/>
    <w:rsid w:val="005B6D70"/>
    <w:rsid w:val="005C3E15"/>
    <w:rsid w:val="005E0DDF"/>
    <w:rsid w:val="0064061D"/>
    <w:rsid w:val="00693050"/>
    <w:rsid w:val="006C06D8"/>
    <w:rsid w:val="0070460F"/>
    <w:rsid w:val="00731AA4"/>
    <w:rsid w:val="00732AEB"/>
    <w:rsid w:val="00792573"/>
    <w:rsid w:val="007A0980"/>
    <w:rsid w:val="007A7F7A"/>
    <w:rsid w:val="007C55E6"/>
    <w:rsid w:val="007D04DE"/>
    <w:rsid w:val="007E26DC"/>
    <w:rsid w:val="007E53CF"/>
    <w:rsid w:val="008039F9"/>
    <w:rsid w:val="00851AF4"/>
    <w:rsid w:val="008610B0"/>
    <w:rsid w:val="008868D6"/>
    <w:rsid w:val="00891679"/>
    <w:rsid w:val="00896076"/>
    <w:rsid w:val="008A4BC9"/>
    <w:rsid w:val="008B5CAF"/>
    <w:rsid w:val="008B717A"/>
    <w:rsid w:val="008D00EC"/>
    <w:rsid w:val="008F28BD"/>
    <w:rsid w:val="00903F1A"/>
    <w:rsid w:val="0093223F"/>
    <w:rsid w:val="00986498"/>
    <w:rsid w:val="00991A79"/>
    <w:rsid w:val="00997DB4"/>
    <w:rsid w:val="009B6E06"/>
    <w:rsid w:val="009D7A72"/>
    <w:rsid w:val="00A11E55"/>
    <w:rsid w:val="00A16F87"/>
    <w:rsid w:val="00A27980"/>
    <w:rsid w:val="00A465E6"/>
    <w:rsid w:val="00A571C0"/>
    <w:rsid w:val="00AB2F7C"/>
    <w:rsid w:val="00AC49FC"/>
    <w:rsid w:val="00AC50C9"/>
    <w:rsid w:val="00AC6B3E"/>
    <w:rsid w:val="00B61C08"/>
    <w:rsid w:val="00B92DFD"/>
    <w:rsid w:val="00BB3D6D"/>
    <w:rsid w:val="00BE19B4"/>
    <w:rsid w:val="00BF04F2"/>
    <w:rsid w:val="00C00A26"/>
    <w:rsid w:val="00C70CBF"/>
    <w:rsid w:val="00C714BF"/>
    <w:rsid w:val="00CC45E4"/>
    <w:rsid w:val="00CF233A"/>
    <w:rsid w:val="00CF475C"/>
    <w:rsid w:val="00D4701C"/>
    <w:rsid w:val="00D763EF"/>
    <w:rsid w:val="00DB1600"/>
    <w:rsid w:val="00DF43F6"/>
    <w:rsid w:val="00E05BBF"/>
    <w:rsid w:val="00E112C2"/>
    <w:rsid w:val="00E47E69"/>
    <w:rsid w:val="00E74F7D"/>
    <w:rsid w:val="00E903F2"/>
    <w:rsid w:val="00E957EC"/>
    <w:rsid w:val="00EA1CF2"/>
    <w:rsid w:val="00EA35FB"/>
    <w:rsid w:val="00EF692C"/>
    <w:rsid w:val="00EF756E"/>
    <w:rsid w:val="00F1274D"/>
    <w:rsid w:val="00F20824"/>
    <w:rsid w:val="00F24EDC"/>
    <w:rsid w:val="00F546E2"/>
    <w:rsid w:val="00F57B65"/>
    <w:rsid w:val="00F77C13"/>
    <w:rsid w:val="00F97B14"/>
    <w:rsid w:val="00FB4CD1"/>
    <w:rsid w:val="00FD1CB1"/>
    <w:rsid w:val="00FD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C9"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rsid w:val="00AC50C9"/>
    <w:pPr>
      <w:spacing w:before="1"/>
      <w:ind w:left="6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50C9"/>
    <w:rPr>
      <w:sz w:val="24"/>
      <w:szCs w:val="24"/>
    </w:rPr>
  </w:style>
  <w:style w:type="paragraph" w:styleId="a4">
    <w:name w:val="List Paragraph"/>
    <w:basedOn w:val="a"/>
    <w:uiPriority w:val="1"/>
    <w:qFormat/>
    <w:rsid w:val="00AC50C9"/>
  </w:style>
  <w:style w:type="paragraph" w:customStyle="1" w:styleId="TableParagraph">
    <w:name w:val="Table Paragraph"/>
    <w:basedOn w:val="a"/>
    <w:uiPriority w:val="1"/>
    <w:qFormat/>
    <w:rsid w:val="00AC50C9"/>
  </w:style>
  <w:style w:type="paragraph" w:styleId="a5">
    <w:name w:val="header"/>
    <w:basedOn w:val="a"/>
    <w:link w:val="Char"/>
    <w:uiPriority w:val="99"/>
    <w:unhideWhenUsed/>
    <w:rsid w:val="00E95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57EC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E957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57EC"/>
    <w:rPr>
      <w:rFonts w:ascii="宋体" w:eastAsia="宋体" w:hAnsi="宋体" w:cs="宋体"/>
      <w:sz w:val="18"/>
      <w:szCs w:val="18"/>
      <w:lang w:val="zh-CN" w:eastAsia="zh-CN" w:bidi="zh-CN"/>
    </w:rPr>
  </w:style>
  <w:style w:type="character" w:styleId="a7">
    <w:name w:val="annotation reference"/>
    <w:basedOn w:val="a0"/>
    <w:uiPriority w:val="99"/>
    <w:semiHidden/>
    <w:unhideWhenUsed/>
    <w:rsid w:val="00CC45E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C45E4"/>
  </w:style>
  <w:style w:type="character" w:customStyle="1" w:styleId="Char1">
    <w:name w:val="批注文字 Char"/>
    <w:basedOn w:val="a0"/>
    <w:link w:val="a8"/>
    <w:uiPriority w:val="99"/>
    <w:semiHidden/>
    <w:rsid w:val="00CC45E4"/>
    <w:rPr>
      <w:rFonts w:ascii="宋体" w:eastAsia="宋体" w:hAnsi="宋体" w:cs="宋体"/>
      <w:lang w:val="zh-CN" w:eastAsia="zh-CN" w:bidi="zh-CN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C45E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C45E4"/>
    <w:rPr>
      <w:rFonts w:ascii="宋体" w:eastAsia="宋体" w:hAnsi="宋体" w:cs="宋体"/>
      <w:b/>
      <w:bCs/>
      <w:lang w:val="zh-CN" w:eastAsia="zh-CN" w:bidi="zh-CN"/>
    </w:rPr>
  </w:style>
  <w:style w:type="paragraph" w:styleId="aa">
    <w:name w:val="Balloon Text"/>
    <w:basedOn w:val="a"/>
    <w:link w:val="Char3"/>
    <w:uiPriority w:val="99"/>
    <w:semiHidden/>
    <w:unhideWhenUsed/>
    <w:rsid w:val="00CC45E4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C45E4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b">
    <w:name w:val="Date"/>
    <w:basedOn w:val="a"/>
    <w:next w:val="a"/>
    <w:link w:val="Char4"/>
    <w:uiPriority w:val="99"/>
    <w:semiHidden/>
    <w:unhideWhenUsed/>
    <w:rsid w:val="00FD688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FD6881"/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un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F74A-E06F-43F0-8DF0-3965BD05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4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袁婷</dc:creator>
  <cp:lastModifiedBy>ZHONGM</cp:lastModifiedBy>
  <cp:revision>2</cp:revision>
  <cp:lastPrinted>2023-07-13T09:22:00Z</cp:lastPrinted>
  <dcterms:created xsi:type="dcterms:W3CDTF">2023-07-13T16:01:00Z</dcterms:created>
  <dcterms:modified xsi:type="dcterms:W3CDTF">2023-07-13T16:01:00Z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2022-09-19T00:00:00Z</vt:filetime>
  </property>
</Properties>
</file>