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785" w:rsidRPr="007D5785" w:rsidRDefault="007D5785" w:rsidP="007D5785">
      <w:pPr>
        <w:autoSpaceDE w:val="0"/>
        <w:autoSpaceDN w:val="0"/>
        <w:adjustRightInd w:val="0"/>
        <w:spacing w:line="360" w:lineRule="auto"/>
        <w:jc w:val="center"/>
        <w:rPr>
          <w:rFonts w:ascii="宋体" w:eastAsia="宋体" w:hAnsi="宋体" w:cs="宋体"/>
          <w:b/>
          <w:color w:val="000000"/>
          <w:kern w:val="0"/>
          <w:sz w:val="22"/>
          <w:lang w:val="zh-CN"/>
        </w:rPr>
      </w:pPr>
      <w:bookmarkStart w:id="0" w:name="_GoBack"/>
      <w:bookmarkEnd w:id="0"/>
      <w:r w:rsidRPr="007D5785">
        <w:rPr>
          <w:rFonts w:ascii="宋体" w:eastAsia="宋体" w:hAnsi="宋体" w:cs="宋体" w:hint="eastAsia"/>
          <w:b/>
          <w:color w:val="000000"/>
          <w:kern w:val="0"/>
          <w:sz w:val="22"/>
          <w:lang w:val="zh-CN"/>
        </w:rPr>
        <w:t>中欧基金管理有限公司</w:t>
      </w:r>
    </w:p>
    <w:p w:rsidR="007D5785" w:rsidRPr="007D5785" w:rsidRDefault="007D5785" w:rsidP="007D5785">
      <w:pPr>
        <w:autoSpaceDE w:val="0"/>
        <w:autoSpaceDN w:val="0"/>
        <w:adjustRightInd w:val="0"/>
        <w:spacing w:line="360" w:lineRule="auto"/>
        <w:jc w:val="center"/>
        <w:rPr>
          <w:rFonts w:ascii="宋体" w:eastAsia="宋体" w:hAnsi="宋体" w:cs="宋体"/>
          <w:b/>
          <w:color w:val="000000"/>
          <w:kern w:val="0"/>
          <w:sz w:val="22"/>
          <w:lang w:val="zh-CN"/>
        </w:rPr>
      </w:pPr>
      <w:r w:rsidRPr="007D5785">
        <w:rPr>
          <w:rFonts w:ascii="宋体" w:eastAsia="宋体" w:hAnsi="宋体" w:cs="宋体" w:hint="eastAsia"/>
          <w:b/>
          <w:color w:val="000000"/>
          <w:kern w:val="0"/>
          <w:sz w:val="22"/>
          <w:lang w:val="zh-CN"/>
        </w:rPr>
        <w:t>关于旗下部分基金投资</w:t>
      </w:r>
      <w:r w:rsidRPr="007D5785">
        <w:rPr>
          <w:rFonts w:ascii="宋体" w:eastAsia="宋体" w:hAnsi="宋体" w:cs="宋体"/>
          <w:b/>
          <w:color w:val="000000"/>
          <w:kern w:val="0"/>
          <w:sz w:val="22"/>
          <w:lang w:val="zh-CN"/>
        </w:rPr>
        <w:t>新五丰 (600975)</w:t>
      </w:r>
      <w:r w:rsidRPr="007D5785">
        <w:rPr>
          <w:rFonts w:ascii="宋体" w:eastAsia="宋体" w:hAnsi="宋体" w:cs="宋体" w:hint="eastAsia"/>
          <w:b/>
          <w:color w:val="000000"/>
          <w:kern w:val="0"/>
          <w:sz w:val="22"/>
          <w:lang w:val="zh-CN"/>
        </w:rPr>
        <w:t>非公开发行股票的公告</w:t>
      </w:r>
    </w:p>
    <w:p w:rsidR="007D5785" w:rsidRPr="007D5785" w:rsidRDefault="007D5785" w:rsidP="007D5785">
      <w:pPr>
        <w:autoSpaceDE w:val="0"/>
        <w:autoSpaceDN w:val="0"/>
        <w:adjustRightInd w:val="0"/>
        <w:spacing w:line="360" w:lineRule="auto"/>
        <w:jc w:val="left"/>
        <w:rPr>
          <w:rFonts w:ascii="宋体" w:eastAsia="宋体" w:hAnsi="宋体" w:cs="宋体"/>
          <w:color w:val="000000"/>
          <w:kern w:val="0"/>
          <w:sz w:val="22"/>
          <w:lang w:val="zh-CN"/>
        </w:rPr>
      </w:pPr>
    </w:p>
    <w:p w:rsidR="007D5785" w:rsidRPr="007D5785" w:rsidRDefault="007D5785" w:rsidP="007D5785">
      <w:pPr>
        <w:autoSpaceDE w:val="0"/>
        <w:autoSpaceDN w:val="0"/>
        <w:adjustRightInd w:val="0"/>
        <w:spacing w:line="360" w:lineRule="auto"/>
        <w:jc w:val="left"/>
        <w:rPr>
          <w:rFonts w:ascii="宋体" w:eastAsia="宋体" w:hAnsi="宋体" w:cs="宋体"/>
          <w:color w:val="000000"/>
          <w:kern w:val="0"/>
          <w:sz w:val="22"/>
          <w:lang w:val="zh-CN"/>
        </w:rPr>
      </w:pPr>
      <w:r w:rsidRPr="007D5785">
        <w:rPr>
          <w:rFonts w:ascii="宋体" w:eastAsia="宋体" w:hAnsi="宋体" w:cs="宋体" w:hint="eastAsia"/>
          <w:color w:val="000000"/>
          <w:kern w:val="0"/>
          <w:sz w:val="22"/>
          <w:lang w:val="zh-CN"/>
        </w:rPr>
        <w:t xml:space="preserve"> </w:t>
      </w:r>
      <w:r w:rsidRPr="007D5785">
        <w:rPr>
          <w:rFonts w:ascii="宋体" w:eastAsia="宋体" w:hAnsi="宋体" w:cs="宋体"/>
          <w:color w:val="000000"/>
          <w:kern w:val="0"/>
          <w:sz w:val="22"/>
          <w:lang w:val="zh-CN"/>
        </w:rPr>
        <w:t xml:space="preserve">   </w:t>
      </w:r>
      <w:r w:rsidR="00473FEC">
        <w:rPr>
          <w:rFonts w:ascii="宋体" w:eastAsia="宋体" w:hAnsi="宋体" w:cs="宋体" w:hint="eastAsia"/>
          <w:color w:val="000000"/>
          <w:kern w:val="0"/>
          <w:sz w:val="22"/>
          <w:lang w:val="zh-CN"/>
        </w:rPr>
        <w:t>中欧基金</w:t>
      </w:r>
      <w:r w:rsidRPr="007D5785">
        <w:rPr>
          <w:rFonts w:ascii="宋体" w:eastAsia="宋体" w:hAnsi="宋体" w:cs="宋体" w:hint="eastAsia"/>
          <w:color w:val="000000"/>
          <w:kern w:val="0"/>
          <w:sz w:val="22"/>
          <w:lang w:val="zh-CN"/>
        </w:rPr>
        <w:t>管理有限公司（以下简称</w:t>
      </w:r>
      <w:r w:rsidRPr="007D5785">
        <w:rPr>
          <w:rFonts w:ascii="宋体" w:eastAsia="宋体" w:hAnsi="宋体" w:cs="宋体"/>
          <w:color w:val="000000"/>
          <w:kern w:val="0"/>
          <w:sz w:val="22"/>
          <w:lang w:val="zh-CN"/>
        </w:rPr>
        <w:t>“</w:t>
      </w:r>
      <w:r w:rsidRPr="007D5785">
        <w:rPr>
          <w:rFonts w:ascii="宋体" w:eastAsia="宋体" w:hAnsi="宋体" w:cs="宋体" w:hint="eastAsia"/>
          <w:color w:val="000000"/>
          <w:kern w:val="0"/>
          <w:sz w:val="22"/>
          <w:lang w:val="zh-CN"/>
        </w:rPr>
        <w:t>本公司</w:t>
      </w:r>
      <w:r w:rsidRPr="007D5785">
        <w:rPr>
          <w:rFonts w:ascii="宋体" w:eastAsia="宋体" w:hAnsi="宋体" w:cs="宋体"/>
          <w:color w:val="000000"/>
          <w:kern w:val="0"/>
          <w:sz w:val="22"/>
          <w:lang w:val="zh-CN"/>
        </w:rPr>
        <w:t>”</w:t>
      </w:r>
      <w:r w:rsidRPr="007D5785">
        <w:rPr>
          <w:rFonts w:ascii="宋体" w:eastAsia="宋体" w:hAnsi="宋体" w:cs="宋体" w:hint="eastAsia"/>
          <w:color w:val="000000"/>
          <w:kern w:val="0"/>
          <w:sz w:val="22"/>
          <w:lang w:val="zh-CN"/>
        </w:rPr>
        <w:t>）旗下部分基金参加了</w:t>
      </w:r>
      <w:r w:rsidRPr="007D5785">
        <w:rPr>
          <w:rFonts w:ascii="宋体" w:eastAsia="宋体" w:hAnsi="宋体" w:cs="宋体"/>
          <w:color w:val="000000"/>
          <w:kern w:val="0"/>
          <w:sz w:val="22"/>
          <w:lang w:val="zh-CN"/>
        </w:rPr>
        <w:t>湖南新五丰股份有限公司</w:t>
      </w:r>
      <w:r w:rsidRPr="007D5785">
        <w:rPr>
          <w:rFonts w:ascii="宋体" w:eastAsia="宋体" w:hAnsi="宋体" w:cs="宋体" w:hint="eastAsia"/>
          <w:color w:val="000000"/>
          <w:kern w:val="0"/>
          <w:sz w:val="22"/>
          <w:lang w:val="zh-CN"/>
        </w:rPr>
        <w:t>（</w:t>
      </w:r>
      <w:r w:rsidRPr="007D5785">
        <w:rPr>
          <w:rFonts w:ascii="宋体" w:eastAsia="宋体" w:hAnsi="宋体" w:cs="宋体"/>
          <w:color w:val="000000"/>
          <w:kern w:val="0"/>
          <w:sz w:val="22"/>
          <w:lang w:val="zh-CN"/>
        </w:rPr>
        <w:t>新五丰</w:t>
      </w:r>
      <w:r w:rsidRPr="007D5785">
        <w:rPr>
          <w:rFonts w:ascii="宋体" w:eastAsia="宋体" w:hAnsi="宋体" w:cs="宋体" w:hint="eastAsia"/>
          <w:color w:val="000000"/>
          <w:kern w:val="0"/>
          <w:sz w:val="22"/>
          <w:lang w:val="zh-CN"/>
        </w:rPr>
        <w:t>，代码：</w:t>
      </w:r>
      <w:r w:rsidRPr="007D5785">
        <w:rPr>
          <w:rFonts w:ascii="宋体" w:eastAsia="宋体" w:hAnsi="宋体" w:cs="宋体"/>
          <w:color w:val="000000"/>
          <w:kern w:val="0"/>
          <w:sz w:val="22"/>
          <w:lang w:val="zh-CN"/>
        </w:rPr>
        <w:t>600975</w:t>
      </w:r>
      <w:r w:rsidRPr="007D5785">
        <w:rPr>
          <w:rFonts w:ascii="宋体" w:eastAsia="宋体" w:hAnsi="宋体" w:cs="宋体" w:hint="eastAsia"/>
          <w:color w:val="000000"/>
          <w:kern w:val="0"/>
          <w:sz w:val="22"/>
          <w:lang w:val="zh-CN"/>
        </w:rPr>
        <w:t>）非公开发行股票的认购。</w:t>
      </w:r>
      <w:r w:rsidRPr="007D5785">
        <w:rPr>
          <w:rFonts w:ascii="宋体" w:eastAsia="宋体" w:hAnsi="宋体" w:cs="宋体"/>
          <w:color w:val="000000"/>
          <w:kern w:val="0"/>
          <w:sz w:val="22"/>
          <w:lang w:val="zh-CN"/>
        </w:rPr>
        <w:t>湖南新五丰股份有限公司</w:t>
      </w:r>
      <w:r w:rsidRPr="007D5785">
        <w:rPr>
          <w:rFonts w:ascii="宋体" w:eastAsia="宋体" w:hAnsi="宋体" w:cs="宋体" w:hint="eastAsia"/>
          <w:color w:val="000000"/>
          <w:kern w:val="0"/>
          <w:sz w:val="22"/>
          <w:lang w:val="zh-CN"/>
        </w:rPr>
        <w:t>已发布《</w:t>
      </w:r>
      <w:r w:rsidRPr="007D5785">
        <w:rPr>
          <w:rFonts w:ascii="宋体" w:eastAsia="宋体" w:hAnsi="宋体" w:cs="宋体"/>
          <w:color w:val="000000"/>
          <w:kern w:val="0"/>
          <w:sz w:val="22"/>
          <w:lang w:val="zh-CN"/>
        </w:rPr>
        <w:t>新五丰:发行股份及支付现金购买资产并募集配套资金暨关联交易实施情况暨新增股份上市公告书</w:t>
      </w:r>
      <w:r w:rsidRPr="007D5785">
        <w:rPr>
          <w:rFonts w:ascii="宋体" w:eastAsia="宋体" w:hAnsi="宋体" w:cs="宋体" w:hint="eastAsia"/>
          <w:color w:val="000000"/>
          <w:kern w:val="0"/>
          <w:sz w:val="22"/>
          <w:lang w:val="zh-CN"/>
        </w:rPr>
        <w:t>》，公布了本次非公开发行结果。根据中国证监会《关于基金投资非公开发行股票等流通受限证券有关问题的通知》等有关规定，本公司现将旗下基金投资此非公开发行股票的相关信息公告如下：</w:t>
      </w:r>
    </w:p>
    <w:tbl>
      <w:tblPr>
        <w:tblW w:w="0" w:type="auto"/>
        <w:tblInd w:w="115"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0" w:type="dxa"/>
          <w:right w:w="0" w:type="dxa"/>
        </w:tblCellMar>
        <w:tblLook w:val="04A0"/>
      </w:tblPr>
      <w:tblGrid>
        <w:gridCol w:w="1740"/>
        <w:gridCol w:w="1162"/>
        <w:gridCol w:w="1582"/>
        <w:gridCol w:w="1016"/>
        <w:gridCol w:w="1693"/>
        <w:gridCol w:w="1021"/>
        <w:gridCol w:w="704"/>
      </w:tblGrid>
      <w:tr w:rsidR="00AC567E" w:rsidRPr="0047632E" w:rsidTr="00C23543">
        <w:trPr>
          <w:trHeight w:val="2042"/>
        </w:trPr>
        <w:tc>
          <w:tcPr>
            <w:tcW w:w="1740" w:type="dxa"/>
            <w:tcBorders>
              <w:top w:val="single" w:sz="4" w:space="0" w:color="000000"/>
              <w:left w:val="single" w:sz="4" w:space="0" w:color="000000"/>
              <w:bottom w:val="single" w:sz="4" w:space="0" w:color="000000"/>
              <w:right w:val="single" w:sz="4" w:space="0" w:color="000000"/>
            </w:tcBorders>
          </w:tcPr>
          <w:p w:rsidR="00AC567E" w:rsidRPr="0047632E" w:rsidRDefault="00AC567E" w:rsidP="00C23543">
            <w:pPr>
              <w:pStyle w:val="TableParagraph"/>
              <w:kinsoku w:val="0"/>
              <w:overflowPunct w:val="0"/>
              <w:rPr>
                <w:rFonts w:hAnsi="宋体" w:hint="default"/>
                <w:sz w:val="20"/>
                <w:szCs w:val="20"/>
              </w:rPr>
            </w:pPr>
          </w:p>
          <w:p w:rsidR="00AC567E" w:rsidRPr="0047632E" w:rsidRDefault="00AC567E" w:rsidP="00C23543">
            <w:pPr>
              <w:pStyle w:val="TableParagraph"/>
              <w:kinsoku w:val="0"/>
              <w:overflowPunct w:val="0"/>
              <w:rPr>
                <w:rFonts w:hAnsi="宋体" w:hint="default"/>
                <w:sz w:val="20"/>
                <w:szCs w:val="20"/>
              </w:rPr>
            </w:pPr>
          </w:p>
          <w:p w:rsidR="00AC567E" w:rsidRPr="0047632E" w:rsidRDefault="00AC567E" w:rsidP="00C23543">
            <w:pPr>
              <w:pStyle w:val="TableParagraph"/>
              <w:kinsoku w:val="0"/>
              <w:overflowPunct w:val="0"/>
              <w:spacing w:before="9"/>
              <w:rPr>
                <w:rFonts w:hAnsi="宋体" w:hint="default"/>
                <w:sz w:val="23"/>
                <w:szCs w:val="23"/>
              </w:rPr>
            </w:pPr>
          </w:p>
          <w:p w:rsidR="00AC567E" w:rsidRPr="0047632E" w:rsidRDefault="00AC567E" w:rsidP="00C23543">
            <w:pPr>
              <w:pStyle w:val="TableParagraph"/>
              <w:kinsoku w:val="0"/>
              <w:overflowPunct w:val="0"/>
              <w:spacing w:before="1"/>
              <w:ind w:left="448"/>
              <w:rPr>
                <w:rFonts w:hAnsi="宋体" w:hint="default"/>
                <w:sz w:val="21"/>
                <w:szCs w:val="21"/>
              </w:rPr>
            </w:pPr>
            <w:r w:rsidRPr="0047632E">
              <w:rPr>
                <w:rFonts w:hAnsi="宋体"/>
                <w:sz w:val="21"/>
                <w:szCs w:val="21"/>
              </w:rPr>
              <w:t>基金名称</w:t>
            </w:r>
          </w:p>
        </w:tc>
        <w:tc>
          <w:tcPr>
            <w:tcW w:w="1162" w:type="dxa"/>
            <w:tcBorders>
              <w:top w:val="single" w:sz="4" w:space="0" w:color="000000"/>
              <w:left w:val="single" w:sz="4" w:space="0" w:color="000000"/>
              <w:bottom w:val="single" w:sz="4" w:space="0" w:color="000000"/>
              <w:right w:val="single" w:sz="4" w:space="0" w:color="000000"/>
            </w:tcBorders>
          </w:tcPr>
          <w:p w:rsidR="00AC567E" w:rsidRPr="0047632E" w:rsidRDefault="00AC567E" w:rsidP="00C23543">
            <w:pPr>
              <w:pStyle w:val="TableParagraph"/>
              <w:kinsoku w:val="0"/>
              <w:overflowPunct w:val="0"/>
              <w:rPr>
                <w:rFonts w:hAnsi="宋体" w:hint="default"/>
                <w:sz w:val="20"/>
                <w:szCs w:val="20"/>
              </w:rPr>
            </w:pPr>
          </w:p>
          <w:p w:rsidR="00AC567E" w:rsidRPr="0047632E" w:rsidRDefault="00AC567E" w:rsidP="00C23543">
            <w:pPr>
              <w:pStyle w:val="TableParagraph"/>
              <w:kinsoku w:val="0"/>
              <w:overflowPunct w:val="0"/>
              <w:spacing w:before="10"/>
              <w:rPr>
                <w:rFonts w:hAnsi="宋体" w:hint="default"/>
                <w:sz w:val="27"/>
                <w:szCs w:val="27"/>
              </w:rPr>
            </w:pPr>
          </w:p>
          <w:p w:rsidR="00AC567E" w:rsidRPr="0047632E" w:rsidRDefault="00AC567E" w:rsidP="00C23543">
            <w:pPr>
              <w:pStyle w:val="TableParagraph"/>
              <w:kinsoku w:val="0"/>
              <w:overflowPunct w:val="0"/>
              <w:ind w:left="160"/>
              <w:rPr>
                <w:rFonts w:hAnsi="宋体" w:hint="default"/>
                <w:sz w:val="21"/>
                <w:szCs w:val="21"/>
              </w:rPr>
            </w:pPr>
            <w:r w:rsidRPr="0047632E">
              <w:rPr>
                <w:rFonts w:hAnsi="宋体"/>
                <w:sz w:val="21"/>
                <w:szCs w:val="21"/>
              </w:rPr>
              <w:t>认购数量</w:t>
            </w:r>
          </w:p>
          <w:p w:rsidR="00AC567E" w:rsidRPr="0047632E" w:rsidRDefault="00AC567E" w:rsidP="00C23543">
            <w:pPr>
              <w:pStyle w:val="TableParagraph"/>
              <w:kinsoku w:val="0"/>
              <w:overflowPunct w:val="0"/>
              <w:spacing w:before="139"/>
              <w:ind w:left="263"/>
              <w:rPr>
                <w:rFonts w:hAnsi="宋体" w:hint="default"/>
                <w:sz w:val="21"/>
                <w:szCs w:val="21"/>
              </w:rPr>
            </w:pPr>
            <w:r w:rsidRPr="0047632E">
              <w:rPr>
                <w:rFonts w:hAnsi="宋体"/>
                <w:sz w:val="21"/>
                <w:szCs w:val="21"/>
              </w:rPr>
              <w:t>（股）</w:t>
            </w:r>
          </w:p>
        </w:tc>
        <w:tc>
          <w:tcPr>
            <w:tcW w:w="1582" w:type="dxa"/>
            <w:tcBorders>
              <w:top w:val="single" w:sz="4" w:space="0" w:color="000000"/>
              <w:left w:val="single" w:sz="4" w:space="0" w:color="000000"/>
              <w:bottom w:val="single" w:sz="4" w:space="0" w:color="000000"/>
              <w:right w:val="single" w:sz="4" w:space="0" w:color="000000"/>
            </w:tcBorders>
          </w:tcPr>
          <w:p w:rsidR="00AC567E" w:rsidRPr="0047632E" w:rsidRDefault="00AC567E" w:rsidP="00C23543">
            <w:pPr>
              <w:pStyle w:val="TableParagraph"/>
              <w:kinsoku w:val="0"/>
              <w:overflowPunct w:val="0"/>
              <w:rPr>
                <w:rFonts w:hAnsi="宋体" w:hint="default"/>
                <w:sz w:val="20"/>
                <w:szCs w:val="20"/>
              </w:rPr>
            </w:pPr>
          </w:p>
          <w:p w:rsidR="00AC567E" w:rsidRPr="0047632E" w:rsidRDefault="00AC567E" w:rsidP="00C23543">
            <w:pPr>
              <w:pStyle w:val="TableParagraph"/>
              <w:kinsoku w:val="0"/>
              <w:overflowPunct w:val="0"/>
              <w:rPr>
                <w:rFonts w:hAnsi="宋体" w:hint="default"/>
                <w:sz w:val="20"/>
                <w:szCs w:val="20"/>
              </w:rPr>
            </w:pPr>
          </w:p>
          <w:p w:rsidR="00AC567E" w:rsidRPr="0047632E" w:rsidRDefault="00AC567E" w:rsidP="00C23543">
            <w:pPr>
              <w:pStyle w:val="TableParagraph"/>
              <w:kinsoku w:val="0"/>
              <w:overflowPunct w:val="0"/>
              <w:spacing w:before="9"/>
              <w:rPr>
                <w:rFonts w:hAnsi="宋体" w:hint="default"/>
                <w:sz w:val="23"/>
                <w:szCs w:val="23"/>
              </w:rPr>
            </w:pPr>
          </w:p>
          <w:p w:rsidR="00AC567E" w:rsidRPr="0047632E" w:rsidRDefault="00AC567E" w:rsidP="00C23543">
            <w:pPr>
              <w:pStyle w:val="TableParagraph"/>
              <w:kinsoku w:val="0"/>
              <w:overflowPunct w:val="0"/>
              <w:spacing w:before="1"/>
              <w:ind w:left="88" w:right="77"/>
              <w:jc w:val="center"/>
              <w:rPr>
                <w:rFonts w:hAnsi="宋体" w:hint="default"/>
                <w:sz w:val="21"/>
                <w:szCs w:val="21"/>
              </w:rPr>
            </w:pPr>
            <w:r w:rsidRPr="0047632E">
              <w:rPr>
                <w:rFonts w:hAnsi="宋体"/>
                <w:sz w:val="21"/>
                <w:szCs w:val="21"/>
              </w:rPr>
              <w:t>总成本（元）</w:t>
            </w:r>
          </w:p>
        </w:tc>
        <w:tc>
          <w:tcPr>
            <w:tcW w:w="1016" w:type="dxa"/>
            <w:tcBorders>
              <w:top w:val="single" w:sz="4" w:space="0" w:color="000000"/>
              <w:left w:val="single" w:sz="4" w:space="0" w:color="000000"/>
              <w:bottom w:val="single" w:sz="4" w:space="0" w:color="000000"/>
              <w:right w:val="single" w:sz="4" w:space="0" w:color="000000"/>
            </w:tcBorders>
          </w:tcPr>
          <w:p w:rsidR="00AC567E" w:rsidRPr="0047632E" w:rsidRDefault="00AC567E" w:rsidP="00C23543">
            <w:pPr>
              <w:pStyle w:val="TableParagraph"/>
              <w:kinsoku w:val="0"/>
              <w:overflowPunct w:val="0"/>
              <w:spacing w:before="12"/>
              <w:rPr>
                <w:rFonts w:hAnsi="宋体" w:hint="default"/>
                <w:sz w:val="15"/>
                <w:szCs w:val="15"/>
              </w:rPr>
            </w:pPr>
          </w:p>
          <w:p w:rsidR="00AC567E" w:rsidRPr="0047632E" w:rsidRDefault="00AC567E" w:rsidP="00C23543">
            <w:pPr>
              <w:pStyle w:val="TableParagraph"/>
              <w:kinsoku w:val="0"/>
              <w:overflowPunct w:val="0"/>
              <w:spacing w:line="364" w:lineRule="auto"/>
              <w:ind w:left="191" w:right="179"/>
              <w:jc w:val="both"/>
              <w:rPr>
                <w:rFonts w:hAnsi="宋体" w:hint="default"/>
                <w:sz w:val="21"/>
                <w:szCs w:val="21"/>
              </w:rPr>
            </w:pPr>
            <w:r w:rsidRPr="0047632E">
              <w:rPr>
                <w:rFonts w:hAnsi="宋体"/>
                <w:sz w:val="21"/>
                <w:szCs w:val="21"/>
              </w:rPr>
              <w:t>总成本占基金资产净值比例（%）</w:t>
            </w:r>
          </w:p>
        </w:tc>
        <w:tc>
          <w:tcPr>
            <w:tcW w:w="1693" w:type="dxa"/>
            <w:tcBorders>
              <w:top w:val="single" w:sz="4" w:space="0" w:color="000000"/>
              <w:left w:val="single" w:sz="4" w:space="0" w:color="000000"/>
              <w:bottom w:val="single" w:sz="4" w:space="0" w:color="000000"/>
              <w:right w:val="single" w:sz="4" w:space="0" w:color="000000"/>
            </w:tcBorders>
          </w:tcPr>
          <w:p w:rsidR="00AC567E" w:rsidRPr="0047632E" w:rsidRDefault="00AC567E" w:rsidP="00C23543">
            <w:pPr>
              <w:pStyle w:val="TableParagraph"/>
              <w:kinsoku w:val="0"/>
              <w:overflowPunct w:val="0"/>
              <w:rPr>
                <w:rFonts w:hAnsi="宋体" w:hint="default"/>
                <w:sz w:val="20"/>
                <w:szCs w:val="20"/>
              </w:rPr>
            </w:pPr>
          </w:p>
          <w:p w:rsidR="00AC567E" w:rsidRPr="0047632E" w:rsidRDefault="00AC567E" w:rsidP="00C23543">
            <w:pPr>
              <w:pStyle w:val="TableParagraph"/>
              <w:kinsoku w:val="0"/>
              <w:overflowPunct w:val="0"/>
              <w:rPr>
                <w:rFonts w:hAnsi="宋体" w:hint="default"/>
                <w:sz w:val="20"/>
                <w:szCs w:val="20"/>
              </w:rPr>
            </w:pPr>
          </w:p>
          <w:p w:rsidR="00AC567E" w:rsidRPr="0047632E" w:rsidRDefault="00AC567E" w:rsidP="00C23543">
            <w:pPr>
              <w:pStyle w:val="TableParagraph"/>
              <w:kinsoku w:val="0"/>
              <w:overflowPunct w:val="0"/>
              <w:spacing w:before="9"/>
              <w:rPr>
                <w:rFonts w:hAnsi="宋体" w:hint="default"/>
                <w:sz w:val="23"/>
                <w:szCs w:val="23"/>
              </w:rPr>
            </w:pPr>
          </w:p>
          <w:p w:rsidR="00AC567E" w:rsidRPr="0047632E" w:rsidRDefault="00AC567E" w:rsidP="00C23543">
            <w:pPr>
              <w:pStyle w:val="TableParagraph"/>
              <w:kinsoku w:val="0"/>
              <w:overflowPunct w:val="0"/>
              <w:spacing w:before="1"/>
              <w:ind w:right="98"/>
              <w:jc w:val="right"/>
              <w:rPr>
                <w:rFonts w:hAnsi="宋体" w:hint="default"/>
                <w:sz w:val="21"/>
                <w:szCs w:val="21"/>
              </w:rPr>
            </w:pPr>
            <w:r w:rsidRPr="0047632E">
              <w:rPr>
                <w:rFonts w:hAnsi="宋体"/>
                <w:sz w:val="21"/>
                <w:szCs w:val="21"/>
              </w:rPr>
              <w:t>账面价值（元）</w:t>
            </w:r>
          </w:p>
        </w:tc>
        <w:tc>
          <w:tcPr>
            <w:tcW w:w="1021" w:type="dxa"/>
            <w:tcBorders>
              <w:top w:val="single" w:sz="4" w:space="0" w:color="000000"/>
              <w:left w:val="single" w:sz="4" w:space="0" w:color="000000"/>
              <w:bottom w:val="single" w:sz="4" w:space="0" w:color="000000"/>
              <w:right w:val="single" w:sz="4" w:space="0" w:color="000000"/>
            </w:tcBorders>
          </w:tcPr>
          <w:p w:rsidR="00AC567E" w:rsidRPr="0047632E" w:rsidRDefault="00AC567E" w:rsidP="00C23543">
            <w:pPr>
              <w:pStyle w:val="TableParagraph"/>
              <w:kinsoku w:val="0"/>
              <w:overflowPunct w:val="0"/>
              <w:spacing w:before="1" w:line="364" w:lineRule="auto"/>
              <w:ind w:left="191" w:right="183"/>
              <w:jc w:val="both"/>
              <w:rPr>
                <w:rFonts w:hAnsi="宋体" w:hint="default"/>
                <w:sz w:val="21"/>
                <w:szCs w:val="21"/>
              </w:rPr>
            </w:pPr>
            <w:r w:rsidRPr="0047632E">
              <w:rPr>
                <w:rFonts w:hAnsi="宋体"/>
                <w:sz w:val="21"/>
                <w:szCs w:val="21"/>
              </w:rPr>
              <w:t>账面价值占基金资产净值比</w:t>
            </w:r>
          </w:p>
          <w:p w:rsidR="00AC567E" w:rsidRPr="0047632E" w:rsidRDefault="00AC567E" w:rsidP="00C23543">
            <w:pPr>
              <w:pStyle w:val="TableParagraph"/>
              <w:kinsoku w:val="0"/>
              <w:overflowPunct w:val="0"/>
              <w:spacing w:line="268" w:lineRule="exact"/>
              <w:ind w:left="5"/>
              <w:jc w:val="center"/>
              <w:rPr>
                <w:rFonts w:hAnsi="宋体" w:hint="default"/>
                <w:sz w:val="21"/>
                <w:szCs w:val="21"/>
              </w:rPr>
            </w:pPr>
            <w:r w:rsidRPr="0047632E">
              <w:rPr>
                <w:rFonts w:hAnsi="宋体"/>
                <w:sz w:val="21"/>
                <w:szCs w:val="21"/>
              </w:rPr>
              <w:t>例（%）</w:t>
            </w:r>
          </w:p>
        </w:tc>
        <w:tc>
          <w:tcPr>
            <w:tcW w:w="704" w:type="dxa"/>
            <w:tcBorders>
              <w:top w:val="single" w:sz="4" w:space="0" w:color="000000"/>
              <w:left w:val="single" w:sz="4" w:space="0" w:color="000000"/>
              <w:bottom w:val="single" w:sz="4" w:space="0" w:color="000000"/>
              <w:right w:val="single" w:sz="4" w:space="0" w:color="000000"/>
            </w:tcBorders>
          </w:tcPr>
          <w:p w:rsidR="00AC567E" w:rsidRPr="0047632E" w:rsidRDefault="00AC567E" w:rsidP="00C23543">
            <w:pPr>
              <w:pStyle w:val="TableParagraph"/>
              <w:kinsoku w:val="0"/>
              <w:overflowPunct w:val="0"/>
              <w:rPr>
                <w:rFonts w:hAnsi="宋体" w:hint="default"/>
                <w:sz w:val="20"/>
                <w:szCs w:val="20"/>
              </w:rPr>
            </w:pPr>
          </w:p>
          <w:p w:rsidR="00AC567E" w:rsidRPr="0047632E" w:rsidRDefault="00AC567E" w:rsidP="00C23543">
            <w:pPr>
              <w:pStyle w:val="TableParagraph"/>
              <w:kinsoku w:val="0"/>
              <w:overflowPunct w:val="0"/>
              <w:spacing w:before="10"/>
              <w:rPr>
                <w:rFonts w:hAnsi="宋体" w:hint="default"/>
                <w:sz w:val="27"/>
                <w:szCs w:val="27"/>
              </w:rPr>
            </w:pPr>
          </w:p>
          <w:p w:rsidR="00AC567E" w:rsidRPr="0047632E" w:rsidRDefault="00AC567E" w:rsidP="00C23543">
            <w:pPr>
              <w:pStyle w:val="TableParagraph"/>
              <w:kinsoku w:val="0"/>
              <w:overflowPunct w:val="0"/>
              <w:spacing w:before="1" w:line="364" w:lineRule="auto"/>
              <w:ind w:left="241" w:right="131" w:hanging="104"/>
              <w:rPr>
                <w:rFonts w:hAnsi="宋体" w:hint="default"/>
                <w:sz w:val="21"/>
                <w:szCs w:val="21"/>
              </w:rPr>
            </w:pPr>
            <w:r w:rsidRPr="0047632E">
              <w:rPr>
                <w:rFonts w:hAnsi="宋体"/>
                <w:sz w:val="21"/>
                <w:szCs w:val="21"/>
              </w:rPr>
              <w:t>锁定期</w:t>
            </w:r>
          </w:p>
        </w:tc>
      </w:tr>
      <w:tr w:rsidR="000C4DB8" w:rsidRPr="0047632E">
        <w:tc>
          <w:tcPr>
            <w:tcW w:w="1740" w:type="dxa"/>
          </w:tcPr>
          <w:p w:rsidR="000C4DB8" w:rsidRPr="008D2DBC" w:rsidRDefault="008D2DBC">
            <w:pPr>
              <w:rPr>
                <w:rFonts w:ascii="宋体" w:eastAsia="宋体" w:hAnsi="宋体"/>
              </w:rPr>
            </w:pPr>
            <w:r w:rsidRPr="008D2DBC">
              <w:rPr>
                <w:rFonts w:ascii="宋体" w:eastAsia="宋体" w:hAnsi="宋体"/>
              </w:rPr>
              <w:t>中欧精选灵活配置定期开放混合型发起式证券投资基金</w:t>
            </w:r>
          </w:p>
        </w:tc>
        <w:tc>
          <w:tcPr>
            <w:tcW w:w="1162" w:type="dxa"/>
          </w:tcPr>
          <w:p w:rsidR="000C4DB8" w:rsidRPr="008D2DBC" w:rsidRDefault="008D2DBC">
            <w:pPr>
              <w:rPr>
                <w:rFonts w:ascii="宋体" w:eastAsia="宋体" w:hAnsi="宋体"/>
              </w:rPr>
            </w:pPr>
            <w:r w:rsidRPr="008D2DBC">
              <w:rPr>
                <w:rFonts w:ascii="宋体" w:eastAsia="宋体" w:hAnsi="宋体"/>
              </w:rPr>
              <w:t>2,741,358</w:t>
            </w:r>
          </w:p>
        </w:tc>
        <w:tc>
          <w:tcPr>
            <w:tcW w:w="1582" w:type="dxa"/>
          </w:tcPr>
          <w:p w:rsidR="000C4DB8" w:rsidRPr="008D2DBC" w:rsidRDefault="008D2DBC">
            <w:pPr>
              <w:rPr>
                <w:rFonts w:ascii="宋体" w:eastAsia="宋体" w:hAnsi="宋体"/>
              </w:rPr>
            </w:pPr>
            <w:r w:rsidRPr="008D2DBC">
              <w:rPr>
                <w:rFonts w:ascii="宋体" w:eastAsia="宋体" w:hAnsi="宋体"/>
              </w:rPr>
              <w:t>22,999,993.62</w:t>
            </w:r>
          </w:p>
        </w:tc>
        <w:tc>
          <w:tcPr>
            <w:tcW w:w="1016" w:type="dxa"/>
          </w:tcPr>
          <w:p w:rsidR="000C4DB8" w:rsidRPr="008D2DBC" w:rsidRDefault="008D2DBC">
            <w:pPr>
              <w:rPr>
                <w:rFonts w:ascii="宋体" w:eastAsia="宋体" w:hAnsi="宋体"/>
              </w:rPr>
            </w:pPr>
            <w:r w:rsidRPr="008D2DBC">
              <w:rPr>
                <w:rFonts w:ascii="宋体" w:eastAsia="宋体" w:hAnsi="宋体"/>
              </w:rPr>
              <w:t>0.4858</w:t>
            </w:r>
          </w:p>
        </w:tc>
        <w:tc>
          <w:tcPr>
            <w:tcW w:w="1693" w:type="dxa"/>
          </w:tcPr>
          <w:p w:rsidR="000C4DB8" w:rsidRPr="008D2DBC" w:rsidRDefault="008D2DBC">
            <w:pPr>
              <w:rPr>
                <w:rFonts w:ascii="宋体" w:eastAsia="宋体" w:hAnsi="宋体"/>
              </w:rPr>
            </w:pPr>
            <w:r w:rsidRPr="008D2DBC">
              <w:rPr>
                <w:rFonts w:ascii="宋体" w:eastAsia="宋体" w:hAnsi="宋体"/>
              </w:rPr>
              <w:t>24,781,876.32</w:t>
            </w:r>
          </w:p>
        </w:tc>
        <w:tc>
          <w:tcPr>
            <w:tcW w:w="1021" w:type="dxa"/>
          </w:tcPr>
          <w:p w:rsidR="000C4DB8" w:rsidRPr="008D2DBC" w:rsidRDefault="008D2DBC">
            <w:pPr>
              <w:rPr>
                <w:rFonts w:ascii="宋体" w:eastAsia="宋体" w:hAnsi="宋体"/>
              </w:rPr>
            </w:pPr>
            <w:r w:rsidRPr="008D2DBC">
              <w:rPr>
                <w:rFonts w:ascii="宋体" w:eastAsia="宋体" w:hAnsi="宋体"/>
              </w:rPr>
              <w:t>0.5234</w:t>
            </w:r>
          </w:p>
        </w:tc>
        <w:tc>
          <w:tcPr>
            <w:tcW w:w="704" w:type="dxa"/>
          </w:tcPr>
          <w:p w:rsidR="000C4DB8" w:rsidRPr="008D2DBC" w:rsidRDefault="008D2DBC">
            <w:pPr>
              <w:rPr>
                <w:rFonts w:ascii="宋体" w:eastAsia="宋体" w:hAnsi="宋体"/>
              </w:rPr>
            </w:pPr>
            <w:r w:rsidRPr="008D2DBC">
              <w:rPr>
                <w:rFonts w:ascii="宋体" w:eastAsia="宋体" w:hAnsi="宋体"/>
              </w:rPr>
              <w:t>6个月</w:t>
            </w:r>
          </w:p>
        </w:tc>
      </w:tr>
      <w:tr w:rsidR="000C4DB8" w:rsidRPr="0047632E">
        <w:tc>
          <w:tcPr>
            <w:tcW w:w="1740" w:type="dxa"/>
          </w:tcPr>
          <w:p w:rsidR="000C4DB8" w:rsidRPr="008D2DBC" w:rsidRDefault="008D2DBC">
            <w:pPr>
              <w:rPr>
                <w:rFonts w:ascii="宋体" w:eastAsia="宋体" w:hAnsi="宋体"/>
              </w:rPr>
            </w:pPr>
            <w:r w:rsidRPr="008D2DBC">
              <w:rPr>
                <w:rFonts w:ascii="宋体" w:eastAsia="宋体" w:hAnsi="宋体"/>
              </w:rPr>
              <w:t>中欧时代先锋股票型发起式证券投资基金</w:t>
            </w:r>
          </w:p>
        </w:tc>
        <w:tc>
          <w:tcPr>
            <w:tcW w:w="1162" w:type="dxa"/>
          </w:tcPr>
          <w:p w:rsidR="000C4DB8" w:rsidRPr="008D2DBC" w:rsidRDefault="008D2DBC">
            <w:pPr>
              <w:rPr>
                <w:rFonts w:ascii="宋体" w:eastAsia="宋体" w:hAnsi="宋体"/>
              </w:rPr>
            </w:pPr>
            <w:r w:rsidRPr="008D2DBC">
              <w:rPr>
                <w:rFonts w:ascii="宋体" w:eastAsia="宋体" w:hAnsi="宋体"/>
              </w:rPr>
              <w:t>16,686,531</w:t>
            </w:r>
          </w:p>
        </w:tc>
        <w:tc>
          <w:tcPr>
            <w:tcW w:w="1582" w:type="dxa"/>
          </w:tcPr>
          <w:p w:rsidR="000C4DB8" w:rsidRPr="008D2DBC" w:rsidRDefault="008D2DBC">
            <w:pPr>
              <w:rPr>
                <w:rFonts w:ascii="宋体" w:eastAsia="宋体" w:hAnsi="宋体"/>
              </w:rPr>
            </w:pPr>
            <w:r w:rsidRPr="008D2DBC">
              <w:rPr>
                <w:rFonts w:ascii="宋体" w:eastAsia="宋体" w:hAnsi="宋体"/>
              </w:rPr>
              <w:t>139,999,995.09</w:t>
            </w:r>
          </w:p>
        </w:tc>
        <w:tc>
          <w:tcPr>
            <w:tcW w:w="1016" w:type="dxa"/>
          </w:tcPr>
          <w:p w:rsidR="000C4DB8" w:rsidRPr="008D2DBC" w:rsidRDefault="008D2DBC">
            <w:pPr>
              <w:rPr>
                <w:rFonts w:ascii="宋体" w:eastAsia="宋体" w:hAnsi="宋体"/>
              </w:rPr>
            </w:pPr>
            <w:r w:rsidRPr="008D2DBC">
              <w:rPr>
                <w:rFonts w:ascii="宋体" w:eastAsia="宋体" w:hAnsi="宋体"/>
              </w:rPr>
              <w:t>0.9599</w:t>
            </w:r>
          </w:p>
        </w:tc>
        <w:tc>
          <w:tcPr>
            <w:tcW w:w="1693" w:type="dxa"/>
          </w:tcPr>
          <w:p w:rsidR="000C4DB8" w:rsidRPr="008D2DBC" w:rsidRDefault="008D2DBC">
            <w:pPr>
              <w:rPr>
                <w:rFonts w:ascii="宋体" w:eastAsia="宋体" w:hAnsi="宋体"/>
              </w:rPr>
            </w:pPr>
            <w:r w:rsidRPr="008D2DBC">
              <w:rPr>
                <w:rFonts w:ascii="宋体" w:eastAsia="宋体" w:hAnsi="宋体"/>
              </w:rPr>
              <w:t>150,846,240.24</w:t>
            </w:r>
          </w:p>
        </w:tc>
        <w:tc>
          <w:tcPr>
            <w:tcW w:w="1021" w:type="dxa"/>
          </w:tcPr>
          <w:p w:rsidR="000C4DB8" w:rsidRPr="008D2DBC" w:rsidRDefault="008D2DBC">
            <w:pPr>
              <w:rPr>
                <w:rFonts w:ascii="宋体" w:eastAsia="宋体" w:hAnsi="宋体"/>
              </w:rPr>
            </w:pPr>
            <w:r w:rsidRPr="008D2DBC">
              <w:rPr>
                <w:rFonts w:ascii="宋体" w:eastAsia="宋体" w:hAnsi="宋体"/>
              </w:rPr>
              <w:t>1.0343</w:t>
            </w:r>
          </w:p>
        </w:tc>
        <w:tc>
          <w:tcPr>
            <w:tcW w:w="704" w:type="dxa"/>
          </w:tcPr>
          <w:p w:rsidR="000C4DB8" w:rsidRPr="008D2DBC" w:rsidRDefault="008D2DBC">
            <w:pPr>
              <w:rPr>
                <w:rFonts w:ascii="宋体" w:eastAsia="宋体" w:hAnsi="宋体"/>
              </w:rPr>
            </w:pPr>
            <w:r w:rsidRPr="008D2DBC">
              <w:rPr>
                <w:rFonts w:ascii="宋体" w:eastAsia="宋体" w:hAnsi="宋体"/>
              </w:rPr>
              <w:t>6个月</w:t>
            </w:r>
          </w:p>
        </w:tc>
      </w:tr>
      <w:tr w:rsidR="000C4DB8" w:rsidRPr="0047632E">
        <w:tc>
          <w:tcPr>
            <w:tcW w:w="1740" w:type="dxa"/>
          </w:tcPr>
          <w:p w:rsidR="000C4DB8" w:rsidRPr="008D2DBC" w:rsidRDefault="008D2DBC">
            <w:pPr>
              <w:rPr>
                <w:rFonts w:ascii="宋体" w:eastAsia="宋体" w:hAnsi="宋体"/>
              </w:rPr>
            </w:pPr>
            <w:r w:rsidRPr="008D2DBC">
              <w:rPr>
                <w:rFonts w:ascii="宋体" w:eastAsia="宋体" w:hAnsi="宋体"/>
              </w:rPr>
              <w:t>中欧丰泓沪港深灵活配置混合型证券投资基金</w:t>
            </w:r>
          </w:p>
        </w:tc>
        <w:tc>
          <w:tcPr>
            <w:tcW w:w="1162" w:type="dxa"/>
          </w:tcPr>
          <w:p w:rsidR="000C4DB8" w:rsidRPr="008D2DBC" w:rsidRDefault="008D2DBC">
            <w:pPr>
              <w:rPr>
                <w:rFonts w:ascii="宋体" w:eastAsia="宋体" w:hAnsi="宋体"/>
              </w:rPr>
            </w:pPr>
            <w:r w:rsidRPr="008D2DBC">
              <w:rPr>
                <w:rFonts w:ascii="宋体" w:eastAsia="宋体" w:hAnsi="宋体"/>
              </w:rPr>
              <w:t>4,767,580</w:t>
            </w:r>
          </w:p>
        </w:tc>
        <w:tc>
          <w:tcPr>
            <w:tcW w:w="1582" w:type="dxa"/>
          </w:tcPr>
          <w:p w:rsidR="000C4DB8" w:rsidRPr="008D2DBC" w:rsidRDefault="008D2DBC">
            <w:pPr>
              <w:rPr>
                <w:rFonts w:ascii="宋体" w:eastAsia="宋体" w:hAnsi="宋体"/>
              </w:rPr>
            </w:pPr>
            <w:r w:rsidRPr="008D2DBC">
              <w:rPr>
                <w:rFonts w:ascii="宋体" w:eastAsia="宋体" w:hAnsi="宋体"/>
              </w:rPr>
              <w:t>39,999,996.20</w:t>
            </w:r>
          </w:p>
        </w:tc>
        <w:tc>
          <w:tcPr>
            <w:tcW w:w="1016" w:type="dxa"/>
          </w:tcPr>
          <w:p w:rsidR="000C4DB8" w:rsidRPr="008D2DBC" w:rsidRDefault="008D2DBC">
            <w:pPr>
              <w:rPr>
                <w:rFonts w:ascii="宋体" w:eastAsia="宋体" w:hAnsi="宋体"/>
              </w:rPr>
            </w:pPr>
            <w:r w:rsidRPr="008D2DBC">
              <w:rPr>
                <w:rFonts w:ascii="宋体" w:eastAsia="宋体" w:hAnsi="宋体"/>
              </w:rPr>
              <w:t>0.6827</w:t>
            </w:r>
          </w:p>
        </w:tc>
        <w:tc>
          <w:tcPr>
            <w:tcW w:w="1693" w:type="dxa"/>
          </w:tcPr>
          <w:p w:rsidR="000C4DB8" w:rsidRPr="008D2DBC" w:rsidRDefault="008D2DBC">
            <w:pPr>
              <w:rPr>
                <w:rFonts w:ascii="宋体" w:eastAsia="宋体" w:hAnsi="宋体"/>
              </w:rPr>
            </w:pPr>
            <w:r w:rsidRPr="008D2DBC">
              <w:rPr>
                <w:rFonts w:ascii="宋体" w:eastAsia="宋体" w:hAnsi="宋体"/>
              </w:rPr>
              <w:t>43,098,923.20</w:t>
            </w:r>
          </w:p>
        </w:tc>
        <w:tc>
          <w:tcPr>
            <w:tcW w:w="1021" w:type="dxa"/>
          </w:tcPr>
          <w:p w:rsidR="000C4DB8" w:rsidRPr="008D2DBC" w:rsidRDefault="008D2DBC">
            <w:pPr>
              <w:rPr>
                <w:rFonts w:ascii="宋体" w:eastAsia="宋体" w:hAnsi="宋体"/>
              </w:rPr>
            </w:pPr>
            <w:r w:rsidRPr="008D2DBC">
              <w:rPr>
                <w:rFonts w:ascii="宋体" w:eastAsia="宋体" w:hAnsi="宋体"/>
              </w:rPr>
              <w:t>0.7356</w:t>
            </w:r>
          </w:p>
        </w:tc>
        <w:tc>
          <w:tcPr>
            <w:tcW w:w="704" w:type="dxa"/>
          </w:tcPr>
          <w:p w:rsidR="000C4DB8" w:rsidRPr="008D2DBC" w:rsidRDefault="008D2DBC">
            <w:pPr>
              <w:rPr>
                <w:rFonts w:ascii="宋体" w:eastAsia="宋体" w:hAnsi="宋体"/>
              </w:rPr>
            </w:pPr>
            <w:r w:rsidRPr="008D2DBC">
              <w:rPr>
                <w:rFonts w:ascii="宋体" w:eastAsia="宋体" w:hAnsi="宋体"/>
              </w:rPr>
              <w:t>6个月</w:t>
            </w:r>
          </w:p>
        </w:tc>
      </w:tr>
      <w:tr w:rsidR="000C4DB8" w:rsidRPr="0047632E">
        <w:tc>
          <w:tcPr>
            <w:tcW w:w="1740" w:type="dxa"/>
          </w:tcPr>
          <w:p w:rsidR="000C4DB8" w:rsidRPr="008D2DBC" w:rsidRDefault="008D2DBC">
            <w:pPr>
              <w:rPr>
                <w:rFonts w:ascii="宋体" w:eastAsia="宋体" w:hAnsi="宋体"/>
              </w:rPr>
            </w:pPr>
            <w:r w:rsidRPr="008D2DBC">
              <w:rPr>
                <w:rFonts w:ascii="宋体" w:eastAsia="宋体" w:hAnsi="宋体"/>
              </w:rPr>
              <w:t>中欧匠心两年持有期混合型证券投资基金</w:t>
            </w:r>
          </w:p>
        </w:tc>
        <w:tc>
          <w:tcPr>
            <w:tcW w:w="1162" w:type="dxa"/>
          </w:tcPr>
          <w:p w:rsidR="000C4DB8" w:rsidRPr="008D2DBC" w:rsidRDefault="008D2DBC">
            <w:pPr>
              <w:rPr>
                <w:rFonts w:ascii="宋体" w:eastAsia="宋体" w:hAnsi="宋体"/>
              </w:rPr>
            </w:pPr>
            <w:r w:rsidRPr="008D2DBC">
              <w:rPr>
                <w:rFonts w:ascii="宋体" w:eastAsia="宋体" w:hAnsi="宋体"/>
              </w:rPr>
              <w:t>1,907,032</w:t>
            </w:r>
          </w:p>
        </w:tc>
        <w:tc>
          <w:tcPr>
            <w:tcW w:w="1582" w:type="dxa"/>
          </w:tcPr>
          <w:p w:rsidR="000C4DB8" w:rsidRPr="008D2DBC" w:rsidRDefault="008D2DBC">
            <w:pPr>
              <w:rPr>
                <w:rFonts w:ascii="宋体" w:eastAsia="宋体" w:hAnsi="宋体"/>
              </w:rPr>
            </w:pPr>
            <w:r w:rsidRPr="008D2DBC">
              <w:rPr>
                <w:rFonts w:ascii="宋体" w:eastAsia="宋体" w:hAnsi="宋体"/>
              </w:rPr>
              <w:t>15,999,998.48</w:t>
            </w:r>
          </w:p>
        </w:tc>
        <w:tc>
          <w:tcPr>
            <w:tcW w:w="1016" w:type="dxa"/>
          </w:tcPr>
          <w:p w:rsidR="000C4DB8" w:rsidRPr="008D2DBC" w:rsidRDefault="008D2DBC">
            <w:pPr>
              <w:rPr>
                <w:rFonts w:ascii="宋体" w:eastAsia="宋体" w:hAnsi="宋体"/>
              </w:rPr>
            </w:pPr>
            <w:r w:rsidRPr="008D2DBC">
              <w:rPr>
                <w:rFonts w:ascii="宋体" w:eastAsia="宋体" w:hAnsi="宋体"/>
              </w:rPr>
              <w:t>0.4913</w:t>
            </w:r>
          </w:p>
        </w:tc>
        <w:tc>
          <w:tcPr>
            <w:tcW w:w="1693" w:type="dxa"/>
          </w:tcPr>
          <w:p w:rsidR="000C4DB8" w:rsidRPr="008D2DBC" w:rsidRDefault="008D2DBC">
            <w:pPr>
              <w:rPr>
                <w:rFonts w:ascii="宋体" w:eastAsia="宋体" w:hAnsi="宋体"/>
              </w:rPr>
            </w:pPr>
            <w:r w:rsidRPr="008D2DBC">
              <w:rPr>
                <w:rFonts w:ascii="宋体" w:eastAsia="宋体" w:hAnsi="宋体"/>
              </w:rPr>
              <w:t>17,239,569.28</w:t>
            </w:r>
          </w:p>
        </w:tc>
        <w:tc>
          <w:tcPr>
            <w:tcW w:w="1021" w:type="dxa"/>
          </w:tcPr>
          <w:p w:rsidR="000C4DB8" w:rsidRPr="008D2DBC" w:rsidRDefault="008D2DBC">
            <w:pPr>
              <w:rPr>
                <w:rFonts w:ascii="宋体" w:eastAsia="宋体" w:hAnsi="宋体"/>
              </w:rPr>
            </w:pPr>
            <w:r w:rsidRPr="008D2DBC">
              <w:rPr>
                <w:rFonts w:ascii="宋体" w:eastAsia="宋体" w:hAnsi="宋体"/>
              </w:rPr>
              <w:t>0.5294</w:t>
            </w:r>
          </w:p>
        </w:tc>
        <w:tc>
          <w:tcPr>
            <w:tcW w:w="704" w:type="dxa"/>
          </w:tcPr>
          <w:p w:rsidR="000C4DB8" w:rsidRPr="008D2DBC" w:rsidRDefault="008D2DBC">
            <w:pPr>
              <w:rPr>
                <w:rFonts w:ascii="宋体" w:eastAsia="宋体" w:hAnsi="宋体"/>
              </w:rPr>
            </w:pPr>
            <w:r w:rsidRPr="008D2DBC">
              <w:rPr>
                <w:rFonts w:ascii="宋体" w:eastAsia="宋体" w:hAnsi="宋体"/>
              </w:rPr>
              <w:t>6个月</w:t>
            </w:r>
          </w:p>
        </w:tc>
      </w:tr>
      <w:tr w:rsidR="000C4DB8" w:rsidRPr="0047632E">
        <w:tc>
          <w:tcPr>
            <w:tcW w:w="1740" w:type="dxa"/>
          </w:tcPr>
          <w:p w:rsidR="000C4DB8" w:rsidRPr="008D2DBC" w:rsidRDefault="008D2DBC">
            <w:pPr>
              <w:rPr>
                <w:rFonts w:ascii="宋体" w:eastAsia="宋体" w:hAnsi="宋体"/>
              </w:rPr>
            </w:pPr>
            <w:r w:rsidRPr="008D2DBC">
              <w:rPr>
                <w:rFonts w:ascii="宋体" w:eastAsia="宋体" w:hAnsi="宋体"/>
              </w:rPr>
              <w:t>中欧小盘成长混合型证券投资基金</w:t>
            </w:r>
          </w:p>
        </w:tc>
        <w:tc>
          <w:tcPr>
            <w:tcW w:w="1162" w:type="dxa"/>
          </w:tcPr>
          <w:p w:rsidR="000C4DB8" w:rsidRPr="008D2DBC" w:rsidRDefault="008D2DBC">
            <w:pPr>
              <w:rPr>
                <w:rFonts w:ascii="宋体" w:eastAsia="宋体" w:hAnsi="宋体"/>
              </w:rPr>
            </w:pPr>
            <w:r w:rsidRPr="008D2DBC">
              <w:rPr>
                <w:rFonts w:ascii="宋体" w:eastAsia="宋体" w:hAnsi="宋体"/>
              </w:rPr>
              <w:t>357,568</w:t>
            </w:r>
          </w:p>
        </w:tc>
        <w:tc>
          <w:tcPr>
            <w:tcW w:w="1582" w:type="dxa"/>
          </w:tcPr>
          <w:p w:rsidR="000C4DB8" w:rsidRPr="008D2DBC" w:rsidRDefault="008D2DBC">
            <w:pPr>
              <w:rPr>
                <w:rFonts w:ascii="宋体" w:eastAsia="宋体" w:hAnsi="宋体"/>
              </w:rPr>
            </w:pPr>
            <w:r w:rsidRPr="008D2DBC">
              <w:rPr>
                <w:rFonts w:ascii="宋体" w:eastAsia="宋体" w:hAnsi="宋体"/>
              </w:rPr>
              <w:t>2,999,995.52</w:t>
            </w:r>
          </w:p>
        </w:tc>
        <w:tc>
          <w:tcPr>
            <w:tcW w:w="1016" w:type="dxa"/>
          </w:tcPr>
          <w:p w:rsidR="000C4DB8" w:rsidRPr="008D2DBC" w:rsidRDefault="008D2DBC">
            <w:pPr>
              <w:rPr>
                <w:rFonts w:ascii="宋体" w:eastAsia="宋体" w:hAnsi="宋体"/>
              </w:rPr>
            </w:pPr>
            <w:r w:rsidRPr="008D2DBC">
              <w:rPr>
                <w:rFonts w:ascii="宋体" w:eastAsia="宋体" w:hAnsi="宋体"/>
              </w:rPr>
              <w:t>0.4729</w:t>
            </w:r>
          </w:p>
        </w:tc>
        <w:tc>
          <w:tcPr>
            <w:tcW w:w="1693" w:type="dxa"/>
          </w:tcPr>
          <w:p w:rsidR="000C4DB8" w:rsidRPr="008D2DBC" w:rsidRDefault="008D2DBC">
            <w:pPr>
              <w:rPr>
                <w:rFonts w:ascii="宋体" w:eastAsia="宋体" w:hAnsi="宋体"/>
              </w:rPr>
            </w:pPr>
            <w:r w:rsidRPr="008D2DBC">
              <w:rPr>
                <w:rFonts w:ascii="宋体" w:eastAsia="宋体" w:hAnsi="宋体"/>
              </w:rPr>
              <w:t>3,232,414.72</w:t>
            </w:r>
          </w:p>
        </w:tc>
        <w:tc>
          <w:tcPr>
            <w:tcW w:w="1021" w:type="dxa"/>
          </w:tcPr>
          <w:p w:rsidR="000C4DB8" w:rsidRPr="008D2DBC" w:rsidRDefault="008D2DBC">
            <w:pPr>
              <w:rPr>
                <w:rFonts w:ascii="宋体" w:eastAsia="宋体" w:hAnsi="宋体"/>
              </w:rPr>
            </w:pPr>
            <w:r w:rsidRPr="008D2DBC">
              <w:rPr>
                <w:rFonts w:ascii="宋体" w:eastAsia="宋体" w:hAnsi="宋体"/>
              </w:rPr>
              <w:t>0.5095</w:t>
            </w:r>
          </w:p>
        </w:tc>
        <w:tc>
          <w:tcPr>
            <w:tcW w:w="704" w:type="dxa"/>
          </w:tcPr>
          <w:p w:rsidR="000C4DB8" w:rsidRPr="008D2DBC" w:rsidRDefault="008D2DBC">
            <w:pPr>
              <w:rPr>
                <w:rFonts w:ascii="宋体" w:eastAsia="宋体" w:hAnsi="宋体"/>
              </w:rPr>
            </w:pPr>
            <w:r w:rsidRPr="008D2DBC">
              <w:rPr>
                <w:rFonts w:ascii="宋体" w:eastAsia="宋体" w:hAnsi="宋体"/>
              </w:rPr>
              <w:t>6个月</w:t>
            </w:r>
          </w:p>
        </w:tc>
      </w:tr>
      <w:tr w:rsidR="000C4DB8" w:rsidRPr="0047632E">
        <w:tc>
          <w:tcPr>
            <w:tcW w:w="1740" w:type="dxa"/>
          </w:tcPr>
          <w:p w:rsidR="000C4DB8" w:rsidRPr="008D2DBC" w:rsidRDefault="008D2DBC">
            <w:pPr>
              <w:rPr>
                <w:rFonts w:ascii="宋体" w:eastAsia="宋体" w:hAnsi="宋体"/>
              </w:rPr>
            </w:pPr>
            <w:r w:rsidRPr="008D2DBC">
              <w:rPr>
                <w:rFonts w:ascii="宋体" w:eastAsia="宋体" w:hAnsi="宋体"/>
              </w:rPr>
              <w:t>中欧新趋势混合型证券投资基金（LOF）</w:t>
            </w:r>
          </w:p>
        </w:tc>
        <w:tc>
          <w:tcPr>
            <w:tcW w:w="1162" w:type="dxa"/>
          </w:tcPr>
          <w:p w:rsidR="000C4DB8" w:rsidRPr="008D2DBC" w:rsidRDefault="008D2DBC">
            <w:pPr>
              <w:rPr>
                <w:rFonts w:ascii="宋体" w:eastAsia="宋体" w:hAnsi="宋体"/>
              </w:rPr>
            </w:pPr>
            <w:r w:rsidRPr="008D2DBC">
              <w:rPr>
                <w:rFonts w:ascii="宋体" w:eastAsia="宋体" w:hAnsi="宋体"/>
              </w:rPr>
              <w:t>4,410,011</w:t>
            </w:r>
          </w:p>
        </w:tc>
        <w:tc>
          <w:tcPr>
            <w:tcW w:w="1582" w:type="dxa"/>
          </w:tcPr>
          <w:p w:rsidR="000C4DB8" w:rsidRPr="008D2DBC" w:rsidRDefault="008D2DBC">
            <w:pPr>
              <w:rPr>
                <w:rFonts w:ascii="宋体" w:eastAsia="宋体" w:hAnsi="宋体"/>
              </w:rPr>
            </w:pPr>
            <w:r w:rsidRPr="008D2DBC">
              <w:rPr>
                <w:rFonts w:ascii="宋体" w:eastAsia="宋体" w:hAnsi="宋体"/>
              </w:rPr>
              <w:t>36,999,992.29</w:t>
            </w:r>
          </w:p>
        </w:tc>
        <w:tc>
          <w:tcPr>
            <w:tcW w:w="1016" w:type="dxa"/>
          </w:tcPr>
          <w:p w:rsidR="000C4DB8" w:rsidRPr="008D2DBC" w:rsidRDefault="008D2DBC">
            <w:pPr>
              <w:rPr>
                <w:rFonts w:ascii="宋体" w:eastAsia="宋体" w:hAnsi="宋体"/>
              </w:rPr>
            </w:pPr>
            <w:r w:rsidRPr="008D2DBC">
              <w:rPr>
                <w:rFonts w:ascii="宋体" w:eastAsia="宋体" w:hAnsi="宋体"/>
              </w:rPr>
              <w:t>0.5052</w:t>
            </w:r>
          </w:p>
        </w:tc>
        <w:tc>
          <w:tcPr>
            <w:tcW w:w="1693" w:type="dxa"/>
          </w:tcPr>
          <w:p w:rsidR="000C4DB8" w:rsidRPr="008D2DBC" w:rsidRDefault="008D2DBC">
            <w:pPr>
              <w:rPr>
                <w:rFonts w:ascii="宋体" w:eastAsia="宋体" w:hAnsi="宋体"/>
              </w:rPr>
            </w:pPr>
            <w:r w:rsidRPr="008D2DBC">
              <w:rPr>
                <w:rFonts w:ascii="宋体" w:eastAsia="宋体" w:hAnsi="宋体"/>
              </w:rPr>
              <w:t>39,866,499.44</w:t>
            </w:r>
          </w:p>
        </w:tc>
        <w:tc>
          <w:tcPr>
            <w:tcW w:w="1021" w:type="dxa"/>
          </w:tcPr>
          <w:p w:rsidR="000C4DB8" w:rsidRPr="008D2DBC" w:rsidRDefault="008D2DBC">
            <w:pPr>
              <w:rPr>
                <w:rFonts w:ascii="宋体" w:eastAsia="宋体" w:hAnsi="宋体"/>
              </w:rPr>
            </w:pPr>
            <w:r w:rsidRPr="008D2DBC">
              <w:rPr>
                <w:rFonts w:ascii="宋体" w:eastAsia="宋体" w:hAnsi="宋体"/>
              </w:rPr>
              <w:t>0.5444</w:t>
            </w:r>
          </w:p>
        </w:tc>
        <w:tc>
          <w:tcPr>
            <w:tcW w:w="704" w:type="dxa"/>
          </w:tcPr>
          <w:p w:rsidR="000C4DB8" w:rsidRPr="008D2DBC" w:rsidRDefault="008D2DBC">
            <w:pPr>
              <w:rPr>
                <w:rFonts w:ascii="宋体" w:eastAsia="宋体" w:hAnsi="宋体"/>
              </w:rPr>
            </w:pPr>
            <w:r w:rsidRPr="008D2DBC">
              <w:rPr>
                <w:rFonts w:ascii="宋体" w:eastAsia="宋体" w:hAnsi="宋体"/>
              </w:rPr>
              <w:t>6个月</w:t>
            </w:r>
          </w:p>
        </w:tc>
      </w:tr>
      <w:tr w:rsidR="000C4DB8" w:rsidRPr="0047632E">
        <w:tc>
          <w:tcPr>
            <w:tcW w:w="1740" w:type="dxa"/>
          </w:tcPr>
          <w:p w:rsidR="000C4DB8" w:rsidRPr="008D2DBC" w:rsidRDefault="008D2DBC">
            <w:pPr>
              <w:rPr>
                <w:rFonts w:ascii="宋体" w:eastAsia="宋体" w:hAnsi="宋体"/>
              </w:rPr>
            </w:pPr>
            <w:r w:rsidRPr="008D2DBC">
              <w:rPr>
                <w:rFonts w:ascii="宋体" w:eastAsia="宋体" w:hAnsi="宋体"/>
              </w:rPr>
              <w:t>中欧新蓝筹灵活配置混合型证券投资基金</w:t>
            </w:r>
          </w:p>
        </w:tc>
        <w:tc>
          <w:tcPr>
            <w:tcW w:w="1162" w:type="dxa"/>
          </w:tcPr>
          <w:p w:rsidR="000C4DB8" w:rsidRPr="008D2DBC" w:rsidRDefault="008D2DBC">
            <w:pPr>
              <w:rPr>
                <w:rFonts w:ascii="宋体" w:eastAsia="宋体" w:hAnsi="宋体"/>
              </w:rPr>
            </w:pPr>
            <w:r w:rsidRPr="008D2DBC">
              <w:rPr>
                <w:rFonts w:ascii="宋体" w:eastAsia="宋体" w:hAnsi="宋体"/>
              </w:rPr>
              <w:t>5,125,148</w:t>
            </w:r>
          </w:p>
        </w:tc>
        <w:tc>
          <w:tcPr>
            <w:tcW w:w="1582" w:type="dxa"/>
          </w:tcPr>
          <w:p w:rsidR="000C4DB8" w:rsidRPr="008D2DBC" w:rsidRDefault="008D2DBC">
            <w:pPr>
              <w:rPr>
                <w:rFonts w:ascii="宋体" w:eastAsia="宋体" w:hAnsi="宋体"/>
              </w:rPr>
            </w:pPr>
            <w:r w:rsidRPr="008D2DBC">
              <w:rPr>
                <w:rFonts w:ascii="宋体" w:eastAsia="宋体" w:hAnsi="宋体"/>
              </w:rPr>
              <w:t>42,999,991.72</w:t>
            </w:r>
          </w:p>
        </w:tc>
        <w:tc>
          <w:tcPr>
            <w:tcW w:w="1016" w:type="dxa"/>
          </w:tcPr>
          <w:p w:rsidR="000C4DB8" w:rsidRPr="008D2DBC" w:rsidRDefault="008D2DBC">
            <w:pPr>
              <w:rPr>
                <w:rFonts w:ascii="宋体" w:eastAsia="宋体" w:hAnsi="宋体"/>
              </w:rPr>
            </w:pPr>
            <w:r w:rsidRPr="008D2DBC">
              <w:rPr>
                <w:rFonts w:ascii="宋体" w:eastAsia="宋体" w:hAnsi="宋体"/>
              </w:rPr>
              <w:t>0.3986</w:t>
            </w:r>
          </w:p>
        </w:tc>
        <w:tc>
          <w:tcPr>
            <w:tcW w:w="1693" w:type="dxa"/>
          </w:tcPr>
          <w:p w:rsidR="000C4DB8" w:rsidRPr="008D2DBC" w:rsidRDefault="008D2DBC">
            <w:pPr>
              <w:rPr>
                <w:rFonts w:ascii="宋体" w:eastAsia="宋体" w:hAnsi="宋体"/>
              </w:rPr>
            </w:pPr>
            <w:r w:rsidRPr="008D2DBC">
              <w:rPr>
                <w:rFonts w:ascii="宋体" w:eastAsia="宋体" w:hAnsi="宋体"/>
              </w:rPr>
              <w:t>46,331,337.92</w:t>
            </w:r>
          </w:p>
        </w:tc>
        <w:tc>
          <w:tcPr>
            <w:tcW w:w="1021" w:type="dxa"/>
          </w:tcPr>
          <w:p w:rsidR="000C4DB8" w:rsidRPr="008D2DBC" w:rsidRDefault="008D2DBC">
            <w:pPr>
              <w:rPr>
                <w:rFonts w:ascii="宋体" w:eastAsia="宋体" w:hAnsi="宋体"/>
              </w:rPr>
            </w:pPr>
            <w:r w:rsidRPr="008D2DBC">
              <w:rPr>
                <w:rFonts w:ascii="宋体" w:eastAsia="宋体" w:hAnsi="宋体"/>
              </w:rPr>
              <w:t>0.4294</w:t>
            </w:r>
          </w:p>
        </w:tc>
        <w:tc>
          <w:tcPr>
            <w:tcW w:w="704" w:type="dxa"/>
          </w:tcPr>
          <w:p w:rsidR="000C4DB8" w:rsidRPr="008D2DBC" w:rsidRDefault="008D2DBC">
            <w:pPr>
              <w:rPr>
                <w:rFonts w:ascii="宋体" w:eastAsia="宋体" w:hAnsi="宋体"/>
              </w:rPr>
            </w:pPr>
            <w:r w:rsidRPr="008D2DBC">
              <w:rPr>
                <w:rFonts w:ascii="宋体" w:eastAsia="宋体" w:hAnsi="宋体"/>
              </w:rPr>
              <w:t>6个月</w:t>
            </w:r>
          </w:p>
        </w:tc>
      </w:tr>
      <w:tr w:rsidR="000C4DB8" w:rsidRPr="0047632E">
        <w:tc>
          <w:tcPr>
            <w:tcW w:w="1740" w:type="dxa"/>
          </w:tcPr>
          <w:p w:rsidR="000C4DB8" w:rsidRPr="008D2DBC" w:rsidRDefault="008D2DBC">
            <w:pPr>
              <w:rPr>
                <w:rFonts w:ascii="宋体" w:eastAsia="宋体" w:hAnsi="宋体"/>
              </w:rPr>
            </w:pPr>
            <w:r w:rsidRPr="008D2DBC">
              <w:rPr>
                <w:rFonts w:ascii="宋体" w:eastAsia="宋体" w:hAnsi="宋体"/>
              </w:rPr>
              <w:t>中欧盛世成长混合型证券投资基金(LOF)</w:t>
            </w:r>
          </w:p>
        </w:tc>
        <w:tc>
          <w:tcPr>
            <w:tcW w:w="1162" w:type="dxa"/>
          </w:tcPr>
          <w:p w:rsidR="000C4DB8" w:rsidRPr="008D2DBC" w:rsidRDefault="008D2DBC">
            <w:pPr>
              <w:rPr>
                <w:rFonts w:ascii="宋体" w:eastAsia="宋体" w:hAnsi="宋体"/>
              </w:rPr>
            </w:pPr>
            <w:r w:rsidRPr="008D2DBC">
              <w:rPr>
                <w:rFonts w:ascii="宋体" w:eastAsia="宋体" w:hAnsi="宋体"/>
              </w:rPr>
              <w:t>1,191,895</w:t>
            </w:r>
          </w:p>
        </w:tc>
        <w:tc>
          <w:tcPr>
            <w:tcW w:w="1582" w:type="dxa"/>
          </w:tcPr>
          <w:p w:rsidR="000C4DB8" w:rsidRPr="008D2DBC" w:rsidRDefault="008D2DBC">
            <w:pPr>
              <w:rPr>
                <w:rFonts w:ascii="宋体" w:eastAsia="宋体" w:hAnsi="宋体"/>
              </w:rPr>
            </w:pPr>
            <w:r w:rsidRPr="008D2DBC">
              <w:rPr>
                <w:rFonts w:ascii="宋体" w:eastAsia="宋体" w:hAnsi="宋体"/>
              </w:rPr>
              <w:t>9,999,999.05</w:t>
            </w:r>
          </w:p>
        </w:tc>
        <w:tc>
          <w:tcPr>
            <w:tcW w:w="1016" w:type="dxa"/>
          </w:tcPr>
          <w:p w:rsidR="000C4DB8" w:rsidRPr="008D2DBC" w:rsidRDefault="008D2DBC">
            <w:pPr>
              <w:rPr>
                <w:rFonts w:ascii="宋体" w:eastAsia="宋体" w:hAnsi="宋体"/>
              </w:rPr>
            </w:pPr>
            <w:r w:rsidRPr="008D2DBC">
              <w:rPr>
                <w:rFonts w:ascii="宋体" w:eastAsia="宋体" w:hAnsi="宋体"/>
              </w:rPr>
              <w:t>1.5158</w:t>
            </w:r>
          </w:p>
        </w:tc>
        <w:tc>
          <w:tcPr>
            <w:tcW w:w="1693" w:type="dxa"/>
          </w:tcPr>
          <w:p w:rsidR="000C4DB8" w:rsidRPr="008D2DBC" w:rsidRDefault="008D2DBC">
            <w:pPr>
              <w:rPr>
                <w:rFonts w:ascii="宋体" w:eastAsia="宋体" w:hAnsi="宋体"/>
              </w:rPr>
            </w:pPr>
            <w:r w:rsidRPr="008D2DBC">
              <w:rPr>
                <w:rFonts w:ascii="宋体" w:eastAsia="宋体" w:hAnsi="宋体"/>
              </w:rPr>
              <w:t>10,774,730.80</w:t>
            </w:r>
          </w:p>
        </w:tc>
        <w:tc>
          <w:tcPr>
            <w:tcW w:w="1021" w:type="dxa"/>
          </w:tcPr>
          <w:p w:rsidR="000C4DB8" w:rsidRPr="008D2DBC" w:rsidRDefault="008D2DBC">
            <w:pPr>
              <w:rPr>
                <w:rFonts w:ascii="宋体" w:eastAsia="宋体" w:hAnsi="宋体"/>
              </w:rPr>
            </w:pPr>
            <w:r w:rsidRPr="008D2DBC">
              <w:rPr>
                <w:rFonts w:ascii="宋体" w:eastAsia="宋体" w:hAnsi="宋体"/>
              </w:rPr>
              <w:t>1.6332</w:t>
            </w:r>
          </w:p>
        </w:tc>
        <w:tc>
          <w:tcPr>
            <w:tcW w:w="704" w:type="dxa"/>
          </w:tcPr>
          <w:p w:rsidR="000C4DB8" w:rsidRPr="008D2DBC" w:rsidRDefault="008D2DBC">
            <w:pPr>
              <w:rPr>
                <w:rFonts w:ascii="宋体" w:eastAsia="宋体" w:hAnsi="宋体"/>
              </w:rPr>
            </w:pPr>
            <w:r w:rsidRPr="008D2DBC">
              <w:rPr>
                <w:rFonts w:ascii="宋体" w:eastAsia="宋体" w:hAnsi="宋体"/>
              </w:rPr>
              <w:t>6个月</w:t>
            </w:r>
          </w:p>
        </w:tc>
      </w:tr>
    </w:tbl>
    <w:p w:rsidR="007D5785" w:rsidRDefault="007D5785" w:rsidP="007D5785">
      <w:pPr>
        <w:pStyle w:val="a4"/>
        <w:kinsoku w:val="0"/>
        <w:overflowPunct w:val="0"/>
        <w:spacing w:before="1" w:line="367" w:lineRule="auto"/>
        <w:ind w:right="38" w:firstLineChars="400" w:firstLine="784"/>
        <w:rPr>
          <w:rFonts w:hint="default"/>
          <w:spacing w:val="-12"/>
          <w:sz w:val="21"/>
          <w:szCs w:val="21"/>
        </w:rPr>
      </w:pPr>
      <w:r>
        <w:rPr>
          <w:spacing w:val="-7"/>
          <w:sz w:val="21"/>
          <w:szCs w:val="21"/>
        </w:rPr>
        <w:t>注：基金资产净值、账面价值为</w:t>
      </w:r>
      <w:r>
        <w:rPr>
          <w:rFonts w:hint="default"/>
          <w:noProof/>
          <w:sz w:val="21"/>
          <w:szCs w:val="21"/>
        </w:rPr>
        <w:t>2023年07月11日</w:t>
      </w:r>
      <w:r w:rsidRPr="00F845BC">
        <w:rPr>
          <w:spacing w:val="-12"/>
          <w:sz w:val="21"/>
          <w:szCs w:val="21"/>
        </w:rPr>
        <w:t>数据。</w:t>
      </w:r>
    </w:p>
    <w:p w:rsidR="007D5785" w:rsidRDefault="007D5785" w:rsidP="007D5785">
      <w:pPr>
        <w:spacing w:line="360" w:lineRule="auto"/>
        <w:rPr>
          <w:rFonts w:ascii="宋体" w:eastAsia="宋体" w:hAnsi="宋体"/>
        </w:rPr>
      </w:pPr>
    </w:p>
    <w:p w:rsidR="00DD7C3B" w:rsidRDefault="007D5785" w:rsidP="007D5785">
      <w:pPr>
        <w:spacing w:line="360" w:lineRule="auto"/>
        <w:ind w:firstLine="420"/>
        <w:rPr>
          <w:rFonts w:ascii="宋体" w:eastAsia="宋体" w:hAnsi="宋体"/>
        </w:rPr>
      </w:pPr>
      <w:r>
        <w:rPr>
          <w:rFonts w:ascii="宋体" w:eastAsia="宋体" w:hAnsi="宋体"/>
        </w:rPr>
        <w:t>特此公告。</w:t>
      </w:r>
    </w:p>
    <w:p w:rsidR="007D5785" w:rsidRDefault="007D5785" w:rsidP="007D5785">
      <w:pPr>
        <w:spacing w:line="360" w:lineRule="auto"/>
        <w:ind w:firstLine="420"/>
        <w:rPr>
          <w:rFonts w:ascii="宋体" w:eastAsia="宋体" w:hAnsi="宋体"/>
        </w:rPr>
      </w:pPr>
    </w:p>
    <w:p w:rsidR="007D5785" w:rsidRDefault="007D5785" w:rsidP="007D5785">
      <w:pPr>
        <w:spacing w:line="360" w:lineRule="auto"/>
        <w:ind w:firstLine="420"/>
        <w:jc w:val="right"/>
        <w:rPr>
          <w:rFonts w:ascii="宋体" w:eastAsia="宋体" w:hAnsi="宋体"/>
        </w:rPr>
      </w:pPr>
      <w:r>
        <w:rPr>
          <w:rFonts w:ascii="宋体" w:eastAsia="宋体" w:hAnsi="宋体"/>
        </w:rPr>
        <w:t>中欧基金管理有限公司</w:t>
      </w:r>
    </w:p>
    <w:p w:rsidR="007D5785" w:rsidRPr="007D5785" w:rsidRDefault="007D5785" w:rsidP="007D5785">
      <w:pPr>
        <w:spacing w:line="360" w:lineRule="auto"/>
        <w:ind w:firstLine="420"/>
        <w:jc w:val="right"/>
        <w:rPr>
          <w:rFonts w:ascii="宋体" w:eastAsia="宋体" w:hAnsi="宋体"/>
        </w:rPr>
      </w:pPr>
      <w:r>
        <w:rPr>
          <w:rFonts w:ascii="宋体" w:eastAsia="宋体" w:hAnsi="宋体"/>
        </w:rPr>
        <w:t>2023年07月13日</w:t>
      </w:r>
    </w:p>
    <w:sectPr w:rsidR="007D5785" w:rsidRPr="007D5785" w:rsidSect="00E1685E">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DBC" w:rsidRDefault="008D2DBC" w:rsidP="008D2DBC">
      <w:r>
        <w:separator/>
      </w:r>
    </w:p>
  </w:endnote>
  <w:endnote w:type="continuationSeparator" w:id="0">
    <w:p w:rsidR="008D2DBC" w:rsidRDefault="008D2DBC" w:rsidP="008D2DB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DBC" w:rsidRDefault="008D2DBC" w:rsidP="008D2DBC">
      <w:r>
        <w:separator/>
      </w:r>
    </w:p>
  </w:footnote>
  <w:footnote w:type="continuationSeparator" w:id="0">
    <w:p w:rsidR="008D2DBC" w:rsidRDefault="008D2DBC" w:rsidP="008D2D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5785"/>
    <w:rsid w:val="000C4DB8"/>
    <w:rsid w:val="002C79E4"/>
    <w:rsid w:val="002E6098"/>
    <w:rsid w:val="003558AD"/>
    <w:rsid w:val="00390C70"/>
    <w:rsid w:val="00473FEC"/>
    <w:rsid w:val="0047632E"/>
    <w:rsid w:val="0063660D"/>
    <w:rsid w:val="007D5785"/>
    <w:rsid w:val="008D2DBC"/>
    <w:rsid w:val="0095530C"/>
    <w:rsid w:val="00AC567E"/>
    <w:rsid w:val="00BA3F3D"/>
    <w:rsid w:val="00C85DEC"/>
    <w:rsid w:val="00DD7C3B"/>
    <w:rsid w:val="00E07E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9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57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7D5785"/>
    <w:pPr>
      <w:autoSpaceDE w:val="0"/>
      <w:autoSpaceDN w:val="0"/>
      <w:adjustRightInd w:val="0"/>
      <w:jc w:val="left"/>
    </w:pPr>
    <w:rPr>
      <w:rFonts w:ascii="宋体" w:eastAsia="宋体" w:hAnsi="Times New Roman" w:cs="宋体" w:hint="eastAsia"/>
      <w:kern w:val="0"/>
      <w:sz w:val="24"/>
      <w:szCs w:val="24"/>
    </w:rPr>
  </w:style>
  <w:style w:type="paragraph" w:styleId="a4">
    <w:name w:val="Body Text"/>
    <w:basedOn w:val="a"/>
    <w:link w:val="Char"/>
    <w:uiPriority w:val="1"/>
    <w:qFormat/>
    <w:rsid w:val="007D5785"/>
    <w:pPr>
      <w:autoSpaceDE w:val="0"/>
      <w:autoSpaceDN w:val="0"/>
      <w:adjustRightInd w:val="0"/>
      <w:jc w:val="left"/>
    </w:pPr>
    <w:rPr>
      <w:rFonts w:ascii="宋体" w:eastAsia="宋体" w:hAnsi="Times New Roman" w:cs="宋体" w:hint="eastAsia"/>
      <w:kern w:val="0"/>
      <w:sz w:val="22"/>
    </w:rPr>
  </w:style>
  <w:style w:type="character" w:customStyle="1" w:styleId="Char">
    <w:name w:val="正文文本 Char"/>
    <w:link w:val="a4"/>
    <w:uiPriority w:val="1"/>
    <w:rsid w:val="007D5785"/>
    <w:rPr>
      <w:rFonts w:ascii="宋体" w:eastAsia="宋体" w:hAnsi="Times New Roman" w:cs="宋体"/>
      <w:kern w:val="0"/>
      <w:sz w:val="22"/>
    </w:rPr>
  </w:style>
  <w:style w:type="paragraph" w:styleId="a5">
    <w:name w:val="Balloon Text"/>
    <w:basedOn w:val="a"/>
    <w:link w:val="Char0"/>
    <w:uiPriority w:val="99"/>
    <w:semiHidden/>
    <w:unhideWhenUsed/>
    <w:rsid w:val="0047632E"/>
    <w:rPr>
      <w:sz w:val="18"/>
      <w:szCs w:val="18"/>
    </w:rPr>
  </w:style>
  <w:style w:type="character" w:customStyle="1" w:styleId="Char0">
    <w:name w:val="批注框文本 Char"/>
    <w:basedOn w:val="a0"/>
    <w:link w:val="a5"/>
    <w:uiPriority w:val="99"/>
    <w:semiHidden/>
    <w:rsid w:val="0047632E"/>
    <w:rPr>
      <w:kern w:val="2"/>
      <w:sz w:val="18"/>
      <w:szCs w:val="18"/>
    </w:rPr>
  </w:style>
  <w:style w:type="paragraph" w:styleId="a6">
    <w:name w:val="header"/>
    <w:basedOn w:val="a"/>
    <w:link w:val="Char1"/>
    <w:uiPriority w:val="99"/>
    <w:unhideWhenUsed/>
    <w:rsid w:val="008D2DB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8D2DBC"/>
    <w:rPr>
      <w:kern w:val="2"/>
      <w:sz w:val="18"/>
      <w:szCs w:val="18"/>
    </w:rPr>
  </w:style>
  <w:style w:type="paragraph" w:styleId="a7">
    <w:name w:val="footer"/>
    <w:basedOn w:val="a"/>
    <w:link w:val="Char2"/>
    <w:uiPriority w:val="99"/>
    <w:unhideWhenUsed/>
    <w:rsid w:val="008D2DBC"/>
    <w:pPr>
      <w:tabs>
        <w:tab w:val="center" w:pos="4153"/>
        <w:tab w:val="right" w:pos="8306"/>
      </w:tabs>
      <w:snapToGrid w:val="0"/>
      <w:jc w:val="left"/>
    </w:pPr>
    <w:rPr>
      <w:sz w:val="18"/>
      <w:szCs w:val="18"/>
    </w:rPr>
  </w:style>
  <w:style w:type="character" w:customStyle="1" w:styleId="Char2">
    <w:name w:val="页脚 Char"/>
    <w:basedOn w:val="a0"/>
    <w:link w:val="a7"/>
    <w:uiPriority w:val="99"/>
    <w:rsid w:val="008D2DBC"/>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4</DocSecurity>
  <Lines>7</Lines>
  <Paragraphs>2</Paragraphs>
  <ScaleCrop>false</ScaleCrop>
  <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王啸（监察稽核部）</dc:creator>
  <cp:lastModifiedBy>ZHONGM</cp:lastModifiedBy>
  <cp:revision>2</cp:revision>
  <dcterms:created xsi:type="dcterms:W3CDTF">2023-07-12T16:01:00Z</dcterms:created>
  <dcterms:modified xsi:type="dcterms:W3CDTF">2023-07-12T16:01:00Z</dcterms:modified>
</cp:coreProperties>
</file>