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72C" w:rsidRDefault="00AE18CE">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华宝基金关于旗下部分基金新增德邦证券股份有限公司为代销机构的公告</w:t>
      </w:r>
    </w:p>
    <w:p w:rsidR="0085572C" w:rsidRDefault="00AE18CE">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）与德邦证券股份有限公司（以下简称</w:t>
      </w:r>
      <w:r>
        <w:rPr>
          <w:rFonts w:ascii="宋体" w:eastAsia="宋体" w:hAnsi="宋体" w:cs="宋体"/>
          <w:sz w:val="21"/>
          <w:szCs w:val="21"/>
        </w:rPr>
        <w:t>“</w:t>
      </w:r>
      <w:r>
        <w:rPr>
          <w:rFonts w:ascii="宋体" w:eastAsia="宋体" w:hAnsi="宋体" w:cs="宋体"/>
          <w:sz w:val="21"/>
          <w:szCs w:val="21"/>
        </w:rPr>
        <w:t>德邦证券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2023</w:t>
      </w:r>
      <w:r>
        <w:rPr>
          <w:rFonts w:ascii="宋体" w:eastAsia="宋体" w:hAnsi="宋体" w:cs="宋体"/>
          <w:sz w:val="21"/>
          <w:szCs w:val="21"/>
        </w:rPr>
        <w:t>年</w:t>
      </w:r>
      <w:r>
        <w:rPr>
          <w:rFonts w:ascii="宋体" w:eastAsia="宋体" w:hAnsi="宋体" w:cs="宋体"/>
          <w:sz w:val="21"/>
          <w:szCs w:val="21"/>
        </w:rPr>
        <w:t>07</w:t>
      </w:r>
      <w:r>
        <w:rPr>
          <w:rFonts w:ascii="宋体" w:eastAsia="宋体" w:hAnsi="宋体" w:cs="宋体"/>
          <w:sz w:val="21"/>
          <w:szCs w:val="21"/>
        </w:rPr>
        <w:t>月</w:t>
      </w:r>
      <w:r>
        <w:rPr>
          <w:rFonts w:ascii="宋体" w:eastAsia="宋体" w:hAnsi="宋体" w:cs="宋体"/>
          <w:sz w:val="21"/>
          <w:szCs w:val="21"/>
        </w:rPr>
        <w:t>13</w:t>
      </w:r>
      <w:r>
        <w:rPr>
          <w:rFonts w:ascii="宋体" w:eastAsia="宋体" w:hAnsi="宋体" w:cs="宋体"/>
          <w:sz w:val="21"/>
          <w:szCs w:val="21"/>
        </w:rPr>
        <w:t>日起增加德邦证券为以下适用基金的代销机构。</w:t>
      </w:r>
      <w:r>
        <w:rPr>
          <w:rFonts w:ascii="宋体" w:eastAsia="宋体" w:hAnsi="宋体" w:cs="宋体"/>
          <w:sz w:val="21"/>
          <w:szCs w:val="21"/>
        </w:rPr>
        <w:t xml:space="preserve"> </w:t>
      </w:r>
    </w:p>
    <w:p w:rsidR="0085572C" w:rsidRDefault="00AE18CE">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b/>
                <w:bCs/>
                <w:color w:val="000000"/>
                <w:sz w:val="21"/>
                <w:szCs w:val="21"/>
              </w:rPr>
            </w:pPr>
            <w:r>
              <w:rPr>
                <w:rFonts w:ascii="宋体" w:eastAsia="宋体" w:hAnsi="宋体" w:cs="宋体"/>
                <w:b/>
                <w:bCs/>
                <w:color w:val="000000"/>
                <w:sz w:val="21"/>
                <w:szCs w:val="21"/>
              </w:rPr>
              <w:t>基金代码</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华宝成长策略混合型证券投资基金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009189</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华宝红利精选混合型证券投资基金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009263</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华宝红利精选混合型证券投资基金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010841</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华宝研究精选混合型证券投资基金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009989</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华宝新兴成长混合型证券投资基金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010114</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华宝竞争优势混合型证券投资基金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010335</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华宝英国富时</w:t>
            </w:r>
            <w:r>
              <w:rPr>
                <w:rFonts w:ascii="宋体" w:eastAsia="宋体" w:hAnsi="宋体" w:cs="宋体"/>
                <w:color w:val="000000"/>
                <w:sz w:val="21"/>
                <w:szCs w:val="21"/>
              </w:rPr>
              <w:t>100</w:t>
            </w:r>
            <w:r>
              <w:rPr>
                <w:rFonts w:ascii="宋体" w:eastAsia="宋体" w:hAnsi="宋体" w:cs="宋体"/>
                <w:color w:val="000000"/>
                <w:sz w:val="21"/>
                <w:szCs w:val="21"/>
              </w:rPr>
              <w:t>指数发起式证券投资基金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010343</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华宝英国富时</w:t>
            </w:r>
            <w:r>
              <w:rPr>
                <w:rFonts w:ascii="宋体" w:eastAsia="宋体" w:hAnsi="宋体" w:cs="宋体"/>
                <w:color w:val="000000"/>
                <w:sz w:val="21"/>
                <w:szCs w:val="21"/>
              </w:rPr>
              <w:t>100</w:t>
            </w:r>
            <w:r>
              <w:rPr>
                <w:rFonts w:ascii="宋体" w:eastAsia="宋体" w:hAnsi="宋体" w:cs="宋体"/>
                <w:color w:val="000000"/>
                <w:sz w:val="21"/>
                <w:szCs w:val="21"/>
              </w:rPr>
              <w:t>指数发起式证券投资基金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010344</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华宝新兴消费混合型证券投资基金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011153</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华宝新兴消费混合型证券投资基金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011154</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华宝双债增强债券型证券投资基金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011280</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华宝双债增强债券型证券投资基金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011281</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华宝安享混合型证券投资基金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011376</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华宝可持续发展主题混合型证券投资基金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012262</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华宝可持续发展主题混合型证券投资基金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012263</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012537</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012538</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华宝中证细分食品饮料产业主题交易型开放式指数证券投资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基金发起式联接基金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012548</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华宝中证细分食品饮料产业主题交易型开放式指数证券投资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基金发起式联接基金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012549</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012550</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012551</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华宝稳健目标风险三个月持有期混合型发起式基金中基金（</w:t>
            </w:r>
            <w:r>
              <w:rPr>
                <w:rFonts w:ascii="宋体" w:eastAsia="宋体" w:hAnsi="宋体" w:cs="宋体"/>
                <w:color w:val="000000"/>
                <w:sz w:val="21"/>
                <w:szCs w:val="21"/>
              </w:rPr>
              <w:t xml:space="preserve"> </w:t>
            </w:r>
            <w:r>
              <w:rPr>
                <w:rFonts w:ascii="宋体" w:eastAsia="宋体" w:hAnsi="宋体" w:cs="宋体"/>
                <w:color w:val="000000"/>
                <w:sz w:val="21"/>
                <w:szCs w:val="21"/>
              </w:rPr>
              <w:br/>
              <w:t>FOF</w:t>
            </w:r>
            <w:r>
              <w:rPr>
                <w:rFonts w:ascii="宋体" w:eastAsia="宋体" w:hAnsi="宋体" w:cs="宋体"/>
                <w:color w:val="000000"/>
                <w:sz w:val="21"/>
                <w:szCs w:val="21"/>
              </w:rPr>
              <w:t>）</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013150</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华宝深证创新</w:t>
            </w:r>
            <w:r>
              <w:rPr>
                <w:rFonts w:ascii="宋体" w:eastAsia="宋体" w:hAnsi="宋体" w:cs="宋体"/>
                <w:color w:val="000000"/>
                <w:sz w:val="21"/>
                <w:szCs w:val="21"/>
              </w:rPr>
              <w:t>100</w:t>
            </w:r>
            <w:r>
              <w:rPr>
                <w:rFonts w:ascii="宋体" w:eastAsia="宋体" w:hAnsi="宋体" w:cs="宋体"/>
                <w:color w:val="000000"/>
                <w:sz w:val="21"/>
                <w:szCs w:val="21"/>
              </w:rPr>
              <w:t>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013177</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华宝深证创新</w:t>
            </w:r>
            <w:r>
              <w:rPr>
                <w:rFonts w:ascii="宋体" w:eastAsia="宋体" w:hAnsi="宋体" w:cs="宋体"/>
                <w:color w:val="000000"/>
                <w:sz w:val="21"/>
                <w:szCs w:val="21"/>
              </w:rPr>
              <w:t>100</w:t>
            </w:r>
            <w:r>
              <w:rPr>
                <w:rFonts w:ascii="宋体" w:eastAsia="宋体" w:hAnsi="宋体" w:cs="宋体"/>
                <w:color w:val="000000"/>
                <w:sz w:val="21"/>
                <w:szCs w:val="21"/>
              </w:rPr>
              <w:t>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013178</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华宝中证科创创业</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013317</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lastRenderedPageBreak/>
              <w:t>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华宝中证科创创业</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013318</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华宝中证智能制造主题交易型开放式指数证券投资基金发起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013447</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华宝中证智能制造主题交易型开放式指数证券投资基金发起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013448</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华宝中证全指农牧渔指数型发起式证券投资基金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013471</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华宝中证全指农牧渔指数型发起式证券投资基金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013472</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华宝中证新材料主题交易型开放式指数证券投资基金发起式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013473</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华宝中证新材料主题交易型开放式指数证券投资基金发起式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013474</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33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华宝中证智能电动汽车交易型开放式指数证券投资基金发起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013475</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34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华宝中证智能电动汽车交易型开放式指数证券投资基金发起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013476</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华宝中证金融科技主题交易型开放式指数证券投资基金发起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013477</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36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华宝中证金融科技主题交易型开放式指数证券投资基金发起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013478</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37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华宝国证治理指数型发起式证券投资基金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013480</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38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华宝国证治理指数型发起式证券投资基金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013481</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39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华宝中证稀有金属主题指数增强型发起式证券投资基金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013942</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华宝中证稀有金属主题指数增强型发起式证券投资基金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013943</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41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华宝安悦一年持有期混合型证券投资基金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015251</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华宝宝隆债券型证券投资基金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015414</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43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华宝宝隆债券型证券投资基金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015415</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44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华宝专精特新混合型发起式证券投资基金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016380</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45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华宝专精特新混合型发起式证券投资基金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016381</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46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华宝海外新能源汽车股票型发起式证券投资基金（</w:t>
            </w:r>
            <w:r>
              <w:rPr>
                <w:rFonts w:ascii="宋体" w:eastAsia="宋体" w:hAnsi="宋体" w:cs="宋体"/>
                <w:color w:val="000000"/>
                <w:sz w:val="21"/>
                <w:szCs w:val="21"/>
              </w:rPr>
              <w:t xml:space="preserve">QDII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017144</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47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华宝海外新能源汽车股票型发起式证券投资基金（</w:t>
            </w:r>
            <w:r>
              <w:rPr>
                <w:rFonts w:ascii="宋体" w:eastAsia="宋体" w:hAnsi="宋体" w:cs="宋体"/>
                <w:color w:val="000000"/>
                <w:sz w:val="21"/>
                <w:szCs w:val="21"/>
              </w:rPr>
              <w:t xml:space="preserve">QDII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017145</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48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w:t>
            </w:r>
            <w:r>
              <w:rPr>
                <w:rFonts w:ascii="宋体" w:eastAsia="宋体" w:hAnsi="宋体" w:cs="宋体"/>
                <w:color w:val="000000"/>
                <w:sz w:val="21"/>
                <w:szCs w:val="21"/>
              </w:rPr>
              <w:t>ESG</w:t>
            </w:r>
            <w:r>
              <w:rPr>
                <w:rFonts w:ascii="宋体" w:eastAsia="宋体" w:hAnsi="宋体" w:cs="宋体"/>
                <w:color w:val="000000"/>
                <w:sz w:val="21"/>
                <w:szCs w:val="21"/>
              </w:rPr>
              <w:t>责任投资混合型证券投资基金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018118</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49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w:t>
            </w:r>
            <w:r>
              <w:rPr>
                <w:rFonts w:ascii="宋体" w:eastAsia="宋体" w:hAnsi="宋体" w:cs="宋体"/>
                <w:color w:val="000000"/>
                <w:sz w:val="21"/>
                <w:szCs w:val="21"/>
              </w:rPr>
              <w:t>ESG</w:t>
            </w:r>
            <w:r>
              <w:rPr>
                <w:rFonts w:ascii="宋体" w:eastAsia="宋体" w:hAnsi="宋体" w:cs="宋体"/>
                <w:color w:val="000000"/>
                <w:sz w:val="21"/>
                <w:szCs w:val="21"/>
              </w:rPr>
              <w:t>责任投资混合型证券投资基金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018119</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华宝海外科技股票型证券投资基金（</w:t>
            </w:r>
            <w:r>
              <w:rPr>
                <w:rFonts w:ascii="宋体" w:eastAsia="宋体" w:hAnsi="宋体" w:cs="宋体"/>
                <w:color w:val="000000"/>
                <w:sz w:val="21"/>
                <w:szCs w:val="21"/>
              </w:rPr>
              <w:t>QDII-LOF</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501312</w:t>
            </w:r>
          </w:p>
        </w:tc>
      </w:tr>
      <w:tr w:rsidR="0085572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51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rPr>
                <w:color w:val="000000"/>
                <w:sz w:val="21"/>
                <w:szCs w:val="21"/>
              </w:rPr>
            </w:pPr>
            <w:r>
              <w:rPr>
                <w:rFonts w:ascii="宋体" w:eastAsia="宋体" w:hAnsi="宋体" w:cs="宋体"/>
                <w:color w:val="000000"/>
                <w:sz w:val="21"/>
                <w:szCs w:val="21"/>
              </w:rPr>
              <w:t>华宝海外科技股票型证券投资基金（</w:t>
            </w:r>
            <w:r>
              <w:rPr>
                <w:rFonts w:ascii="宋体" w:eastAsia="宋体" w:hAnsi="宋体" w:cs="宋体"/>
                <w:color w:val="000000"/>
                <w:sz w:val="21"/>
                <w:szCs w:val="21"/>
              </w:rPr>
              <w:t>QDII-LOF</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5572C" w:rsidRDefault="00AE18CE">
            <w:pPr>
              <w:jc w:val="center"/>
              <w:rPr>
                <w:color w:val="000000"/>
                <w:sz w:val="21"/>
                <w:szCs w:val="21"/>
              </w:rPr>
            </w:pPr>
            <w:r>
              <w:rPr>
                <w:rFonts w:ascii="宋体" w:eastAsia="宋体" w:hAnsi="宋体" w:cs="宋体"/>
                <w:color w:val="000000"/>
                <w:sz w:val="21"/>
                <w:szCs w:val="21"/>
              </w:rPr>
              <w:t>017204</w:t>
            </w:r>
          </w:p>
        </w:tc>
      </w:tr>
    </w:tbl>
    <w:p w:rsidR="0085572C" w:rsidRDefault="00AE18CE">
      <w:pPr>
        <w:spacing w:before="210" w:after="210" w:line="560" w:lineRule="atLeast"/>
        <w:ind w:left="420"/>
        <w:rPr>
          <w:sz w:val="21"/>
          <w:szCs w:val="21"/>
        </w:rPr>
      </w:pPr>
      <w:r>
        <w:rPr>
          <w:rFonts w:ascii="宋体" w:eastAsia="宋体" w:hAnsi="宋体" w:cs="宋体"/>
          <w:sz w:val="21"/>
          <w:szCs w:val="21"/>
        </w:rPr>
        <w:t>二、投资者可到德邦证券办理上述基金的开户、申赎及其他业务。投资者可以通过以下途径了解或咨询相关情况：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德邦证券股份有限公司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4008888128</w:t>
      </w:r>
      <w:r>
        <w:rPr>
          <w:rFonts w:ascii="宋体" w:eastAsia="宋体" w:hAnsi="宋体" w:cs="宋体"/>
          <w:sz w:val="21"/>
          <w:szCs w:val="21"/>
        </w:rPr>
        <w:br/>
      </w:r>
      <w:r>
        <w:rPr>
          <w:rFonts w:ascii="宋体" w:eastAsia="宋体" w:hAnsi="宋体" w:cs="宋体"/>
          <w:sz w:val="21"/>
          <w:szCs w:val="21"/>
        </w:rPr>
        <w:lastRenderedPageBreak/>
        <w:t>  </w:t>
      </w:r>
      <w:r>
        <w:rPr>
          <w:rFonts w:ascii="宋体" w:eastAsia="宋体" w:hAnsi="宋体" w:cs="宋体"/>
          <w:sz w:val="21"/>
          <w:szCs w:val="21"/>
        </w:rPr>
        <w:t>公司网址：</w:t>
      </w:r>
      <w:r>
        <w:rPr>
          <w:rFonts w:ascii="宋体" w:eastAsia="宋体" w:hAnsi="宋体" w:cs="宋体"/>
          <w:sz w:val="21"/>
          <w:szCs w:val="21"/>
        </w:rPr>
        <w:t>www.tebon.com.cn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85572C" w:rsidRDefault="00AE18CE">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85572C" w:rsidRDefault="00AE18CE">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85572C" w:rsidRDefault="00AE18CE">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2023</w:t>
      </w:r>
      <w:r>
        <w:rPr>
          <w:rFonts w:ascii="宋体" w:eastAsia="宋体" w:hAnsi="宋体" w:cs="宋体"/>
          <w:sz w:val="21"/>
          <w:szCs w:val="21"/>
        </w:rPr>
        <w:t>年</w:t>
      </w:r>
      <w:r>
        <w:rPr>
          <w:rFonts w:ascii="宋体" w:eastAsia="宋体" w:hAnsi="宋体" w:cs="宋体"/>
          <w:sz w:val="21"/>
          <w:szCs w:val="21"/>
        </w:rPr>
        <w:t>07</w:t>
      </w:r>
      <w:r>
        <w:rPr>
          <w:rFonts w:ascii="宋体" w:eastAsia="宋体" w:hAnsi="宋体" w:cs="宋体"/>
          <w:sz w:val="21"/>
          <w:szCs w:val="21"/>
        </w:rPr>
        <w:t>月</w:t>
      </w:r>
      <w:r>
        <w:rPr>
          <w:rFonts w:ascii="宋体" w:eastAsia="宋体" w:hAnsi="宋体" w:cs="宋体"/>
          <w:sz w:val="21"/>
          <w:szCs w:val="21"/>
        </w:rPr>
        <w:t>13</w:t>
      </w:r>
      <w:r>
        <w:rPr>
          <w:rFonts w:ascii="宋体" w:eastAsia="宋体" w:hAnsi="宋体" w:cs="宋体"/>
          <w:sz w:val="21"/>
          <w:szCs w:val="21"/>
        </w:rPr>
        <w:t>日</w:t>
      </w:r>
      <w:r>
        <w:rPr>
          <w:rFonts w:ascii="宋体" w:eastAsia="宋体" w:hAnsi="宋体" w:cs="宋体"/>
          <w:sz w:val="21"/>
          <w:szCs w:val="21"/>
        </w:rPr>
        <w:t xml:space="preserve"> </w:t>
      </w:r>
    </w:p>
    <w:p w:rsidR="0085572C" w:rsidRDefault="0085572C">
      <w:pPr>
        <w:spacing w:before="240" w:after="240"/>
      </w:pPr>
    </w:p>
    <w:sectPr w:rsidR="0085572C" w:rsidSect="0085572C">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72C" w:rsidRDefault="0085572C" w:rsidP="0085572C">
      <w:r>
        <w:separator/>
      </w:r>
    </w:p>
  </w:endnote>
  <w:endnote w:type="continuationSeparator" w:id="0">
    <w:p w:rsidR="0085572C" w:rsidRDefault="0085572C" w:rsidP="00855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2C" w:rsidRDefault="0085572C">
    <w:pPr>
      <w:jc w:val="center"/>
      <w:rPr>
        <w:sz w:val="20"/>
      </w:rPr>
    </w:pPr>
    <w:r>
      <w:rPr>
        <w:sz w:val="20"/>
      </w:rPr>
      <w:fldChar w:fldCharType="begin"/>
    </w:r>
    <w:r w:rsidR="00AE18CE">
      <w:rPr>
        <w:rFonts w:ascii="宋体" w:eastAsia="宋体" w:hAnsi="宋体" w:cs="宋体"/>
        <w:sz w:val="20"/>
      </w:rPr>
      <w:instrText>PAGE</w:instrText>
    </w:r>
    <w:r>
      <w:rPr>
        <w:sz w:val="20"/>
      </w:rPr>
      <w:fldChar w:fldCharType="separate"/>
    </w:r>
    <w:r w:rsidR="00AE18CE">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72C" w:rsidRDefault="0085572C" w:rsidP="0085572C">
      <w:r>
        <w:separator/>
      </w:r>
    </w:p>
  </w:footnote>
  <w:footnote w:type="continuationSeparator" w:id="0">
    <w:p w:rsidR="0085572C" w:rsidRDefault="0085572C" w:rsidP="008557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85572C"/>
    <w:rsid w:val="00A77B3E"/>
    <w:rsid w:val="00AE18C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72C"/>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2049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华宝基金关于旗下部分基金新增德邦证券股份有限公司为代销机构的公告</dc:title>
  <cp:lastModifiedBy>ZHONGM</cp:lastModifiedBy>
  <cp:revision>2</cp:revision>
  <dcterms:created xsi:type="dcterms:W3CDTF">2023-07-12T16:01:00Z</dcterms:created>
  <dcterms:modified xsi:type="dcterms:W3CDTF">2023-07-12T16:01:00Z</dcterms:modified>
</cp:coreProperties>
</file>