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60" w:rsidRDefault="00F85680" w:rsidP="008F2418">
      <w:pPr>
        <w:adjustRightInd w:val="0"/>
        <w:snapToGrid w:val="0"/>
        <w:spacing w:line="360" w:lineRule="auto"/>
        <w:jc w:val="center"/>
        <w:rPr>
          <w:rFonts w:ascii="宋体" w:hAnsi="宋体"/>
          <w:b/>
          <w:bCs/>
          <w:sz w:val="32"/>
          <w:szCs w:val="32"/>
        </w:rPr>
      </w:pPr>
      <w:r>
        <w:rPr>
          <w:rFonts w:ascii="宋体" w:hAnsi="宋体" w:hint="eastAsia"/>
          <w:b/>
          <w:bCs/>
          <w:sz w:val="32"/>
          <w:szCs w:val="32"/>
        </w:rPr>
        <w:t>关于</w:t>
      </w:r>
      <w:r w:rsidR="00A721F2">
        <w:rPr>
          <w:rFonts w:ascii="宋体" w:hAnsi="宋体" w:hint="eastAsia"/>
          <w:b/>
          <w:bCs/>
          <w:sz w:val="32"/>
          <w:szCs w:val="32"/>
        </w:rPr>
        <w:t>前海开源惠泽两年定期开放债券型发起式证券投资基金</w:t>
      </w:r>
      <w:r w:rsidR="00AE3C95" w:rsidRPr="00AE3C95">
        <w:rPr>
          <w:rFonts w:ascii="宋体" w:hAnsi="宋体" w:hint="eastAsia"/>
          <w:b/>
          <w:bCs/>
          <w:sz w:val="32"/>
          <w:szCs w:val="32"/>
        </w:rPr>
        <w:t>基金合同终止及基金财产清算的</w:t>
      </w:r>
      <w:r w:rsidRPr="00FB3A52">
        <w:rPr>
          <w:rFonts w:ascii="宋体" w:hAnsi="宋体" w:hint="eastAsia"/>
          <w:b/>
          <w:bCs/>
          <w:sz w:val="32"/>
          <w:szCs w:val="32"/>
        </w:rPr>
        <w:t>公告</w:t>
      </w:r>
    </w:p>
    <w:p w:rsidR="00FA0F43" w:rsidRPr="008F2418" w:rsidRDefault="00FA0F43" w:rsidP="00F85680">
      <w:pPr>
        <w:jc w:val="center"/>
        <w:rPr>
          <w:rFonts w:ascii="宋体" w:hAnsi="宋体"/>
          <w:b/>
          <w:bCs/>
          <w:sz w:val="32"/>
          <w:szCs w:val="32"/>
        </w:rPr>
      </w:pPr>
    </w:p>
    <w:p w:rsidR="00F85680" w:rsidRPr="00F85680" w:rsidRDefault="00FA0F43" w:rsidP="00FA0F43">
      <w:pPr>
        <w:spacing w:line="360" w:lineRule="auto"/>
        <w:ind w:firstLineChars="200" w:firstLine="480"/>
        <w:rPr>
          <w:rFonts w:ascii="宋体" w:eastAsia="宋体" w:hAnsi="宋体"/>
          <w:bCs/>
          <w:sz w:val="24"/>
          <w:szCs w:val="24"/>
        </w:rPr>
      </w:pPr>
      <w:r w:rsidRPr="00FA0F43">
        <w:rPr>
          <w:rFonts w:ascii="宋体" w:eastAsia="宋体" w:hAnsi="宋体" w:hint="eastAsia"/>
          <w:bCs/>
          <w:sz w:val="24"/>
          <w:szCs w:val="24"/>
        </w:rPr>
        <w:t>根据《中华人民共和国证券投资基金法》、《公开募集证券投资基金运作管理办法》、《</w:t>
      </w:r>
      <w:r w:rsidR="00A721F2">
        <w:rPr>
          <w:rFonts w:ascii="宋体" w:eastAsia="宋体" w:hAnsi="宋体" w:hint="eastAsia"/>
          <w:bCs/>
          <w:sz w:val="24"/>
          <w:szCs w:val="24"/>
        </w:rPr>
        <w:t>前海开源惠泽两年定期开放债券型发起式证券投资基金</w:t>
      </w:r>
      <w:r w:rsidRPr="00FA0F43">
        <w:rPr>
          <w:rFonts w:ascii="宋体" w:eastAsia="宋体" w:hAnsi="宋体" w:hint="eastAsia"/>
          <w:bCs/>
          <w:sz w:val="24"/>
          <w:szCs w:val="24"/>
        </w:rPr>
        <w:t>基金合同》（以下简称</w:t>
      </w:r>
      <w:r w:rsidR="00F270A3">
        <w:rPr>
          <w:rFonts w:ascii="宋体" w:eastAsia="宋体" w:hAnsi="宋体" w:hint="eastAsia"/>
          <w:bCs/>
          <w:sz w:val="24"/>
          <w:szCs w:val="24"/>
        </w:rPr>
        <w:t>“</w:t>
      </w:r>
      <w:r w:rsidR="00F270A3" w:rsidRPr="00FA0F43">
        <w:rPr>
          <w:rFonts w:ascii="宋体" w:eastAsia="宋体" w:hAnsi="宋体" w:hint="eastAsia"/>
          <w:bCs/>
          <w:sz w:val="24"/>
          <w:szCs w:val="24"/>
        </w:rPr>
        <w:t>《基金合同》</w:t>
      </w:r>
      <w:r w:rsidR="00F270A3">
        <w:rPr>
          <w:rFonts w:ascii="宋体" w:eastAsia="宋体" w:hAnsi="宋体" w:hint="eastAsia"/>
          <w:bCs/>
          <w:sz w:val="24"/>
          <w:szCs w:val="24"/>
        </w:rPr>
        <w:t>”</w:t>
      </w:r>
      <w:r w:rsidRPr="00FA0F43">
        <w:rPr>
          <w:rFonts w:ascii="宋体" w:eastAsia="宋体" w:hAnsi="宋体" w:hint="eastAsia"/>
          <w:bCs/>
          <w:sz w:val="24"/>
          <w:szCs w:val="24"/>
        </w:rPr>
        <w:t>）的有关规定，</w:t>
      </w:r>
      <w:r w:rsidR="00A721F2">
        <w:rPr>
          <w:rFonts w:ascii="宋体" w:eastAsia="宋体" w:hAnsi="宋体" w:hint="eastAsia"/>
          <w:bCs/>
          <w:sz w:val="24"/>
          <w:szCs w:val="24"/>
        </w:rPr>
        <w:t>前海开源惠泽两年定期开放债券型发起式证券投资基金</w:t>
      </w:r>
      <w:r w:rsidRPr="00FA0F43">
        <w:rPr>
          <w:rFonts w:ascii="宋体" w:eastAsia="宋体" w:hAnsi="宋体" w:hint="eastAsia"/>
          <w:bCs/>
          <w:sz w:val="24"/>
          <w:szCs w:val="24"/>
        </w:rPr>
        <w:t>（以下简称“本基金</w:t>
      </w:r>
      <w:r>
        <w:rPr>
          <w:rFonts w:ascii="宋体" w:eastAsia="宋体" w:hAnsi="宋体" w:hint="eastAsia"/>
          <w:bCs/>
          <w:sz w:val="24"/>
          <w:szCs w:val="24"/>
        </w:rPr>
        <w:t>”）</w:t>
      </w:r>
      <w:r w:rsidR="00AE3C95" w:rsidRPr="00AE3C95">
        <w:rPr>
          <w:rFonts w:ascii="宋体" w:eastAsia="宋体" w:hAnsi="宋体" w:hint="eastAsia"/>
          <w:bCs/>
          <w:sz w:val="24"/>
          <w:szCs w:val="24"/>
        </w:rPr>
        <w:t>出现</w:t>
      </w:r>
      <w:r w:rsidR="00ED5228">
        <w:rPr>
          <w:rFonts w:ascii="宋体" w:eastAsia="宋体" w:hAnsi="宋体" w:hint="eastAsia"/>
          <w:bCs/>
          <w:sz w:val="24"/>
          <w:szCs w:val="24"/>
        </w:rPr>
        <w:t>了</w:t>
      </w:r>
      <w:r w:rsidR="00F270A3">
        <w:rPr>
          <w:rFonts w:ascii="宋体" w:eastAsia="宋体" w:hAnsi="宋体" w:hint="eastAsia"/>
          <w:bCs/>
          <w:sz w:val="24"/>
          <w:szCs w:val="24"/>
        </w:rPr>
        <w:t>《</w:t>
      </w:r>
      <w:r w:rsidR="00F270A3" w:rsidRPr="00AE3C95">
        <w:rPr>
          <w:rFonts w:ascii="宋体" w:eastAsia="宋体" w:hAnsi="宋体" w:hint="eastAsia"/>
          <w:bCs/>
          <w:sz w:val="24"/>
          <w:szCs w:val="24"/>
        </w:rPr>
        <w:t>基金合同</w:t>
      </w:r>
      <w:r w:rsidR="00F270A3">
        <w:rPr>
          <w:rFonts w:ascii="宋体" w:eastAsia="宋体" w:hAnsi="宋体" w:hint="eastAsia"/>
          <w:bCs/>
          <w:sz w:val="24"/>
          <w:szCs w:val="24"/>
        </w:rPr>
        <w:t>》</w:t>
      </w:r>
      <w:r w:rsidR="00AE3C95" w:rsidRPr="00AE3C95">
        <w:rPr>
          <w:rFonts w:ascii="宋体" w:eastAsia="宋体" w:hAnsi="宋体" w:hint="eastAsia"/>
          <w:bCs/>
          <w:sz w:val="24"/>
          <w:szCs w:val="24"/>
        </w:rPr>
        <w:t>终止事由，前海开源基金管理有限公司（以下简称“本公司”）应当在上述事由出现后依法履行基金财产清算程序并终止</w:t>
      </w:r>
      <w:r w:rsidR="00F270A3">
        <w:rPr>
          <w:rFonts w:ascii="宋体" w:eastAsia="宋体" w:hAnsi="宋体" w:hint="eastAsia"/>
          <w:bCs/>
          <w:sz w:val="24"/>
          <w:szCs w:val="24"/>
        </w:rPr>
        <w:t>《</w:t>
      </w:r>
      <w:r w:rsidR="00F270A3" w:rsidRPr="00AE3C95">
        <w:rPr>
          <w:rFonts w:ascii="宋体" w:eastAsia="宋体" w:hAnsi="宋体" w:hint="eastAsia"/>
          <w:bCs/>
          <w:sz w:val="24"/>
          <w:szCs w:val="24"/>
        </w:rPr>
        <w:t>基金合同</w:t>
      </w:r>
      <w:r w:rsidR="00F270A3">
        <w:rPr>
          <w:rFonts w:ascii="宋体" w:eastAsia="宋体" w:hAnsi="宋体" w:hint="eastAsia"/>
          <w:bCs/>
          <w:sz w:val="24"/>
          <w:szCs w:val="24"/>
        </w:rPr>
        <w:t>》</w:t>
      </w:r>
      <w:r w:rsidR="00AE3C95" w:rsidRPr="00AE3C95">
        <w:rPr>
          <w:rFonts w:ascii="宋体" w:eastAsia="宋体" w:hAnsi="宋体" w:hint="eastAsia"/>
          <w:bCs/>
          <w:sz w:val="24"/>
          <w:szCs w:val="24"/>
        </w:rPr>
        <w:t>，此事项不需召开基金份额持有人大会。</w:t>
      </w:r>
      <w:r w:rsidRPr="00FA0F43">
        <w:rPr>
          <w:rFonts w:ascii="宋体" w:eastAsia="宋体" w:hAnsi="宋体" w:hint="eastAsia"/>
          <w:bCs/>
          <w:sz w:val="24"/>
          <w:szCs w:val="24"/>
        </w:rPr>
        <w:t>现将相关事项公告如下</w:t>
      </w:r>
      <w:r w:rsidR="00F85680" w:rsidRPr="00F85680">
        <w:rPr>
          <w:rFonts w:ascii="宋体" w:eastAsia="宋体" w:hAnsi="宋体" w:hint="eastAsia"/>
          <w:bCs/>
          <w:sz w:val="24"/>
          <w:szCs w:val="24"/>
        </w:rPr>
        <w:t>：</w:t>
      </w:r>
    </w:p>
    <w:p w:rsidR="00FA0F43" w:rsidRDefault="00FA0F43" w:rsidP="00FA0F43">
      <w:pPr>
        <w:pStyle w:val="Default"/>
      </w:pPr>
    </w:p>
    <w:p w:rsidR="00FA0F43" w:rsidRPr="008F2418" w:rsidRDefault="00FA0F43" w:rsidP="008F2418">
      <w:pPr>
        <w:pStyle w:val="Default"/>
        <w:snapToGrid w:val="0"/>
        <w:spacing w:line="360" w:lineRule="auto"/>
        <w:ind w:firstLineChars="200" w:firstLine="480"/>
        <w:rPr>
          <w:rFonts w:asciiTheme="minorEastAsia" w:hAnsiTheme="minorEastAsia" w:cstheme="minorBidi"/>
          <w:bCs/>
          <w:color w:val="auto"/>
          <w:kern w:val="2"/>
        </w:rPr>
      </w:pPr>
      <w:r w:rsidRPr="008F2418">
        <w:rPr>
          <w:rFonts w:asciiTheme="minorEastAsia" w:hAnsiTheme="minorEastAsia" w:cstheme="minorBidi"/>
          <w:bCs/>
          <w:color w:val="auto"/>
          <w:kern w:val="2"/>
        </w:rPr>
        <w:t>一、本基金基本信息</w:t>
      </w:r>
    </w:p>
    <w:p w:rsidR="00FA0F43" w:rsidRPr="008F2418" w:rsidRDefault="00FA0F43" w:rsidP="008F2418">
      <w:pPr>
        <w:pStyle w:val="Default"/>
        <w:snapToGrid w:val="0"/>
        <w:spacing w:line="360" w:lineRule="auto"/>
        <w:ind w:firstLineChars="200" w:firstLine="480"/>
        <w:rPr>
          <w:rFonts w:asciiTheme="minorEastAsia" w:hAnsiTheme="minorEastAsia"/>
        </w:rPr>
      </w:pPr>
      <w:r w:rsidRPr="008F2418">
        <w:rPr>
          <w:rFonts w:asciiTheme="minorEastAsia" w:hAnsiTheme="minorEastAsia"/>
        </w:rPr>
        <w:t>基金名称：</w:t>
      </w:r>
      <w:r w:rsidR="00A721F2">
        <w:rPr>
          <w:rFonts w:asciiTheme="minorEastAsia" w:hAnsiTheme="minorEastAsia" w:hint="eastAsia"/>
        </w:rPr>
        <w:t>前海开源惠泽两年定期开放债券型发起式证券投资基金</w:t>
      </w:r>
    </w:p>
    <w:p w:rsidR="00F71E98" w:rsidRPr="008F2418" w:rsidRDefault="00A721F2" w:rsidP="008F2418">
      <w:pPr>
        <w:pStyle w:val="Default"/>
        <w:snapToGrid w:val="0"/>
        <w:spacing w:line="360" w:lineRule="auto"/>
        <w:ind w:firstLineChars="200" w:firstLine="480"/>
        <w:rPr>
          <w:rFonts w:asciiTheme="minorEastAsia" w:hAnsiTheme="minorEastAsia"/>
        </w:rPr>
      </w:pPr>
      <w:r w:rsidRPr="00A721F2">
        <w:rPr>
          <w:rFonts w:asciiTheme="minorEastAsia" w:hAnsiTheme="minorEastAsia" w:hint="eastAsia"/>
        </w:rPr>
        <w:t>简称：前海开源惠泽两年定开债券,基金代码：009788</w:t>
      </w:r>
    </w:p>
    <w:p w:rsidR="00FA0F43" w:rsidRPr="008F2418" w:rsidRDefault="00FA0F43" w:rsidP="008F2418">
      <w:pPr>
        <w:pStyle w:val="Default"/>
        <w:snapToGrid w:val="0"/>
        <w:spacing w:line="360" w:lineRule="auto"/>
        <w:ind w:firstLineChars="200" w:firstLine="480"/>
        <w:rPr>
          <w:rFonts w:asciiTheme="minorEastAsia" w:hAnsiTheme="minorEastAsia"/>
        </w:rPr>
      </w:pPr>
      <w:r w:rsidRPr="008F2418">
        <w:rPr>
          <w:rFonts w:asciiTheme="minorEastAsia" w:hAnsiTheme="minorEastAsia"/>
        </w:rPr>
        <w:t>基金运作方式：</w:t>
      </w:r>
      <w:r w:rsidR="00F71E98" w:rsidRPr="008F2418">
        <w:rPr>
          <w:rFonts w:asciiTheme="minorEastAsia" w:hAnsiTheme="minorEastAsia" w:hint="eastAsia"/>
        </w:rPr>
        <w:t>契约型</w:t>
      </w:r>
      <w:r w:rsidR="00A721F2">
        <w:rPr>
          <w:rFonts w:asciiTheme="minorEastAsia" w:hAnsiTheme="minorEastAsia" w:hint="eastAsia"/>
        </w:rPr>
        <w:t>定期</w:t>
      </w:r>
      <w:r w:rsidRPr="008F2418">
        <w:rPr>
          <w:rFonts w:asciiTheme="minorEastAsia" w:hAnsiTheme="minorEastAsia"/>
        </w:rPr>
        <w:t>开放式</w:t>
      </w:r>
    </w:p>
    <w:p w:rsidR="00FA0F43" w:rsidRDefault="00732ED4" w:rsidP="008F2418">
      <w:pPr>
        <w:pStyle w:val="Default"/>
        <w:snapToGrid w:val="0"/>
        <w:spacing w:line="360" w:lineRule="auto"/>
        <w:ind w:firstLineChars="200" w:firstLine="480"/>
        <w:rPr>
          <w:rFonts w:asciiTheme="minorEastAsia" w:hAnsiTheme="minorEastAsia"/>
        </w:rPr>
      </w:pPr>
      <w:r w:rsidRPr="00732ED4">
        <w:rPr>
          <w:rFonts w:asciiTheme="minorEastAsia" w:hAnsiTheme="minorEastAsia" w:hint="eastAsia"/>
        </w:rPr>
        <w:t>《基金合同》生效日</w:t>
      </w:r>
      <w:r w:rsidR="00FA0F43" w:rsidRPr="008F2418">
        <w:rPr>
          <w:rFonts w:asciiTheme="minorEastAsia" w:hAnsiTheme="minorEastAsia"/>
        </w:rPr>
        <w:t>：</w:t>
      </w:r>
      <w:r w:rsidR="00A721F2" w:rsidRPr="00A721F2">
        <w:rPr>
          <w:rFonts w:asciiTheme="minorEastAsia" w:hAnsiTheme="minorEastAsia" w:hint="eastAsia"/>
        </w:rPr>
        <w:t>2020年7月7日</w:t>
      </w:r>
    </w:p>
    <w:p w:rsidR="00AB7742" w:rsidRPr="008F2418" w:rsidRDefault="00AB7742" w:rsidP="008F2418">
      <w:pPr>
        <w:pStyle w:val="Default"/>
        <w:snapToGrid w:val="0"/>
        <w:spacing w:line="360" w:lineRule="auto"/>
        <w:ind w:firstLineChars="200" w:firstLine="480"/>
        <w:rPr>
          <w:rFonts w:asciiTheme="minorEastAsia" w:hAnsiTheme="minorEastAsia"/>
        </w:rPr>
      </w:pPr>
      <w:r w:rsidRPr="00AB7742">
        <w:rPr>
          <w:rFonts w:asciiTheme="minorEastAsia" w:hAnsiTheme="minorEastAsia" w:hint="eastAsia"/>
        </w:rPr>
        <w:t>基金管理人名称：前海开源基金管理有限公司</w:t>
      </w:r>
    </w:p>
    <w:p w:rsidR="00FA0F43" w:rsidRPr="008F2418" w:rsidRDefault="00FA0F43" w:rsidP="008F2418">
      <w:pPr>
        <w:pStyle w:val="Default"/>
        <w:snapToGrid w:val="0"/>
        <w:spacing w:line="360" w:lineRule="auto"/>
        <w:ind w:firstLineChars="200" w:firstLine="480"/>
        <w:rPr>
          <w:rFonts w:asciiTheme="minorEastAsia" w:hAnsiTheme="minorEastAsia"/>
        </w:rPr>
      </w:pPr>
      <w:r w:rsidRPr="008F2418">
        <w:rPr>
          <w:rFonts w:asciiTheme="minorEastAsia" w:hAnsiTheme="minorEastAsia"/>
        </w:rPr>
        <w:t>基金托管人名称：</w:t>
      </w:r>
      <w:r w:rsidR="00A721F2" w:rsidRPr="00A721F2">
        <w:rPr>
          <w:rFonts w:asciiTheme="minorEastAsia" w:hAnsiTheme="minorEastAsia" w:hint="eastAsia"/>
        </w:rPr>
        <w:t>江苏银行股份有限公司</w:t>
      </w:r>
    </w:p>
    <w:p w:rsidR="00F71E98" w:rsidRPr="008F2418" w:rsidRDefault="00F71E98" w:rsidP="008F2418">
      <w:pPr>
        <w:pStyle w:val="Default"/>
        <w:snapToGrid w:val="0"/>
        <w:spacing w:line="360" w:lineRule="auto"/>
        <w:ind w:firstLineChars="200" w:firstLine="480"/>
        <w:rPr>
          <w:rFonts w:asciiTheme="minorEastAsia" w:hAnsiTheme="minorEastAsia"/>
        </w:rPr>
      </w:pPr>
    </w:p>
    <w:p w:rsidR="00FA0F43" w:rsidRPr="008F2418" w:rsidRDefault="00FA0F43" w:rsidP="008F2418">
      <w:pPr>
        <w:pStyle w:val="Default"/>
        <w:snapToGrid w:val="0"/>
        <w:spacing w:line="360" w:lineRule="auto"/>
        <w:ind w:firstLineChars="200" w:firstLine="480"/>
        <w:rPr>
          <w:rFonts w:asciiTheme="minorEastAsia" w:hAnsiTheme="minorEastAsia"/>
        </w:rPr>
      </w:pPr>
      <w:r w:rsidRPr="008F2418">
        <w:rPr>
          <w:rFonts w:asciiTheme="minorEastAsia" w:hAnsiTheme="minorEastAsia"/>
        </w:rPr>
        <w:t>二、</w:t>
      </w:r>
      <w:r w:rsidR="00732ED4" w:rsidRPr="00732ED4">
        <w:rPr>
          <w:rFonts w:asciiTheme="minorEastAsia" w:hAnsiTheme="minorEastAsia" w:hint="eastAsia"/>
        </w:rPr>
        <w:t>《基金合同》</w:t>
      </w:r>
      <w:r w:rsidR="00AE3C95" w:rsidRPr="00AE3C95">
        <w:rPr>
          <w:rFonts w:asciiTheme="minorEastAsia" w:hAnsiTheme="minorEastAsia" w:hint="eastAsia"/>
        </w:rPr>
        <w:t>终止事由</w:t>
      </w:r>
    </w:p>
    <w:p w:rsidR="00A721F2" w:rsidRPr="00A721F2" w:rsidRDefault="00A721F2" w:rsidP="00A721F2">
      <w:pPr>
        <w:pStyle w:val="Default"/>
        <w:snapToGrid w:val="0"/>
        <w:spacing w:line="360" w:lineRule="auto"/>
        <w:ind w:firstLineChars="200" w:firstLine="480"/>
        <w:rPr>
          <w:rFonts w:asciiTheme="minorEastAsia" w:hAnsiTheme="minorEastAsia"/>
        </w:rPr>
      </w:pPr>
      <w:r w:rsidRPr="00A721F2">
        <w:rPr>
          <w:rFonts w:asciiTheme="minorEastAsia" w:hAnsiTheme="minorEastAsia" w:hint="eastAsia"/>
        </w:rPr>
        <w:t>根据《基金合同》第五部分“基金备案”约定：“《基金合同》生效之日起满三年后的对应日，若基金资产净值低于2亿元，本《基金合同》自动终止并按其约定程序进行清算，无需召开基金份额持有人大会审议，且不得通过召开基金份额持有人大会的方式延续本《基金合同》期限。”</w:t>
      </w:r>
    </w:p>
    <w:p w:rsidR="00FA0F43" w:rsidRDefault="00A721F2" w:rsidP="008F2418">
      <w:pPr>
        <w:pStyle w:val="Default"/>
        <w:snapToGrid w:val="0"/>
        <w:spacing w:line="360" w:lineRule="auto"/>
        <w:ind w:firstLineChars="200" w:firstLine="480"/>
        <w:rPr>
          <w:sz w:val="23"/>
          <w:szCs w:val="23"/>
        </w:rPr>
      </w:pPr>
      <w:r w:rsidRPr="00A721F2">
        <w:rPr>
          <w:rFonts w:asciiTheme="minorEastAsia" w:hAnsiTheme="minorEastAsia" w:hint="eastAsia"/>
        </w:rPr>
        <w:t>本基金《基金合同》生效之日起满三年后的对应日为2023年7月7日，截至该日日终，本基金的基金资产净值低于2亿元。</w:t>
      </w:r>
      <w:r w:rsidR="00732ED4" w:rsidRPr="00732ED4">
        <w:rPr>
          <w:rFonts w:asciiTheme="minorEastAsia" w:hAnsiTheme="minorEastAsia" w:hint="eastAsia"/>
        </w:rPr>
        <w:t>满足《基金合同》约定的终止条件，因此本基金根据《基金合同》约定进入基金财产清算程序，而不需召开基金份额持有人大会</w:t>
      </w:r>
      <w:r w:rsidR="00AE3C95">
        <w:rPr>
          <w:rFonts w:asciiTheme="minorEastAsia" w:hAnsiTheme="minorEastAsia" w:hint="eastAsia"/>
        </w:rPr>
        <w:t>。</w:t>
      </w:r>
    </w:p>
    <w:p w:rsidR="00FA0F43" w:rsidRDefault="00FA0F43" w:rsidP="008F2418">
      <w:pPr>
        <w:adjustRightInd w:val="0"/>
        <w:snapToGrid w:val="0"/>
        <w:spacing w:line="360" w:lineRule="auto"/>
        <w:ind w:firstLineChars="200" w:firstLine="480"/>
        <w:rPr>
          <w:rFonts w:ascii="宋体" w:eastAsia="宋体" w:hAnsi="宋体"/>
          <w:bCs/>
          <w:sz w:val="24"/>
          <w:szCs w:val="24"/>
        </w:rPr>
      </w:pPr>
    </w:p>
    <w:p w:rsidR="00FA0F43" w:rsidRPr="00FA0F43" w:rsidRDefault="00FA0F43" w:rsidP="00FA0F43">
      <w:pPr>
        <w:adjustRightInd w:val="0"/>
        <w:snapToGrid w:val="0"/>
        <w:spacing w:line="360" w:lineRule="auto"/>
        <w:ind w:firstLineChars="200" w:firstLine="480"/>
        <w:rPr>
          <w:rFonts w:ascii="宋体" w:eastAsia="宋体" w:hAnsi="宋体"/>
          <w:bCs/>
          <w:sz w:val="24"/>
          <w:szCs w:val="24"/>
        </w:rPr>
      </w:pPr>
      <w:r w:rsidRPr="00FA0F43">
        <w:rPr>
          <w:rFonts w:ascii="宋体" w:eastAsia="宋体" w:hAnsi="宋体" w:hint="eastAsia"/>
          <w:bCs/>
          <w:sz w:val="24"/>
          <w:szCs w:val="24"/>
        </w:rPr>
        <w:lastRenderedPageBreak/>
        <w:t>三、</w:t>
      </w:r>
      <w:r w:rsidR="00AE3C95" w:rsidRPr="00AE3C95">
        <w:rPr>
          <w:rFonts w:ascii="宋体" w:eastAsia="宋体" w:hAnsi="宋体" w:hint="eastAsia"/>
          <w:bCs/>
          <w:sz w:val="24"/>
          <w:szCs w:val="24"/>
        </w:rPr>
        <w:t>基金财产清算</w:t>
      </w:r>
    </w:p>
    <w:p w:rsidR="00EC137E" w:rsidRDefault="00F71E98" w:rsidP="00FA0F43">
      <w:pPr>
        <w:adjustRightInd w:val="0"/>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1</w:t>
      </w:r>
      <w:r w:rsidR="00FA0F43" w:rsidRPr="00FA0F43">
        <w:rPr>
          <w:rFonts w:ascii="宋体" w:eastAsia="宋体" w:hAnsi="宋体" w:hint="eastAsia"/>
          <w:bCs/>
          <w:sz w:val="24"/>
          <w:szCs w:val="24"/>
        </w:rPr>
        <w:t>、</w:t>
      </w:r>
      <w:r w:rsidR="00EC137E" w:rsidRPr="00EC137E">
        <w:rPr>
          <w:rFonts w:ascii="宋体" w:eastAsia="宋体" w:hAnsi="宋体" w:hint="eastAsia"/>
          <w:bCs/>
          <w:sz w:val="24"/>
          <w:szCs w:val="24"/>
        </w:rPr>
        <w:t>本公司已于2022年7月28日发布了《关于前海开源惠泽两年定期开放债券型发起式证券投资基金第一个开放期到期后暂停运作、不进入下一封闭期的公告》，本基金第一个开放期为2022年7月7日至2022年7月27日，开放期最后一日日终留存的基金份额已全部自动赎回，《基金合同》另有规定的除外。</w:t>
      </w:r>
      <w:r w:rsidR="00F270A3">
        <w:rPr>
          <w:rFonts w:ascii="宋体" w:eastAsia="宋体" w:hAnsi="宋体" w:hint="eastAsia"/>
          <w:bCs/>
          <w:sz w:val="24"/>
          <w:szCs w:val="24"/>
        </w:rPr>
        <w:t>因此，</w:t>
      </w:r>
      <w:r w:rsidR="00EC137E" w:rsidRPr="00EC137E">
        <w:rPr>
          <w:rFonts w:ascii="宋体" w:eastAsia="宋体" w:hAnsi="宋体" w:hint="eastAsia"/>
          <w:bCs/>
          <w:sz w:val="24"/>
          <w:szCs w:val="24"/>
        </w:rPr>
        <w:t>本基金已于2022年7月28日起暂停进入下一封闭期运作。</w:t>
      </w:r>
    </w:p>
    <w:p w:rsidR="00BF5AD9" w:rsidRDefault="00EC137E" w:rsidP="00FA0F43">
      <w:pPr>
        <w:adjustRightInd w:val="0"/>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2、</w:t>
      </w:r>
      <w:r w:rsidRPr="00EC137E">
        <w:rPr>
          <w:rFonts w:ascii="宋体" w:eastAsia="宋体" w:hAnsi="宋体" w:hint="eastAsia"/>
          <w:bCs/>
          <w:sz w:val="24"/>
          <w:szCs w:val="24"/>
        </w:rPr>
        <w:t>2023年7月10日为本基金最后运作日，自最后运作日的下一日（即2023年7月11</w:t>
      </w:r>
      <w:r>
        <w:rPr>
          <w:rFonts w:ascii="宋体" w:eastAsia="宋体" w:hAnsi="宋体" w:hint="eastAsia"/>
          <w:bCs/>
          <w:sz w:val="24"/>
          <w:szCs w:val="24"/>
        </w:rPr>
        <w:t>日）起本基金进入基金财产清算程序</w:t>
      </w:r>
      <w:r w:rsidR="00BF5AD9" w:rsidRPr="00BF5AD9">
        <w:rPr>
          <w:rFonts w:ascii="宋体" w:eastAsia="宋体" w:hAnsi="宋体" w:hint="eastAsia"/>
          <w:bCs/>
          <w:sz w:val="24"/>
          <w:szCs w:val="24"/>
        </w:rPr>
        <w:t>。本基金进入清算程序后，</w:t>
      </w:r>
      <w:r w:rsidR="00343D94" w:rsidRPr="00343D94">
        <w:rPr>
          <w:rFonts w:ascii="宋体" w:eastAsia="宋体" w:hAnsi="宋体" w:hint="eastAsia"/>
          <w:bCs/>
          <w:sz w:val="24"/>
          <w:szCs w:val="24"/>
        </w:rPr>
        <w:t>将</w:t>
      </w:r>
      <w:r>
        <w:rPr>
          <w:rFonts w:ascii="宋体" w:eastAsia="宋体" w:hAnsi="宋体" w:hint="eastAsia"/>
          <w:bCs/>
          <w:sz w:val="24"/>
          <w:szCs w:val="24"/>
        </w:rPr>
        <w:t>继续</w:t>
      </w:r>
      <w:r w:rsidR="00343D94" w:rsidRPr="00343D94">
        <w:rPr>
          <w:rFonts w:ascii="宋体" w:eastAsia="宋体" w:hAnsi="宋体" w:hint="eastAsia"/>
          <w:bCs/>
          <w:sz w:val="24"/>
          <w:szCs w:val="24"/>
        </w:rPr>
        <w:t>停止收取基金管理费、基金托管费</w:t>
      </w:r>
      <w:r w:rsidR="00BF5AD9">
        <w:rPr>
          <w:rFonts w:ascii="宋体" w:eastAsia="宋体" w:hAnsi="宋体" w:hint="eastAsia"/>
          <w:bCs/>
          <w:sz w:val="24"/>
          <w:szCs w:val="24"/>
        </w:rPr>
        <w:t>。</w:t>
      </w:r>
    </w:p>
    <w:p w:rsidR="00BF5AD9" w:rsidRDefault="00A86308" w:rsidP="00BF5AD9">
      <w:pPr>
        <w:adjustRightInd w:val="0"/>
        <w:snapToGrid w:val="0"/>
        <w:spacing w:line="360" w:lineRule="auto"/>
        <w:ind w:firstLineChars="200" w:firstLine="480"/>
        <w:rPr>
          <w:rFonts w:ascii="宋体" w:eastAsia="宋体" w:hAnsi="宋体"/>
          <w:bCs/>
          <w:sz w:val="24"/>
          <w:szCs w:val="24"/>
        </w:rPr>
      </w:pPr>
      <w:r>
        <w:rPr>
          <w:rFonts w:ascii="宋体" w:eastAsia="宋体" w:hAnsi="宋体"/>
          <w:bCs/>
          <w:sz w:val="24"/>
          <w:szCs w:val="24"/>
        </w:rPr>
        <w:t>3</w:t>
      </w:r>
      <w:r w:rsidR="00BF5AD9" w:rsidRPr="00BF5AD9">
        <w:rPr>
          <w:rFonts w:ascii="宋体" w:eastAsia="宋体" w:hAnsi="宋体" w:hint="eastAsia"/>
          <w:bCs/>
          <w:sz w:val="24"/>
          <w:szCs w:val="24"/>
        </w:rPr>
        <w:t>、</w:t>
      </w:r>
      <w:r w:rsidR="00431EC7" w:rsidRPr="00431EC7">
        <w:rPr>
          <w:rFonts w:ascii="宋体" w:eastAsia="宋体" w:hAnsi="宋体" w:hint="eastAsia"/>
          <w:bCs/>
          <w:sz w:val="24"/>
          <w:szCs w:val="24"/>
        </w:rPr>
        <w:t>基金管理人组织基金财产清算小组并在中国证监会的监督下进行基金清算</w:t>
      </w:r>
      <w:r w:rsidR="00BF5AD9" w:rsidRPr="00BF5AD9">
        <w:rPr>
          <w:rFonts w:ascii="宋体" w:eastAsia="宋体" w:hAnsi="宋体" w:hint="eastAsia"/>
          <w:bCs/>
          <w:sz w:val="24"/>
          <w:szCs w:val="24"/>
        </w:rPr>
        <w:t>。基金财产清算小组成员由基金管理人、基金托管人、符合《中华人民共和国证券法》规定的注册会计师、律师以及中国证监会指定的人员组成。基金财产清算小组可以聘用必要的工作人员。</w:t>
      </w:r>
    </w:p>
    <w:p w:rsidR="00BF5AD9" w:rsidRPr="00BF5AD9" w:rsidRDefault="00A86308" w:rsidP="00BF5AD9">
      <w:pPr>
        <w:adjustRightInd w:val="0"/>
        <w:snapToGrid w:val="0"/>
        <w:spacing w:line="360" w:lineRule="auto"/>
        <w:ind w:firstLineChars="200" w:firstLine="480"/>
        <w:rPr>
          <w:rFonts w:ascii="宋体" w:eastAsia="宋体" w:hAnsi="宋体"/>
          <w:bCs/>
          <w:sz w:val="24"/>
          <w:szCs w:val="24"/>
        </w:rPr>
      </w:pPr>
      <w:r>
        <w:rPr>
          <w:rFonts w:ascii="宋体" w:eastAsia="宋体" w:hAnsi="宋体"/>
          <w:bCs/>
          <w:sz w:val="24"/>
          <w:szCs w:val="24"/>
        </w:rPr>
        <w:t>4</w:t>
      </w:r>
      <w:r w:rsidR="00BF5AD9" w:rsidRPr="00BF5AD9">
        <w:rPr>
          <w:rFonts w:ascii="宋体" w:eastAsia="宋体" w:hAnsi="宋体" w:hint="eastAsia"/>
          <w:bCs/>
          <w:sz w:val="24"/>
          <w:szCs w:val="24"/>
        </w:rPr>
        <w:t>、基金财产清算小组负责基金财产的保管、清理、估价、变现和分配。基金财产清算小组可以依法进行必要的民事活动。</w:t>
      </w:r>
    </w:p>
    <w:p w:rsidR="00BF5AD9" w:rsidRPr="00BF5AD9" w:rsidRDefault="00A86308" w:rsidP="00BF5AD9">
      <w:pPr>
        <w:adjustRightInd w:val="0"/>
        <w:snapToGrid w:val="0"/>
        <w:spacing w:line="360" w:lineRule="auto"/>
        <w:ind w:firstLineChars="200" w:firstLine="480"/>
        <w:rPr>
          <w:rFonts w:ascii="宋体" w:eastAsia="宋体" w:hAnsi="宋体"/>
          <w:bCs/>
          <w:sz w:val="24"/>
          <w:szCs w:val="24"/>
        </w:rPr>
      </w:pPr>
      <w:r>
        <w:rPr>
          <w:rFonts w:ascii="宋体" w:eastAsia="宋体" w:hAnsi="宋体"/>
          <w:bCs/>
          <w:sz w:val="24"/>
          <w:szCs w:val="24"/>
        </w:rPr>
        <w:t>5</w:t>
      </w:r>
      <w:r w:rsidR="00BF5AD9" w:rsidRPr="00BF5AD9">
        <w:rPr>
          <w:rFonts w:ascii="宋体" w:eastAsia="宋体" w:hAnsi="宋体" w:hint="eastAsia"/>
          <w:bCs/>
          <w:sz w:val="24"/>
          <w:szCs w:val="24"/>
        </w:rPr>
        <w:t>、基金财产清算程序：</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（1）《基金合同》终止情形出现时，由基金财产清算小组统一接管基金；</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（2）对基金财产和债权债务进行清理和确认；</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（3）对基金财产进行估值和变现；</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（4）制作清算报告；</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（5）聘请会计师事务所对清算报告进行外部审计，聘请律师事务所对清算报告出具法律意见书；</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（6）将清算报告报中国证监会备案并公告；</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（7）对基金剩余财产进行分配。</w:t>
      </w:r>
    </w:p>
    <w:p w:rsidR="00BF5AD9" w:rsidRDefault="00A86308" w:rsidP="00BF5AD9">
      <w:pPr>
        <w:adjustRightInd w:val="0"/>
        <w:snapToGrid w:val="0"/>
        <w:spacing w:line="360" w:lineRule="auto"/>
        <w:ind w:firstLineChars="200" w:firstLine="480"/>
        <w:rPr>
          <w:rFonts w:ascii="宋体" w:eastAsia="宋体" w:hAnsi="宋体"/>
          <w:bCs/>
          <w:sz w:val="24"/>
          <w:szCs w:val="24"/>
        </w:rPr>
      </w:pPr>
      <w:r>
        <w:rPr>
          <w:rFonts w:ascii="宋体" w:eastAsia="宋体" w:hAnsi="宋体"/>
          <w:bCs/>
          <w:sz w:val="24"/>
          <w:szCs w:val="24"/>
        </w:rPr>
        <w:t>6</w:t>
      </w:r>
      <w:r w:rsidR="00BF5AD9" w:rsidRPr="00BF5AD9">
        <w:rPr>
          <w:rFonts w:ascii="宋体" w:eastAsia="宋体" w:hAnsi="宋体" w:hint="eastAsia"/>
          <w:bCs/>
          <w:sz w:val="24"/>
          <w:szCs w:val="24"/>
        </w:rPr>
        <w:t>、基金财产清算的期限为6个月</w:t>
      </w:r>
      <w:r w:rsidR="005E665D" w:rsidRPr="005E665D">
        <w:rPr>
          <w:rFonts w:ascii="宋体" w:eastAsia="宋体" w:hAnsi="宋体" w:hint="eastAsia"/>
          <w:bCs/>
          <w:sz w:val="24"/>
          <w:szCs w:val="24"/>
        </w:rPr>
        <w:t>，但因本基金所持证券的流动性受到限制而不能及时变现的，清算期限相应顺延</w:t>
      </w:r>
      <w:r w:rsidR="00BF5AD9" w:rsidRPr="00BF5AD9">
        <w:rPr>
          <w:rFonts w:ascii="宋体" w:eastAsia="宋体" w:hAnsi="宋体" w:hint="eastAsia"/>
          <w:bCs/>
          <w:sz w:val="24"/>
          <w:szCs w:val="24"/>
        </w:rPr>
        <w:t>。</w:t>
      </w:r>
    </w:p>
    <w:p w:rsidR="00BF5AD9" w:rsidRPr="00BF5AD9" w:rsidRDefault="00A86308" w:rsidP="00BF5AD9">
      <w:pPr>
        <w:adjustRightInd w:val="0"/>
        <w:snapToGrid w:val="0"/>
        <w:spacing w:line="360" w:lineRule="auto"/>
        <w:ind w:firstLineChars="200" w:firstLine="480"/>
        <w:rPr>
          <w:rFonts w:ascii="宋体" w:eastAsia="宋体" w:hAnsi="宋体"/>
          <w:bCs/>
          <w:sz w:val="24"/>
          <w:szCs w:val="24"/>
        </w:rPr>
      </w:pPr>
      <w:r>
        <w:rPr>
          <w:rFonts w:ascii="宋体" w:eastAsia="宋体" w:hAnsi="宋体"/>
          <w:bCs/>
          <w:sz w:val="24"/>
          <w:szCs w:val="24"/>
        </w:rPr>
        <w:t>7</w:t>
      </w:r>
      <w:r w:rsidR="00BF5AD9" w:rsidRPr="00BF5AD9">
        <w:rPr>
          <w:rFonts w:ascii="宋体" w:eastAsia="宋体" w:hAnsi="宋体" w:hint="eastAsia"/>
          <w:bCs/>
          <w:sz w:val="24"/>
          <w:szCs w:val="24"/>
        </w:rPr>
        <w:t>、清算费用</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清算费用是指基金财产清算小组在进行基金清算过程中发生的所有合理费用，清算费用由基金财产清算小组优先从基金财产中支付。</w:t>
      </w:r>
    </w:p>
    <w:p w:rsidR="00BF5AD9" w:rsidRPr="00BF5AD9" w:rsidRDefault="00A86308" w:rsidP="00BF5AD9">
      <w:pPr>
        <w:adjustRightInd w:val="0"/>
        <w:snapToGrid w:val="0"/>
        <w:spacing w:line="360" w:lineRule="auto"/>
        <w:ind w:firstLineChars="200" w:firstLine="480"/>
        <w:rPr>
          <w:rFonts w:ascii="宋体" w:eastAsia="宋体" w:hAnsi="宋体"/>
          <w:bCs/>
          <w:sz w:val="24"/>
          <w:szCs w:val="24"/>
        </w:rPr>
      </w:pPr>
      <w:r>
        <w:rPr>
          <w:rFonts w:ascii="宋体" w:eastAsia="宋体" w:hAnsi="宋体"/>
          <w:bCs/>
          <w:sz w:val="24"/>
          <w:szCs w:val="24"/>
        </w:rPr>
        <w:t>8</w:t>
      </w:r>
      <w:r w:rsidR="00BF5AD9" w:rsidRPr="00BF5AD9">
        <w:rPr>
          <w:rFonts w:ascii="宋体" w:eastAsia="宋体" w:hAnsi="宋体" w:hint="eastAsia"/>
          <w:bCs/>
          <w:sz w:val="24"/>
          <w:szCs w:val="24"/>
        </w:rPr>
        <w:t>、基金财产按下列顺序清偿：</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lastRenderedPageBreak/>
        <w:t>（1）支付基金财产清算费用；</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（2）交纳所欠税款；</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（3）清偿基金债务；</w:t>
      </w: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（4）按基金份额持有人持有的基金份额比例进行分配。</w:t>
      </w:r>
    </w:p>
    <w:p w:rsidR="00BF5AD9" w:rsidRPr="00BF5AD9" w:rsidRDefault="00A86308" w:rsidP="00BF5AD9">
      <w:pPr>
        <w:adjustRightInd w:val="0"/>
        <w:snapToGrid w:val="0"/>
        <w:spacing w:line="360" w:lineRule="auto"/>
        <w:ind w:firstLineChars="200" w:firstLine="480"/>
        <w:rPr>
          <w:rFonts w:ascii="宋体" w:eastAsia="宋体" w:hAnsi="宋体"/>
          <w:bCs/>
          <w:sz w:val="24"/>
          <w:szCs w:val="24"/>
        </w:rPr>
      </w:pPr>
      <w:r>
        <w:rPr>
          <w:rFonts w:ascii="宋体" w:eastAsia="宋体" w:hAnsi="宋体"/>
          <w:bCs/>
          <w:sz w:val="24"/>
          <w:szCs w:val="24"/>
        </w:rPr>
        <w:t>9</w:t>
      </w:r>
      <w:r w:rsidR="00BF5AD9" w:rsidRPr="00BF5AD9">
        <w:rPr>
          <w:rFonts w:ascii="宋体" w:eastAsia="宋体" w:hAnsi="宋体" w:hint="eastAsia"/>
          <w:bCs/>
          <w:sz w:val="24"/>
          <w:szCs w:val="24"/>
        </w:rPr>
        <w:t>、基金财产清算的公告</w:t>
      </w:r>
    </w:p>
    <w:p w:rsid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清算过程中的有关重大事项须及时公告；基金财产清算报告经</w:t>
      </w:r>
      <w:r w:rsidR="005E665D" w:rsidRPr="005E665D">
        <w:rPr>
          <w:rFonts w:ascii="宋体" w:eastAsia="宋体" w:hAnsi="宋体" w:hint="eastAsia"/>
          <w:bCs/>
          <w:sz w:val="24"/>
          <w:szCs w:val="24"/>
        </w:rPr>
        <w:t>符合《中华人民共和国证券法》规定的</w:t>
      </w:r>
      <w:r w:rsidRPr="00BF5AD9">
        <w:rPr>
          <w:rFonts w:ascii="宋体" w:eastAsia="宋体" w:hAnsi="宋体" w:hint="eastAsia"/>
          <w:bCs/>
          <w:sz w:val="24"/>
          <w:szCs w:val="24"/>
        </w:rPr>
        <w:t>会计师事务所审计并由律师事务所出具法律意见书后报中国证监会备案并公告。基金财产清算公告于基金财产清算报告报中国证监会备案后5个工作日内由基金财产清算小组进行公告。</w:t>
      </w:r>
      <w:r w:rsidR="00E80291" w:rsidRPr="00E80291">
        <w:rPr>
          <w:rFonts w:ascii="宋体" w:eastAsia="宋体" w:hAnsi="宋体" w:hint="eastAsia"/>
          <w:bCs/>
          <w:sz w:val="24"/>
          <w:szCs w:val="24"/>
        </w:rPr>
        <w:t>基金财产清算小组应当将清算报告登载在规定网站上，并将清算报告提示性公告登载在规定报刊上。</w:t>
      </w:r>
      <w:bookmarkStart w:id="0" w:name="_GoBack"/>
      <w:bookmarkEnd w:id="0"/>
    </w:p>
    <w:p w:rsidR="00BF5AD9" w:rsidRPr="00BF5AD9" w:rsidRDefault="00A86308" w:rsidP="00BF5AD9">
      <w:pPr>
        <w:adjustRightInd w:val="0"/>
        <w:snapToGrid w:val="0"/>
        <w:spacing w:line="360" w:lineRule="auto"/>
        <w:ind w:firstLineChars="200" w:firstLine="480"/>
        <w:rPr>
          <w:rFonts w:ascii="宋体" w:eastAsia="宋体" w:hAnsi="宋体"/>
          <w:bCs/>
          <w:sz w:val="24"/>
          <w:szCs w:val="24"/>
        </w:rPr>
      </w:pPr>
      <w:r>
        <w:rPr>
          <w:rFonts w:ascii="宋体" w:eastAsia="宋体" w:hAnsi="宋体"/>
          <w:bCs/>
          <w:sz w:val="24"/>
          <w:szCs w:val="24"/>
        </w:rPr>
        <w:t>10</w:t>
      </w:r>
      <w:r w:rsidR="00BF5AD9" w:rsidRPr="00BF5AD9">
        <w:rPr>
          <w:rFonts w:ascii="宋体" w:eastAsia="宋体" w:hAnsi="宋体" w:hint="eastAsia"/>
          <w:bCs/>
          <w:sz w:val="24"/>
          <w:szCs w:val="24"/>
        </w:rPr>
        <w:t>、基金财产清算账册及文件的保存</w:t>
      </w:r>
    </w:p>
    <w:p w:rsidR="000F76D2" w:rsidRPr="00BF5AD9" w:rsidRDefault="000F76D2" w:rsidP="00431EC7">
      <w:pPr>
        <w:adjustRightInd w:val="0"/>
        <w:snapToGrid w:val="0"/>
        <w:spacing w:line="360" w:lineRule="auto"/>
        <w:ind w:firstLineChars="200" w:firstLine="480"/>
        <w:rPr>
          <w:rFonts w:ascii="宋体" w:eastAsia="宋体" w:hAnsi="宋体"/>
          <w:bCs/>
          <w:sz w:val="24"/>
          <w:szCs w:val="24"/>
        </w:rPr>
      </w:pPr>
      <w:r w:rsidRPr="000F76D2">
        <w:rPr>
          <w:rFonts w:ascii="宋体" w:eastAsia="宋体" w:hAnsi="宋体" w:hint="eastAsia"/>
          <w:bCs/>
          <w:sz w:val="24"/>
          <w:szCs w:val="24"/>
        </w:rPr>
        <w:t>基金财产清算账册及有关文件由基金托管人</w:t>
      </w:r>
      <w:r w:rsidR="00E80291" w:rsidRPr="00E80291">
        <w:rPr>
          <w:rFonts w:ascii="宋体" w:eastAsia="宋体" w:hAnsi="宋体" w:hint="eastAsia"/>
          <w:bCs/>
          <w:sz w:val="24"/>
          <w:szCs w:val="24"/>
        </w:rPr>
        <w:t>保存不少于法律法规规定的最低年限</w:t>
      </w:r>
      <w:r>
        <w:rPr>
          <w:rFonts w:ascii="宋体" w:eastAsia="宋体" w:hAnsi="宋体" w:hint="eastAsia"/>
          <w:bCs/>
          <w:sz w:val="24"/>
          <w:szCs w:val="24"/>
        </w:rPr>
        <w:t>。</w:t>
      </w:r>
    </w:p>
    <w:p w:rsidR="00BF5AD9" w:rsidRDefault="00BF5AD9" w:rsidP="00BF5AD9">
      <w:pPr>
        <w:adjustRightInd w:val="0"/>
        <w:snapToGrid w:val="0"/>
        <w:spacing w:line="360" w:lineRule="auto"/>
        <w:ind w:firstLineChars="200" w:firstLine="480"/>
        <w:rPr>
          <w:rFonts w:ascii="宋体" w:eastAsia="宋体" w:hAnsi="宋体"/>
          <w:bCs/>
          <w:sz w:val="24"/>
          <w:szCs w:val="24"/>
        </w:rPr>
      </w:pPr>
    </w:p>
    <w:p w:rsidR="00BF5AD9"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四、其他</w:t>
      </w:r>
      <w:r w:rsidR="00431EC7">
        <w:rPr>
          <w:rFonts w:ascii="宋体" w:eastAsia="宋体" w:hAnsi="宋体" w:hint="eastAsia"/>
          <w:bCs/>
          <w:sz w:val="24"/>
          <w:szCs w:val="24"/>
        </w:rPr>
        <w:t>需要提示的事项</w:t>
      </w:r>
    </w:p>
    <w:p w:rsidR="000F76D2" w:rsidRP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1、本基金进入清算程序后</w:t>
      </w:r>
      <w:r w:rsidR="000F76D2">
        <w:rPr>
          <w:rFonts w:ascii="宋体" w:eastAsia="宋体" w:hAnsi="宋体" w:hint="eastAsia"/>
          <w:bCs/>
          <w:sz w:val="24"/>
          <w:szCs w:val="24"/>
        </w:rPr>
        <w:t>，</w:t>
      </w:r>
      <w:r w:rsidR="000F76D2" w:rsidRPr="000F76D2">
        <w:rPr>
          <w:rFonts w:ascii="宋体" w:eastAsia="宋体" w:hAnsi="宋体" w:hint="eastAsia"/>
          <w:bCs/>
          <w:sz w:val="24"/>
          <w:szCs w:val="24"/>
        </w:rPr>
        <w:t>不再恢复</w:t>
      </w:r>
      <w:r w:rsidRPr="00BF5AD9">
        <w:rPr>
          <w:rFonts w:ascii="宋体" w:eastAsia="宋体" w:hAnsi="宋体" w:hint="eastAsia"/>
          <w:bCs/>
          <w:sz w:val="24"/>
          <w:szCs w:val="24"/>
        </w:rPr>
        <w:t>办理申购、赎回</w:t>
      </w:r>
      <w:r w:rsidR="004822E0" w:rsidRPr="004822E0">
        <w:rPr>
          <w:rFonts w:ascii="宋体" w:eastAsia="宋体" w:hAnsi="宋体" w:hint="eastAsia"/>
          <w:bCs/>
          <w:sz w:val="24"/>
          <w:szCs w:val="24"/>
        </w:rPr>
        <w:t>、定期定额投资</w:t>
      </w:r>
      <w:r w:rsidRPr="00BF5AD9">
        <w:rPr>
          <w:rFonts w:ascii="宋体" w:eastAsia="宋体" w:hAnsi="宋体" w:hint="eastAsia"/>
          <w:bCs/>
          <w:sz w:val="24"/>
          <w:szCs w:val="24"/>
        </w:rPr>
        <w:t>及转换（转入和转出）等业务。敬请投资者予以关注。基金管理人承诺在清算过程中以诚实信用、勤勉尽责的原则履行相关职责。</w:t>
      </w:r>
    </w:p>
    <w:p w:rsidR="000F76D2" w:rsidRPr="008C6E68" w:rsidRDefault="00BF5AD9" w:rsidP="008C6E68">
      <w:pPr>
        <w:adjustRightInd w:val="0"/>
        <w:snapToGrid w:val="0"/>
        <w:spacing w:line="360" w:lineRule="auto"/>
        <w:ind w:firstLineChars="200" w:firstLine="480"/>
        <w:rPr>
          <w:rFonts w:ascii="宋体" w:eastAsia="宋体" w:hAnsi="宋体"/>
          <w:bCs/>
          <w:sz w:val="24"/>
          <w:szCs w:val="24"/>
        </w:rPr>
      </w:pPr>
      <w:r>
        <w:rPr>
          <w:rFonts w:ascii="宋体" w:eastAsia="宋体" w:hAnsi="宋体" w:hint="eastAsia"/>
          <w:bCs/>
          <w:sz w:val="24"/>
          <w:szCs w:val="24"/>
        </w:rPr>
        <w:t>2、</w:t>
      </w:r>
      <w:r w:rsidR="000F76D2" w:rsidRPr="008C6E68">
        <w:rPr>
          <w:rFonts w:ascii="宋体" w:eastAsia="宋体" w:hAnsi="宋体" w:hint="eastAsia"/>
          <w:bCs/>
          <w:sz w:val="24"/>
          <w:szCs w:val="24"/>
        </w:rPr>
        <w:t>投资者欲了解本基金的详细情况，请详细阅读本基金的《基金合同》、《招募说明书》和</w:t>
      </w:r>
      <w:r w:rsidR="001F18A2">
        <w:rPr>
          <w:rFonts w:ascii="宋体" w:eastAsia="宋体" w:hAnsi="宋体" w:hint="eastAsia"/>
          <w:bCs/>
          <w:sz w:val="24"/>
          <w:szCs w:val="24"/>
        </w:rPr>
        <w:t>《</w:t>
      </w:r>
      <w:r w:rsidR="001F18A2" w:rsidRPr="00F43CBF">
        <w:rPr>
          <w:rFonts w:ascii="宋体" w:eastAsia="宋体" w:hAnsi="宋体" w:hint="eastAsia"/>
          <w:bCs/>
          <w:sz w:val="24"/>
          <w:szCs w:val="24"/>
        </w:rPr>
        <w:t>基金产品资料概要</w:t>
      </w:r>
      <w:r w:rsidR="001F18A2">
        <w:rPr>
          <w:rFonts w:ascii="宋体" w:eastAsia="宋体" w:hAnsi="宋体" w:hint="eastAsia"/>
          <w:bCs/>
          <w:sz w:val="24"/>
          <w:szCs w:val="24"/>
        </w:rPr>
        <w:t>》</w:t>
      </w:r>
      <w:r w:rsidR="000F76D2" w:rsidRPr="008C6E68">
        <w:rPr>
          <w:rFonts w:ascii="宋体" w:eastAsia="宋体" w:hAnsi="宋体" w:hint="eastAsia"/>
          <w:bCs/>
          <w:sz w:val="24"/>
          <w:szCs w:val="24"/>
        </w:rPr>
        <w:t>等法律文件。</w:t>
      </w:r>
    </w:p>
    <w:p w:rsidR="00BF5AD9" w:rsidRDefault="00BF5AD9" w:rsidP="00BF5AD9">
      <w:pPr>
        <w:adjustRightInd w:val="0"/>
        <w:snapToGrid w:val="0"/>
        <w:spacing w:line="360" w:lineRule="auto"/>
        <w:ind w:firstLineChars="200" w:firstLine="480"/>
        <w:rPr>
          <w:rFonts w:ascii="宋体" w:eastAsia="宋体" w:hAnsi="宋体"/>
          <w:bCs/>
          <w:sz w:val="24"/>
          <w:szCs w:val="24"/>
        </w:rPr>
      </w:pPr>
      <w:r w:rsidRPr="00BF5AD9">
        <w:rPr>
          <w:rFonts w:ascii="宋体" w:eastAsia="宋体" w:hAnsi="宋体" w:hint="eastAsia"/>
          <w:bCs/>
          <w:sz w:val="24"/>
          <w:szCs w:val="24"/>
        </w:rPr>
        <w:t>3、</w:t>
      </w:r>
      <w:r w:rsidR="001F18A2">
        <w:rPr>
          <w:rFonts w:ascii="宋体" w:eastAsia="宋体" w:hAnsi="宋体" w:hint="eastAsia"/>
          <w:bCs/>
          <w:sz w:val="24"/>
          <w:szCs w:val="24"/>
        </w:rPr>
        <w:t>本基金相关</w:t>
      </w:r>
      <w:r w:rsidRPr="00BF5AD9">
        <w:rPr>
          <w:rFonts w:ascii="宋体" w:eastAsia="宋体" w:hAnsi="宋体" w:hint="eastAsia"/>
          <w:bCs/>
          <w:sz w:val="24"/>
          <w:szCs w:val="24"/>
        </w:rPr>
        <w:t>公告可通过基金管理人网站（www.qhkyfund.com）查阅，投资者如有任何疑问，可致电基金管理人客户服务电话4001-666-998咨询。</w:t>
      </w:r>
    </w:p>
    <w:p w:rsidR="00F85680" w:rsidRPr="00A06270" w:rsidRDefault="00FA0F43" w:rsidP="005E665D">
      <w:pPr>
        <w:adjustRightInd w:val="0"/>
        <w:snapToGrid w:val="0"/>
        <w:spacing w:line="360" w:lineRule="auto"/>
        <w:ind w:firstLineChars="200" w:firstLine="480"/>
        <w:rPr>
          <w:rFonts w:ascii="宋体" w:eastAsia="宋体" w:hAnsi="宋体"/>
          <w:bCs/>
          <w:sz w:val="24"/>
          <w:szCs w:val="24"/>
        </w:rPr>
      </w:pPr>
      <w:r w:rsidRPr="00FA0F43">
        <w:rPr>
          <w:rFonts w:ascii="宋体" w:eastAsia="宋体" w:hAnsi="宋体" w:hint="eastAsia"/>
          <w:bCs/>
          <w:sz w:val="24"/>
          <w:szCs w:val="24"/>
        </w:rPr>
        <w:t>特此公告。</w:t>
      </w:r>
    </w:p>
    <w:p w:rsidR="00F85680" w:rsidRDefault="00F85680" w:rsidP="00F85680">
      <w:pPr>
        <w:spacing w:line="360" w:lineRule="auto"/>
        <w:ind w:firstLineChars="200" w:firstLine="480"/>
        <w:jc w:val="right"/>
        <w:rPr>
          <w:rFonts w:ascii="宋体" w:eastAsia="宋体" w:hAnsi="宋体"/>
          <w:bCs/>
          <w:sz w:val="24"/>
          <w:szCs w:val="24"/>
        </w:rPr>
      </w:pPr>
    </w:p>
    <w:p w:rsidR="00F85680" w:rsidRDefault="00F85680" w:rsidP="00F85680">
      <w:pPr>
        <w:autoSpaceDE w:val="0"/>
        <w:autoSpaceDN w:val="0"/>
        <w:adjustRightInd w:val="0"/>
        <w:jc w:val="right"/>
        <w:rPr>
          <w:rFonts w:ascii="宋体" w:eastAsia="宋体" w:cs="宋体"/>
          <w:kern w:val="0"/>
          <w:sz w:val="24"/>
          <w:szCs w:val="24"/>
        </w:rPr>
      </w:pPr>
      <w:r>
        <w:rPr>
          <w:rFonts w:ascii="宋体" w:eastAsia="宋体" w:cs="宋体" w:hint="eastAsia"/>
          <w:kern w:val="0"/>
          <w:sz w:val="24"/>
          <w:szCs w:val="24"/>
        </w:rPr>
        <w:t>前海开源基金管理有限公司</w:t>
      </w:r>
    </w:p>
    <w:p w:rsidR="00F85680" w:rsidRPr="00F85680" w:rsidRDefault="001F18A2" w:rsidP="00F85680">
      <w:pPr>
        <w:spacing w:line="360" w:lineRule="auto"/>
        <w:ind w:firstLineChars="200" w:firstLine="480"/>
        <w:jc w:val="right"/>
        <w:rPr>
          <w:rFonts w:ascii="宋体" w:eastAsia="宋体" w:hAnsi="宋体"/>
          <w:bCs/>
          <w:sz w:val="24"/>
          <w:szCs w:val="24"/>
        </w:rPr>
      </w:pPr>
      <w:r>
        <w:rPr>
          <w:rFonts w:ascii="宋体" w:eastAsia="宋体" w:cs="宋体"/>
          <w:kern w:val="0"/>
          <w:sz w:val="24"/>
          <w:szCs w:val="24"/>
        </w:rPr>
        <w:t>2023</w:t>
      </w:r>
      <w:r w:rsidR="00D46265">
        <w:rPr>
          <w:rFonts w:ascii="宋体" w:eastAsia="宋体" w:cs="宋体" w:hint="eastAsia"/>
          <w:kern w:val="0"/>
          <w:sz w:val="24"/>
          <w:szCs w:val="24"/>
        </w:rPr>
        <w:t>年</w:t>
      </w:r>
      <w:r>
        <w:rPr>
          <w:rFonts w:ascii="宋体" w:eastAsia="宋体" w:cs="宋体"/>
          <w:kern w:val="0"/>
          <w:sz w:val="24"/>
          <w:szCs w:val="24"/>
        </w:rPr>
        <w:t>7</w:t>
      </w:r>
      <w:r w:rsidR="00D46265">
        <w:rPr>
          <w:rFonts w:ascii="宋体" w:eastAsia="宋体" w:cs="宋体" w:hint="eastAsia"/>
          <w:kern w:val="0"/>
          <w:sz w:val="24"/>
          <w:szCs w:val="24"/>
        </w:rPr>
        <w:t>月</w:t>
      </w:r>
      <w:r>
        <w:rPr>
          <w:rFonts w:ascii="宋体" w:eastAsia="宋体" w:cs="宋体"/>
          <w:kern w:val="0"/>
          <w:sz w:val="24"/>
          <w:szCs w:val="24"/>
        </w:rPr>
        <w:t>10</w:t>
      </w:r>
      <w:r w:rsidR="00F85680">
        <w:rPr>
          <w:rFonts w:ascii="宋体" w:eastAsia="宋体" w:cs="宋体" w:hint="eastAsia"/>
          <w:kern w:val="0"/>
          <w:sz w:val="24"/>
          <w:szCs w:val="24"/>
        </w:rPr>
        <w:t>日</w:t>
      </w:r>
    </w:p>
    <w:p w:rsidR="00F85680" w:rsidRPr="00F85680" w:rsidRDefault="00F85680"/>
    <w:sectPr w:rsidR="00F85680" w:rsidRPr="00F85680" w:rsidSect="00B330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B6" w:rsidRDefault="00C637B6" w:rsidP="00F85680">
      <w:r>
        <w:separator/>
      </w:r>
    </w:p>
  </w:endnote>
  <w:endnote w:type="continuationSeparator" w:id="0">
    <w:p w:rsidR="00C637B6" w:rsidRDefault="00C637B6" w:rsidP="00F85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B6" w:rsidRDefault="00C637B6" w:rsidP="00F85680">
      <w:r>
        <w:separator/>
      </w:r>
    </w:p>
  </w:footnote>
  <w:footnote w:type="continuationSeparator" w:id="0">
    <w:p w:rsidR="00C637B6" w:rsidRDefault="00C637B6" w:rsidP="00F856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5680"/>
    <w:rsid w:val="000124EF"/>
    <w:rsid w:val="0009284E"/>
    <w:rsid w:val="000F76D2"/>
    <w:rsid w:val="00115B65"/>
    <w:rsid w:val="00133E89"/>
    <w:rsid w:val="0018040D"/>
    <w:rsid w:val="001C13BF"/>
    <w:rsid w:val="001F18A2"/>
    <w:rsid w:val="00253E37"/>
    <w:rsid w:val="00273AFF"/>
    <w:rsid w:val="00302BAF"/>
    <w:rsid w:val="00343D94"/>
    <w:rsid w:val="003816E1"/>
    <w:rsid w:val="003B7875"/>
    <w:rsid w:val="00413617"/>
    <w:rsid w:val="00431EC7"/>
    <w:rsid w:val="004677BB"/>
    <w:rsid w:val="004822E0"/>
    <w:rsid w:val="004B15A4"/>
    <w:rsid w:val="004E62BE"/>
    <w:rsid w:val="004F15AC"/>
    <w:rsid w:val="00502D70"/>
    <w:rsid w:val="005571FE"/>
    <w:rsid w:val="005E665D"/>
    <w:rsid w:val="00620ABA"/>
    <w:rsid w:val="006321FF"/>
    <w:rsid w:val="006A2652"/>
    <w:rsid w:val="006B7960"/>
    <w:rsid w:val="007267F7"/>
    <w:rsid w:val="00732ED4"/>
    <w:rsid w:val="007417AF"/>
    <w:rsid w:val="00752AA2"/>
    <w:rsid w:val="007D2CFC"/>
    <w:rsid w:val="007E4200"/>
    <w:rsid w:val="00825432"/>
    <w:rsid w:val="00827052"/>
    <w:rsid w:val="008466FF"/>
    <w:rsid w:val="0087244C"/>
    <w:rsid w:val="008C6E68"/>
    <w:rsid w:val="008E33CC"/>
    <w:rsid w:val="008E4448"/>
    <w:rsid w:val="008F2418"/>
    <w:rsid w:val="00941220"/>
    <w:rsid w:val="00A00D2D"/>
    <w:rsid w:val="00A06270"/>
    <w:rsid w:val="00A100E9"/>
    <w:rsid w:val="00A4040A"/>
    <w:rsid w:val="00A4074A"/>
    <w:rsid w:val="00A721F2"/>
    <w:rsid w:val="00A86308"/>
    <w:rsid w:val="00AB7742"/>
    <w:rsid w:val="00AC604B"/>
    <w:rsid w:val="00AD1523"/>
    <w:rsid w:val="00AE3C95"/>
    <w:rsid w:val="00B3306C"/>
    <w:rsid w:val="00BE6D2D"/>
    <w:rsid w:val="00BF5AD9"/>
    <w:rsid w:val="00C40FDC"/>
    <w:rsid w:val="00C43737"/>
    <w:rsid w:val="00C46E48"/>
    <w:rsid w:val="00C637B6"/>
    <w:rsid w:val="00C867D9"/>
    <w:rsid w:val="00CA125E"/>
    <w:rsid w:val="00CC486F"/>
    <w:rsid w:val="00D322C8"/>
    <w:rsid w:val="00D46265"/>
    <w:rsid w:val="00D47A8D"/>
    <w:rsid w:val="00D765E9"/>
    <w:rsid w:val="00D860DB"/>
    <w:rsid w:val="00DA6F36"/>
    <w:rsid w:val="00E7762C"/>
    <w:rsid w:val="00E77EBF"/>
    <w:rsid w:val="00E80291"/>
    <w:rsid w:val="00E873F3"/>
    <w:rsid w:val="00EB6680"/>
    <w:rsid w:val="00EC137E"/>
    <w:rsid w:val="00ED5228"/>
    <w:rsid w:val="00F16A08"/>
    <w:rsid w:val="00F270A3"/>
    <w:rsid w:val="00F71E98"/>
    <w:rsid w:val="00F85680"/>
    <w:rsid w:val="00FA0F43"/>
    <w:rsid w:val="00FE4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680"/>
    <w:rPr>
      <w:sz w:val="18"/>
      <w:szCs w:val="18"/>
    </w:rPr>
  </w:style>
  <w:style w:type="paragraph" w:styleId="a4">
    <w:name w:val="footer"/>
    <w:basedOn w:val="a"/>
    <w:link w:val="Char0"/>
    <w:uiPriority w:val="99"/>
    <w:unhideWhenUsed/>
    <w:rsid w:val="00F85680"/>
    <w:pPr>
      <w:tabs>
        <w:tab w:val="center" w:pos="4153"/>
        <w:tab w:val="right" w:pos="8306"/>
      </w:tabs>
      <w:snapToGrid w:val="0"/>
      <w:jc w:val="left"/>
    </w:pPr>
    <w:rPr>
      <w:sz w:val="18"/>
      <w:szCs w:val="18"/>
    </w:rPr>
  </w:style>
  <w:style w:type="character" w:customStyle="1" w:styleId="Char0">
    <w:name w:val="页脚 Char"/>
    <w:basedOn w:val="a0"/>
    <w:link w:val="a4"/>
    <w:uiPriority w:val="99"/>
    <w:rsid w:val="00F85680"/>
    <w:rPr>
      <w:sz w:val="18"/>
      <w:szCs w:val="18"/>
    </w:rPr>
  </w:style>
  <w:style w:type="paragraph" w:styleId="a5">
    <w:name w:val="Balloon Text"/>
    <w:basedOn w:val="a"/>
    <w:link w:val="Char1"/>
    <w:uiPriority w:val="99"/>
    <w:semiHidden/>
    <w:unhideWhenUsed/>
    <w:rsid w:val="00F85680"/>
    <w:rPr>
      <w:sz w:val="18"/>
      <w:szCs w:val="18"/>
    </w:rPr>
  </w:style>
  <w:style w:type="character" w:customStyle="1" w:styleId="Char1">
    <w:name w:val="批注框文本 Char"/>
    <w:basedOn w:val="a0"/>
    <w:link w:val="a5"/>
    <w:uiPriority w:val="99"/>
    <w:semiHidden/>
    <w:rsid w:val="00F85680"/>
    <w:rPr>
      <w:sz w:val="18"/>
      <w:szCs w:val="18"/>
    </w:rPr>
  </w:style>
  <w:style w:type="paragraph" w:styleId="a6">
    <w:name w:val="List Paragraph"/>
    <w:basedOn w:val="a"/>
    <w:uiPriority w:val="34"/>
    <w:qFormat/>
    <w:rsid w:val="00F85680"/>
    <w:pPr>
      <w:ind w:firstLineChars="200" w:firstLine="420"/>
    </w:pPr>
  </w:style>
  <w:style w:type="paragraph" w:customStyle="1" w:styleId="Default">
    <w:name w:val="Default"/>
    <w:rsid w:val="00FA0F43"/>
    <w:pPr>
      <w:widowControl w:val="0"/>
      <w:autoSpaceDE w:val="0"/>
      <w:autoSpaceDN w:val="0"/>
      <w:adjustRightInd w:val="0"/>
    </w:pPr>
    <w:rPr>
      <w:rFonts w:ascii="宋体" w:hAnsi="宋体" w:cs="宋体"/>
      <w:color w:val="000000"/>
      <w:kern w:val="0"/>
      <w:sz w:val="24"/>
      <w:szCs w:val="24"/>
    </w:rPr>
  </w:style>
  <w:style w:type="character" w:styleId="a7">
    <w:name w:val="annotation reference"/>
    <w:basedOn w:val="a0"/>
    <w:uiPriority w:val="99"/>
    <w:semiHidden/>
    <w:unhideWhenUsed/>
    <w:rsid w:val="00431EC7"/>
    <w:rPr>
      <w:sz w:val="21"/>
      <w:szCs w:val="21"/>
    </w:rPr>
  </w:style>
  <w:style w:type="paragraph" w:styleId="a8">
    <w:name w:val="annotation text"/>
    <w:basedOn w:val="a"/>
    <w:link w:val="Char2"/>
    <w:uiPriority w:val="99"/>
    <w:semiHidden/>
    <w:unhideWhenUsed/>
    <w:rsid w:val="00431EC7"/>
    <w:pPr>
      <w:jc w:val="left"/>
    </w:pPr>
  </w:style>
  <w:style w:type="character" w:customStyle="1" w:styleId="Char2">
    <w:name w:val="批注文字 Char"/>
    <w:basedOn w:val="a0"/>
    <w:link w:val="a8"/>
    <w:uiPriority w:val="99"/>
    <w:semiHidden/>
    <w:rsid w:val="00431EC7"/>
  </w:style>
  <w:style w:type="paragraph" w:styleId="a9">
    <w:name w:val="annotation subject"/>
    <w:basedOn w:val="a8"/>
    <w:next w:val="a8"/>
    <w:link w:val="Char3"/>
    <w:uiPriority w:val="99"/>
    <w:semiHidden/>
    <w:unhideWhenUsed/>
    <w:rsid w:val="00431EC7"/>
    <w:rPr>
      <w:b/>
      <w:bCs/>
    </w:rPr>
  </w:style>
  <w:style w:type="character" w:customStyle="1" w:styleId="Char3">
    <w:name w:val="批注主题 Char"/>
    <w:basedOn w:val="Char2"/>
    <w:link w:val="a9"/>
    <w:uiPriority w:val="99"/>
    <w:semiHidden/>
    <w:rsid w:val="00431EC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1699</Characters>
  <Application>Microsoft Office Word</Application>
  <DocSecurity>4</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范晓娟二次反馈</dc:creator>
  <cp:lastModifiedBy>ZHONGM</cp:lastModifiedBy>
  <cp:revision>2</cp:revision>
  <cp:lastPrinted>2020-10-14T05:48:00Z</cp:lastPrinted>
  <dcterms:created xsi:type="dcterms:W3CDTF">2023-07-09T16:01:00Z</dcterms:created>
  <dcterms:modified xsi:type="dcterms:W3CDTF">2023-07-09T16:01:00Z</dcterms:modified>
</cp:coreProperties>
</file>