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C2" w:rsidRPr="00CE6E32" w:rsidRDefault="000155BB" w:rsidP="002E6AC2">
      <w:pPr>
        <w:ind w:rightChars="40" w:right="84"/>
        <w:jc w:val="center"/>
        <w:rPr>
          <w:rFonts w:ascii="宋体" w:hAnsi="宋体"/>
          <w:b/>
          <w:szCs w:val="21"/>
        </w:rPr>
      </w:pPr>
      <w:r>
        <w:rPr>
          <w:rFonts w:hint="eastAsia"/>
          <w:b/>
          <w:sz w:val="28"/>
          <w:szCs w:val="28"/>
        </w:rPr>
        <w:t>天弘基金管理有限公司</w:t>
      </w:r>
      <w:r w:rsidR="00FA0673" w:rsidRPr="00403D96">
        <w:rPr>
          <w:rFonts w:hint="eastAsia"/>
          <w:b/>
          <w:sz w:val="28"/>
          <w:szCs w:val="28"/>
        </w:rPr>
        <w:t>关于旗下</w:t>
      </w:r>
      <w:r w:rsidR="00FF457A" w:rsidRPr="00FF457A">
        <w:rPr>
          <w:rFonts w:hint="eastAsia"/>
          <w:b/>
          <w:sz w:val="28"/>
          <w:szCs w:val="28"/>
        </w:rPr>
        <w:t>部分</w:t>
      </w:r>
      <w:r w:rsidR="00FA0673" w:rsidRPr="00403D96">
        <w:rPr>
          <w:rFonts w:hint="eastAsia"/>
          <w:b/>
          <w:sz w:val="28"/>
          <w:szCs w:val="28"/>
        </w:rPr>
        <w:t>基金</w:t>
      </w:r>
      <w:r w:rsidR="00B346E4">
        <w:rPr>
          <w:rFonts w:hint="eastAsia"/>
          <w:b/>
          <w:sz w:val="28"/>
          <w:szCs w:val="28"/>
        </w:rPr>
        <w:t>可投资于</w:t>
      </w:r>
      <w:r w:rsidR="00B346E4" w:rsidRPr="00B346E4">
        <w:rPr>
          <w:rFonts w:hint="eastAsia"/>
          <w:b/>
          <w:sz w:val="28"/>
          <w:szCs w:val="28"/>
        </w:rPr>
        <w:t>公开募集基础设施证券投资基金</w:t>
      </w:r>
      <w:r w:rsidR="00B346E4">
        <w:rPr>
          <w:b/>
          <w:sz w:val="28"/>
          <w:szCs w:val="28"/>
        </w:rPr>
        <w:t>并</w:t>
      </w:r>
      <w:r w:rsidR="00FA0673" w:rsidRPr="00403D96">
        <w:rPr>
          <w:rFonts w:hint="eastAsia"/>
          <w:b/>
          <w:sz w:val="28"/>
          <w:szCs w:val="28"/>
        </w:rPr>
        <w:t>修订基金合同</w:t>
      </w:r>
      <w:r w:rsidR="00403D96" w:rsidRPr="00403D96">
        <w:rPr>
          <w:rFonts w:hint="eastAsia"/>
          <w:b/>
          <w:sz w:val="28"/>
          <w:szCs w:val="28"/>
        </w:rPr>
        <w:t>、托管协议</w:t>
      </w:r>
      <w:r w:rsidR="007205A3">
        <w:rPr>
          <w:rFonts w:hint="eastAsia"/>
          <w:b/>
          <w:sz w:val="28"/>
          <w:szCs w:val="28"/>
        </w:rPr>
        <w:t>等法律文件</w:t>
      </w:r>
      <w:r w:rsidR="00403D96" w:rsidRPr="00403D96">
        <w:rPr>
          <w:rFonts w:hint="eastAsia"/>
          <w:b/>
          <w:sz w:val="28"/>
          <w:szCs w:val="28"/>
        </w:rPr>
        <w:t>的公告</w:t>
      </w:r>
    </w:p>
    <w:p w:rsidR="002E6AC2" w:rsidRPr="00CE6E32" w:rsidRDefault="002E6AC2" w:rsidP="002E6AC2">
      <w:pPr>
        <w:pStyle w:val="Default"/>
        <w:ind w:rightChars="40" w:right="84"/>
        <w:rPr>
          <w:rFonts w:cstheme="minorBidi"/>
          <w:color w:val="auto"/>
          <w:sz w:val="21"/>
          <w:szCs w:val="21"/>
        </w:rPr>
      </w:pPr>
    </w:p>
    <w:p w:rsidR="002E6AC2" w:rsidRDefault="00740C88" w:rsidP="00740C88">
      <w:pPr>
        <w:spacing w:line="360" w:lineRule="auto"/>
        <w:ind w:rightChars="40" w:right="84" w:firstLineChars="200" w:firstLine="480"/>
        <w:rPr>
          <w:rFonts w:ascii="Times New Roman" w:eastAsia="宋体" w:hAnsi="宋体" w:cs="宋体"/>
          <w:sz w:val="24"/>
          <w:szCs w:val="24"/>
        </w:rPr>
      </w:pPr>
      <w:r w:rsidRPr="00740C88">
        <w:rPr>
          <w:rFonts w:ascii="Times New Roman" w:eastAsia="宋体" w:hAnsi="宋体" w:cs="宋体" w:hint="eastAsia"/>
          <w:sz w:val="24"/>
          <w:szCs w:val="24"/>
        </w:rPr>
        <w:t>根据《中华人民共和国证券</w:t>
      </w:r>
      <w:r>
        <w:rPr>
          <w:rFonts w:ascii="Times New Roman" w:eastAsia="宋体" w:hAnsi="宋体" w:cs="宋体" w:hint="eastAsia"/>
          <w:sz w:val="24"/>
          <w:szCs w:val="24"/>
        </w:rPr>
        <w:t>投资基金</w:t>
      </w:r>
      <w:r w:rsidRPr="00740C88">
        <w:rPr>
          <w:rFonts w:ascii="Times New Roman" w:eastAsia="宋体" w:hAnsi="宋体" w:cs="宋体" w:hint="eastAsia"/>
          <w:sz w:val="24"/>
          <w:szCs w:val="24"/>
        </w:rPr>
        <w:t>法》</w:t>
      </w:r>
      <w:r w:rsidR="00A24318" w:rsidRPr="00A24318">
        <w:rPr>
          <w:rFonts w:ascii="Times New Roman" w:eastAsia="宋体" w:hAnsi="宋体" w:cs="宋体" w:hint="eastAsia"/>
          <w:bCs/>
          <w:sz w:val="24"/>
          <w:szCs w:val="24"/>
        </w:rPr>
        <w:t>《公开募集证券投资基金运作管理办法》</w:t>
      </w:r>
      <w:r w:rsidRPr="00740C88">
        <w:rPr>
          <w:rFonts w:ascii="Times New Roman" w:eastAsia="宋体" w:hAnsi="宋体" w:cs="宋体" w:hint="eastAsia"/>
          <w:sz w:val="24"/>
          <w:szCs w:val="24"/>
        </w:rPr>
        <w:t>《公开募集证券投资基金信息披露管理办法》</w:t>
      </w:r>
      <w:r w:rsidR="00C21958">
        <w:rPr>
          <w:rFonts w:ascii="Times New Roman" w:eastAsia="宋体" w:hAnsi="宋体" w:cs="宋体" w:hint="eastAsia"/>
          <w:sz w:val="24"/>
          <w:szCs w:val="24"/>
        </w:rPr>
        <w:t>《</w:t>
      </w:r>
      <w:r w:rsidR="00C21958" w:rsidRPr="00C21958">
        <w:rPr>
          <w:rFonts w:ascii="Times New Roman" w:eastAsia="宋体" w:hAnsi="宋体" w:cs="宋体" w:hint="eastAsia"/>
          <w:sz w:val="24"/>
          <w:szCs w:val="24"/>
        </w:rPr>
        <w:t>公开募集证券投资基金运作指引第</w:t>
      </w:r>
      <w:r w:rsidR="00C21958" w:rsidRPr="00C21958">
        <w:rPr>
          <w:rFonts w:ascii="Times New Roman" w:eastAsia="宋体" w:hAnsi="宋体" w:cs="宋体" w:hint="eastAsia"/>
          <w:sz w:val="24"/>
          <w:szCs w:val="24"/>
        </w:rPr>
        <w:t>2</w:t>
      </w:r>
      <w:r w:rsidR="00C21958" w:rsidRPr="00C21958">
        <w:rPr>
          <w:rFonts w:ascii="Times New Roman" w:eastAsia="宋体" w:hAnsi="宋体" w:cs="宋体" w:hint="eastAsia"/>
          <w:sz w:val="24"/>
          <w:szCs w:val="24"/>
        </w:rPr>
        <w:t>号</w:t>
      </w:r>
      <w:r w:rsidR="00C21958" w:rsidRPr="00C21958">
        <w:rPr>
          <w:rFonts w:ascii="Times New Roman" w:eastAsia="宋体" w:hAnsi="宋体" w:cs="宋体" w:hint="eastAsia"/>
          <w:sz w:val="24"/>
          <w:szCs w:val="24"/>
        </w:rPr>
        <w:t>-</w:t>
      </w:r>
      <w:r w:rsidR="00C21958" w:rsidRPr="00C21958">
        <w:rPr>
          <w:rFonts w:ascii="Times New Roman" w:eastAsia="宋体" w:hAnsi="宋体" w:cs="宋体" w:hint="eastAsia"/>
          <w:sz w:val="24"/>
          <w:szCs w:val="24"/>
        </w:rPr>
        <w:t>基金中基金指引》</w:t>
      </w:r>
      <w:r w:rsidR="00F42EB3">
        <w:rPr>
          <w:rFonts w:ascii="Times New Roman" w:eastAsia="宋体" w:hAnsi="宋体" w:cs="宋体" w:hint="eastAsia"/>
          <w:sz w:val="24"/>
          <w:szCs w:val="24"/>
        </w:rPr>
        <w:t>（以下简称“《基金中基金指引》”）</w:t>
      </w:r>
      <w:r w:rsidRPr="00740C88">
        <w:rPr>
          <w:rFonts w:ascii="Times New Roman" w:eastAsia="宋体" w:hAnsi="宋体" w:cs="宋体" w:hint="eastAsia"/>
          <w:sz w:val="24"/>
          <w:szCs w:val="24"/>
        </w:rPr>
        <w:t>等法律法规及各基金基金合同等规定，经与各基金托管人协商一致，并向中国证监会备案，</w:t>
      </w:r>
      <w:r w:rsidR="000155BB">
        <w:rPr>
          <w:rFonts w:ascii="Times New Roman" w:eastAsia="宋体" w:hAnsi="宋体" w:cs="宋体" w:hint="eastAsia"/>
          <w:sz w:val="24"/>
          <w:szCs w:val="24"/>
        </w:rPr>
        <w:t>天弘基金管理有限公司</w:t>
      </w:r>
      <w:r w:rsidR="00DE1459">
        <w:rPr>
          <w:rFonts w:ascii="Times New Roman" w:eastAsia="宋体" w:hAnsi="宋体" w:cs="宋体" w:hint="eastAsia"/>
          <w:sz w:val="24"/>
          <w:szCs w:val="24"/>
        </w:rPr>
        <w:t>（以下简称“</w:t>
      </w:r>
      <w:r w:rsidRPr="00740C88">
        <w:rPr>
          <w:rFonts w:ascii="Times New Roman" w:eastAsia="宋体" w:hAnsi="宋体" w:cs="宋体" w:hint="eastAsia"/>
          <w:sz w:val="24"/>
          <w:szCs w:val="24"/>
        </w:rPr>
        <w:t>基金管理人”）旗下</w:t>
      </w:r>
      <w:r w:rsidR="00F63475">
        <w:rPr>
          <w:rFonts w:ascii="Times New Roman" w:eastAsia="宋体" w:hAnsi="宋体" w:cs="宋体" w:hint="eastAsia"/>
          <w:sz w:val="24"/>
          <w:szCs w:val="24"/>
        </w:rPr>
        <w:t>部分</w:t>
      </w:r>
      <w:r w:rsidRPr="00740C88">
        <w:rPr>
          <w:rFonts w:ascii="Times New Roman" w:eastAsia="宋体" w:hAnsi="宋体" w:cs="宋体" w:hint="eastAsia"/>
          <w:sz w:val="24"/>
          <w:szCs w:val="24"/>
        </w:rPr>
        <w:t>公募基金</w:t>
      </w:r>
      <w:r w:rsidR="00A24318">
        <w:rPr>
          <w:rFonts w:ascii="Times New Roman" w:eastAsia="宋体" w:hAnsi="宋体" w:cs="宋体" w:hint="eastAsia"/>
          <w:sz w:val="24"/>
          <w:szCs w:val="24"/>
        </w:rPr>
        <w:t>中基金</w:t>
      </w:r>
      <w:r w:rsidR="002A7E0F">
        <w:rPr>
          <w:rFonts w:ascii="Times New Roman" w:eastAsia="宋体" w:hAnsi="宋体" w:cs="宋体" w:hint="eastAsia"/>
          <w:sz w:val="24"/>
          <w:szCs w:val="24"/>
        </w:rPr>
        <w:t>就</w:t>
      </w:r>
      <w:r w:rsidRPr="00740C88">
        <w:rPr>
          <w:rFonts w:ascii="Times New Roman" w:eastAsia="宋体" w:hAnsi="宋体" w:cs="宋体" w:hint="eastAsia"/>
          <w:sz w:val="24"/>
          <w:szCs w:val="24"/>
        </w:rPr>
        <w:t>参与</w:t>
      </w:r>
      <w:r w:rsidR="00C21958" w:rsidRPr="00C21958">
        <w:rPr>
          <w:rFonts w:ascii="Times New Roman" w:eastAsia="宋体" w:hAnsi="宋体" w:cs="宋体" w:hint="eastAsia"/>
          <w:sz w:val="24"/>
          <w:szCs w:val="24"/>
        </w:rPr>
        <w:t>公开募集基础设施证券投资基金</w:t>
      </w:r>
      <w:r w:rsidR="00C21958">
        <w:rPr>
          <w:rFonts w:ascii="Times New Roman" w:eastAsia="宋体" w:hAnsi="宋体" w:cs="宋体" w:hint="eastAsia"/>
          <w:sz w:val="24"/>
          <w:szCs w:val="24"/>
        </w:rPr>
        <w:t>（以下简称</w:t>
      </w:r>
      <w:r w:rsidR="005C361B" w:rsidRPr="00511C08">
        <w:rPr>
          <w:rFonts w:ascii="Times New Roman" w:hAnsi="Times New Roman" w:cs="Times New Roman" w:hint="eastAsia"/>
          <w:sz w:val="24"/>
        </w:rPr>
        <w:t>“</w:t>
      </w:r>
      <w:r w:rsidR="00511C08">
        <w:rPr>
          <w:rFonts w:ascii="Times New Roman" w:eastAsia="宋体" w:hAnsi="宋体" w:cs="宋体" w:hint="eastAsia"/>
          <w:sz w:val="24"/>
          <w:szCs w:val="24"/>
        </w:rPr>
        <w:t>公募</w:t>
      </w:r>
      <w:r w:rsidR="00C21958">
        <w:rPr>
          <w:rFonts w:ascii="Times New Roman" w:eastAsia="宋体" w:hAnsi="宋体" w:cs="宋体" w:hint="eastAsia"/>
          <w:sz w:val="24"/>
          <w:szCs w:val="24"/>
        </w:rPr>
        <w:t>R</w:t>
      </w:r>
      <w:r w:rsidR="00C21958">
        <w:rPr>
          <w:rFonts w:ascii="Times New Roman" w:eastAsia="宋体" w:hAnsi="宋体" w:cs="宋体"/>
          <w:sz w:val="24"/>
          <w:szCs w:val="24"/>
        </w:rPr>
        <w:t>EITs</w:t>
      </w:r>
      <w:r w:rsidR="005C361B" w:rsidRPr="00511C08">
        <w:rPr>
          <w:rFonts w:ascii="Times New Roman" w:hAnsi="Times New Roman" w:cs="Times New Roman" w:hint="eastAsia"/>
          <w:sz w:val="24"/>
        </w:rPr>
        <w:t>”</w:t>
      </w:r>
      <w:r w:rsidR="00C21958">
        <w:rPr>
          <w:rFonts w:ascii="Times New Roman" w:eastAsia="宋体" w:hAnsi="宋体" w:cs="宋体" w:hint="eastAsia"/>
          <w:sz w:val="24"/>
          <w:szCs w:val="24"/>
        </w:rPr>
        <w:t>）</w:t>
      </w:r>
      <w:r w:rsidRPr="00740C88">
        <w:rPr>
          <w:rFonts w:ascii="Times New Roman" w:eastAsia="宋体" w:hAnsi="宋体" w:cs="宋体" w:hint="eastAsia"/>
          <w:sz w:val="24"/>
          <w:szCs w:val="24"/>
        </w:rPr>
        <w:t>投资</w:t>
      </w:r>
      <w:r w:rsidR="002A7E0F">
        <w:rPr>
          <w:rFonts w:ascii="Times New Roman" w:eastAsia="宋体" w:hAnsi="宋体" w:cs="宋体" w:hint="eastAsia"/>
          <w:sz w:val="24"/>
          <w:szCs w:val="24"/>
        </w:rPr>
        <w:t>事宜</w:t>
      </w:r>
      <w:r w:rsidRPr="00740C88">
        <w:rPr>
          <w:rFonts w:ascii="Times New Roman" w:eastAsia="宋体" w:hAnsi="宋体" w:cs="宋体" w:hint="eastAsia"/>
          <w:sz w:val="24"/>
          <w:szCs w:val="24"/>
        </w:rPr>
        <w:t>修订基金合同</w:t>
      </w:r>
      <w:r w:rsidR="00EC0226">
        <w:rPr>
          <w:rFonts w:ascii="Times New Roman" w:eastAsia="宋体" w:hAnsi="宋体" w:cs="宋体" w:hint="eastAsia"/>
          <w:sz w:val="24"/>
          <w:szCs w:val="24"/>
        </w:rPr>
        <w:t>、托管协议</w:t>
      </w:r>
      <w:r w:rsidRPr="00740C88">
        <w:rPr>
          <w:rFonts w:ascii="Times New Roman" w:eastAsia="宋体" w:hAnsi="宋体" w:cs="宋体" w:hint="eastAsia"/>
          <w:sz w:val="24"/>
          <w:szCs w:val="24"/>
        </w:rPr>
        <w:t>等法律文件，包括明确投资范围包含</w:t>
      </w:r>
      <w:r w:rsidR="00511C08">
        <w:rPr>
          <w:rFonts w:ascii="Times New Roman" w:eastAsia="宋体" w:hAnsi="宋体" w:cs="宋体" w:hint="eastAsia"/>
          <w:sz w:val="24"/>
          <w:szCs w:val="24"/>
        </w:rPr>
        <w:t>公募</w:t>
      </w:r>
      <w:r w:rsidR="00C21958">
        <w:rPr>
          <w:rFonts w:ascii="Times New Roman" w:eastAsia="宋体" w:hAnsi="宋体" w:cs="宋体" w:hint="eastAsia"/>
          <w:sz w:val="24"/>
          <w:szCs w:val="24"/>
        </w:rPr>
        <w:t>R</w:t>
      </w:r>
      <w:r w:rsidR="00C21958">
        <w:rPr>
          <w:rFonts w:ascii="Times New Roman" w:eastAsia="宋体" w:hAnsi="宋体" w:cs="宋体"/>
          <w:sz w:val="24"/>
          <w:szCs w:val="24"/>
        </w:rPr>
        <w:t>EITs</w:t>
      </w:r>
      <w:r w:rsidRPr="00740C88">
        <w:rPr>
          <w:rFonts w:ascii="Times New Roman" w:eastAsia="宋体" w:hAnsi="宋体" w:cs="宋体" w:hint="eastAsia"/>
          <w:sz w:val="24"/>
          <w:szCs w:val="24"/>
        </w:rPr>
        <w:t>、增加</w:t>
      </w:r>
      <w:r w:rsidR="00511C08">
        <w:rPr>
          <w:rFonts w:ascii="Times New Roman" w:eastAsia="宋体" w:hAnsi="宋体" w:cs="宋体" w:hint="eastAsia"/>
          <w:sz w:val="24"/>
          <w:szCs w:val="24"/>
        </w:rPr>
        <w:t>公募</w:t>
      </w:r>
      <w:r w:rsidR="00C21958">
        <w:rPr>
          <w:rFonts w:ascii="Times New Roman" w:eastAsia="宋体" w:hAnsi="宋体" w:cs="宋体" w:hint="eastAsia"/>
          <w:sz w:val="24"/>
          <w:szCs w:val="24"/>
        </w:rPr>
        <w:t>R</w:t>
      </w:r>
      <w:r w:rsidR="00C21958">
        <w:rPr>
          <w:rFonts w:ascii="Times New Roman" w:eastAsia="宋体" w:hAnsi="宋体" w:cs="宋体"/>
          <w:sz w:val="24"/>
          <w:szCs w:val="24"/>
        </w:rPr>
        <w:t>EITs</w:t>
      </w:r>
      <w:r w:rsidR="00871EB3">
        <w:rPr>
          <w:rFonts w:ascii="Times New Roman" w:eastAsia="宋体" w:hAnsi="宋体" w:cs="宋体" w:hint="eastAsia"/>
          <w:sz w:val="24"/>
          <w:szCs w:val="24"/>
        </w:rPr>
        <w:t>的投资策略、</w:t>
      </w:r>
      <w:r w:rsidR="005C361B">
        <w:rPr>
          <w:rFonts w:ascii="Times New Roman" w:eastAsia="宋体" w:hAnsi="宋体" w:cs="宋体" w:hint="eastAsia"/>
          <w:sz w:val="24"/>
          <w:szCs w:val="24"/>
        </w:rPr>
        <w:t>明确公募</w:t>
      </w:r>
      <w:r w:rsidR="005C361B">
        <w:rPr>
          <w:rFonts w:ascii="Times New Roman" w:eastAsia="宋体" w:hAnsi="宋体" w:cs="宋体" w:hint="eastAsia"/>
          <w:sz w:val="24"/>
          <w:szCs w:val="24"/>
        </w:rPr>
        <w:t>R</w:t>
      </w:r>
      <w:r w:rsidR="005C361B">
        <w:rPr>
          <w:rFonts w:ascii="Times New Roman" w:eastAsia="宋体" w:hAnsi="宋体" w:cs="宋体"/>
          <w:sz w:val="24"/>
          <w:szCs w:val="24"/>
        </w:rPr>
        <w:t>EITs</w:t>
      </w:r>
      <w:r w:rsidR="00871EB3">
        <w:rPr>
          <w:rFonts w:ascii="Times New Roman" w:eastAsia="宋体" w:hAnsi="宋体" w:cs="宋体" w:hint="eastAsia"/>
          <w:sz w:val="24"/>
          <w:szCs w:val="24"/>
        </w:rPr>
        <w:t>估值方法</w:t>
      </w:r>
      <w:r w:rsidR="0073139C">
        <w:rPr>
          <w:rFonts w:ascii="Times New Roman" w:eastAsia="宋体" w:hAnsi="宋体" w:cs="宋体" w:hint="eastAsia"/>
          <w:sz w:val="24"/>
          <w:szCs w:val="24"/>
        </w:rPr>
        <w:t>、增加公募</w:t>
      </w:r>
      <w:r w:rsidR="0073139C">
        <w:rPr>
          <w:rFonts w:ascii="Times New Roman" w:eastAsia="宋体" w:hAnsi="宋体" w:cs="宋体" w:hint="eastAsia"/>
          <w:sz w:val="24"/>
          <w:szCs w:val="24"/>
        </w:rPr>
        <w:t>R</w:t>
      </w:r>
      <w:r w:rsidR="0073139C">
        <w:rPr>
          <w:rFonts w:ascii="Times New Roman" w:eastAsia="宋体" w:hAnsi="宋体" w:cs="宋体"/>
          <w:sz w:val="24"/>
          <w:szCs w:val="24"/>
        </w:rPr>
        <w:t>EITs</w:t>
      </w:r>
      <w:r w:rsidR="0073139C">
        <w:rPr>
          <w:rFonts w:ascii="Times New Roman" w:eastAsia="宋体" w:hAnsi="宋体" w:cs="宋体" w:hint="eastAsia"/>
          <w:sz w:val="24"/>
          <w:szCs w:val="24"/>
        </w:rPr>
        <w:t>的风险提示</w:t>
      </w:r>
      <w:r w:rsidR="00871EB3">
        <w:rPr>
          <w:rFonts w:ascii="Times New Roman" w:eastAsia="宋体" w:hAnsi="宋体" w:cs="宋体" w:hint="eastAsia"/>
          <w:sz w:val="24"/>
          <w:szCs w:val="24"/>
        </w:rPr>
        <w:t>等</w:t>
      </w:r>
      <w:r w:rsidRPr="00740C88">
        <w:rPr>
          <w:rFonts w:ascii="Times New Roman" w:eastAsia="宋体" w:hAnsi="宋体" w:cs="宋体" w:hint="eastAsia"/>
          <w:sz w:val="24"/>
          <w:szCs w:val="24"/>
        </w:rPr>
        <w:t>。本次修订将自</w:t>
      </w:r>
      <w:r w:rsidR="00C21958" w:rsidRPr="00740C88">
        <w:rPr>
          <w:rFonts w:ascii="Times New Roman" w:eastAsia="宋体" w:hAnsi="宋体" w:cs="宋体"/>
          <w:sz w:val="24"/>
          <w:szCs w:val="24"/>
        </w:rPr>
        <w:t>202</w:t>
      </w:r>
      <w:r w:rsidR="00C21958">
        <w:rPr>
          <w:rFonts w:ascii="Times New Roman" w:eastAsia="宋体" w:hAnsi="宋体" w:cs="宋体"/>
          <w:sz w:val="24"/>
          <w:szCs w:val="24"/>
        </w:rPr>
        <w:t>3</w:t>
      </w:r>
      <w:r w:rsidRPr="00740C88">
        <w:rPr>
          <w:rFonts w:ascii="Times New Roman" w:eastAsia="宋体" w:hAnsi="宋体" w:cs="宋体" w:hint="eastAsia"/>
          <w:sz w:val="24"/>
          <w:szCs w:val="24"/>
        </w:rPr>
        <w:t>年</w:t>
      </w:r>
      <w:r w:rsidR="003248FE">
        <w:rPr>
          <w:rFonts w:ascii="Times New Roman" w:eastAsia="宋体" w:hAnsi="宋体" w:cs="宋体"/>
          <w:sz w:val="24"/>
          <w:szCs w:val="24"/>
        </w:rPr>
        <w:t>7</w:t>
      </w:r>
      <w:r w:rsidRPr="00740C88">
        <w:rPr>
          <w:rFonts w:ascii="Times New Roman" w:eastAsia="宋体" w:hAnsi="宋体" w:cs="宋体" w:hint="eastAsia"/>
          <w:sz w:val="24"/>
          <w:szCs w:val="24"/>
        </w:rPr>
        <w:t>月</w:t>
      </w:r>
      <w:r w:rsidR="003248FE">
        <w:rPr>
          <w:rFonts w:ascii="Times New Roman" w:eastAsia="宋体" w:hAnsi="宋体" w:cs="宋体"/>
          <w:sz w:val="24"/>
          <w:szCs w:val="24"/>
        </w:rPr>
        <w:t>5</w:t>
      </w:r>
      <w:r w:rsidRPr="00740C88">
        <w:rPr>
          <w:rFonts w:ascii="Times New Roman" w:eastAsia="宋体" w:hAnsi="宋体" w:cs="宋体" w:hint="eastAsia"/>
          <w:sz w:val="24"/>
          <w:szCs w:val="24"/>
        </w:rPr>
        <w:t>日起正式生效。现将基金合同、</w:t>
      </w:r>
      <w:r w:rsidR="00B71CBD">
        <w:rPr>
          <w:rFonts w:ascii="Times New Roman" w:eastAsia="宋体" w:hAnsi="宋体" w:cs="宋体" w:hint="eastAsia"/>
          <w:sz w:val="24"/>
          <w:szCs w:val="24"/>
        </w:rPr>
        <w:t>托管协议</w:t>
      </w:r>
      <w:r w:rsidR="0073139C">
        <w:rPr>
          <w:rFonts w:ascii="Times New Roman" w:eastAsia="宋体" w:hAnsi="宋体" w:cs="宋体" w:hint="eastAsia"/>
          <w:sz w:val="24"/>
          <w:szCs w:val="24"/>
        </w:rPr>
        <w:t>等法律文件</w:t>
      </w:r>
      <w:r w:rsidRPr="00740C88">
        <w:rPr>
          <w:rFonts w:ascii="Times New Roman" w:eastAsia="宋体" w:hAnsi="宋体" w:cs="宋体" w:hint="eastAsia"/>
          <w:sz w:val="24"/>
          <w:szCs w:val="24"/>
        </w:rPr>
        <w:t>修订情况公告如下：</w:t>
      </w:r>
    </w:p>
    <w:p w:rsidR="00C31268" w:rsidRPr="00941F39" w:rsidRDefault="00C31268" w:rsidP="00941F39">
      <w:pPr>
        <w:pStyle w:val="Default"/>
        <w:spacing w:line="360" w:lineRule="auto"/>
        <w:ind w:rightChars="40" w:right="84" w:firstLineChars="200" w:firstLine="482"/>
        <w:rPr>
          <w:rFonts w:cstheme="minorBidi"/>
          <w:b/>
          <w:color w:val="auto"/>
        </w:rPr>
      </w:pPr>
      <w:r w:rsidRPr="00941F39">
        <w:rPr>
          <w:rFonts w:cstheme="minorBidi" w:hint="eastAsia"/>
          <w:b/>
          <w:color w:val="auto"/>
        </w:rPr>
        <w:t>一、</w:t>
      </w:r>
      <w:r w:rsidR="00E709EC">
        <w:rPr>
          <w:rFonts w:cstheme="minorBidi" w:hint="eastAsia"/>
          <w:b/>
          <w:color w:val="auto"/>
        </w:rPr>
        <w:t>本次修订的基金</w:t>
      </w:r>
      <w:r w:rsidR="005944D0">
        <w:rPr>
          <w:rFonts w:cstheme="minorBidi" w:hint="eastAsia"/>
          <w:b/>
          <w:color w:val="auto"/>
        </w:rPr>
        <w:t>范围</w:t>
      </w:r>
    </w:p>
    <w:p w:rsidR="00941F39" w:rsidRDefault="00463650" w:rsidP="00740C88">
      <w:pPr>
        <w:spacing w:line="360" w:lineRule="auto"/>
        <w:ind w:rightChars="40" w:right="84" w:firstLineChars="200" w:firstLine="480"/>
        <w:rPr>
          <w:rFonts w:ascii="Times New Roman" w:eastAsia="宋体" w:hAnsi="宋体" w:cs="宋体"/>
          <w:sz w:val="24"/>
          <w:szCs w:val="24"/>
        </w:rPr>
      </w:pPr>
      <w:r>
        <w:rPr>
          <w:rFonts w:ascii="Times New Roman" w:eastAsia="宋体" w:hAnsi="宋体" w:cs="宋体" w:hint="eastAsia"/>
          <w:sz w:val="24"/>
          <w:szCs w:val="24"/>
        </w:rPr>
        <w:t>本次修订涉及</w:t>
      </w:r>
      <w:r w:rsidR="00F866DB" w:rsidRPr="00740C88">
        <w:rPr>
          <w:rFonts w:ascii="Times New Roman" w:eastAsia="宋体" w:hAnsi="宋体" w:cs="宋体" w:hint="eastAsia"/>
          <w:sz w:val="24"/>
          <w:szCs w:val="24"/>
        </w:rPr>
        <w:t>基金管理人</w:t>
      </w:r>
      <w:r w:rsidRPr="00740C88">
        <w:rPr>
          <w:rFonts w:ascii="Times New Roman" w:eastAsia="宋体" w:hAnsi="宋体" w:cs="宋体" w:hint="eastAsia"/>
          <w:sz w:val="24"/>
          <w:szCs w:val="24"/>
        </w:rPr>
        <w:t>旗下</w:t>
      </w:r>
      <w:r w:rsidR="002D56A3">
        <w:rPr>
          <w:rFonts w:ascii="Times New Roman" w:eastAsia="宋体" w:hAnsi="宋体" w:cs="宋体"/>
          <w:sz w:val="24"/>
          <w:szCs w:val="24"/>
        </w:rPr>
        <w:t>8</w:t>
      </w:r>
      <w:r w:rsidRPr="00740C88">
        <w:rPr>
          <w:rFonts w:ascii="Times New Roman" w:eastAsia="宋体" w:hAnsi="宋体" w:cs="宋体" w:hint="eastAsia"/>
          <w:sz w:val="24"/>
          <w:szCs w:val="24"/>
        </w:rPr>
        <w:t>只公募</w:t>
      </w:r>
      <w:r w:rsidR="00511C08">
        <w:rPr>
          <w:rFonts w:ascii="Times New Roman" w:eastAsia="宋体" w:hAnsi="宋体" w:cs="宋体" w:hint="eastAsia"/>
          <w:sz w:val="24"/>
          <w:szCs w:val="24"/>
        </w:rPr>
        <w:t>基金中</w:t>
      </w:r>
      <w:r w:rsidRPr="00740C88">
        <w:rPr>
          <w:rFonts w:ascii="Times New Roman" w:eastAsia="宋体" w:hAnsi="宋体" w:cs="宋体" w:hint="eastAsia"/>
          <w:sz w:val="24"/>
          <w:szCs w:val="24"/>
        </w:rPr>
        <w:t>基金</w:t>
      </w:r>
      <w:r>
        <w:rPr>
          <w:rFonts w:ascii="Times New Roman" w:eastAsia="宋体" w:hAnsi="宋体" w:cs="宋体" w:hint="eastAsia"/>
          <w:sz w:val="24"/>
          <w:szCs w:val="24"/>
        </w:rPr>
        <w:t>，</w:t>
      </w:r>
      <w:r w:rsidR="0073139C">
        <w:rPr>
          <w:rFonts w:ascii="Times New Roman" w:eastAsia="宋体" w:hAnsi="宋体" w:cs="宋体" w:hint="eastAsia"/>
          <w:sz w:val="24"/>
          <w:szCs w:val="24"/>
        </w:rPr>
        <w:t>详情如下：</w:t>
      </w:r>
    </w:p>
    <w:tbl>
      <w:tblPr>
        <w:tblW w:w="9316" w:type="dxa"/>
        <w:jc w:val="center"/>
        <w:tblCellMar>
          <w:left w:w="0" w:type="dxa"/>
          <w:right w:w="0" w:type="dxa"/>
        </w:tblCellMar>
        <w:tblLook w:val="04A0"/>
      </w:tblPr>
      <w:tblGrid>
        <w:gridCol w:w="968"/>
        <w:gridCol w:w="7219"/>
        <w:gridCol w:w="1129"/>
      </w:tblGrid>
      <w:tr w:rsidR="0073139C" w:rsidRPr="00F82EFB" w:rsidTr="006C0FEE">
        <w:trPr>
          <w:trHeight w:val="56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6C0FEE" w:rsidRDefault="0073139C" w:rsidP="00014364">
            <w:pPr>
              <w:jc w:val="center"/>
              <w:rPr>
                <w:rFonts w:ascii="宋体" w:eastAsia="宋体" w:hAnsi="宋体"/>
                <w:b/>
                <w:color w:val="000000"/>
                <w:szCs w:val="21"/>
              </w:rPr>
            </w:pPr>
            <w:r w:rsidRPr="006C0FEE">
              <w:rPr>
                <w:rFonts w:ascii="宋体" w:eastAsia="宋体" w:hAnsi="宋体" w:hint="eastAsia"/>
                <w:b/>
                <w:color w:val="000000"/>
                <w:szCs w:val="21"/>
              </w:rPr>
              <w:t>序号</w:t>
            </w:r>
          </w:p>
        </w:tc>
        <w:tc>
          <w:tcPr>
            <w:tcW w:w="7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139C" w:rsidRPr="006C0FEE" w:rsidRDefault="0073139C" w:rsidP="00014364">
            <w:pPr>
              <w:jc w:val="center"/>
              <w:rPr>
                <w:rFonts w:ascii="宋体" w:eastAsia="宋体" w:hAnsi="宋体"/>
                <w:b/>
                <w:color w:val="000000"/>
                <w:szCs w:val="21"/>
              </w:rPr>
            </w:pPr>
            <w:r w:rsidRPr="006C0FEE">
              <w:rPr>
                <w:rFonts w:ascii="宋体" w:eastAsia="宋体" w:hAnsi="宋体" w:hint="eastAsia"/>
                <w:b/>
                <w:color w:val="000000"/>
                <w:szCs w:val="21"/>
              </w:rPr>
              <w:t>基金名称</w:t>
            </w:r>
          </w:p>
        </w:tc>
        <w:tc>
          <w:tcPr>
            <w:tcW w:w="1129" w:type="dxa"/>
            <w:tcBorders>
              <w:top w:val="single" w:sz="4" w:space="0" w:color="auto"/>
              <w:left w:val="single" w:sz="4" w:space="0" w:color="auto"/>
              <w:bottom w:val="single" w:sz="4" w:space="0" w:color="auto"/>
              <w:right w:val="single" w:sz="4" w:space="0" w:color="auto"/>
            </w:tcBorders>
            <w:vAlign w:val="center"/>
          </w:tcPr>
          <w:p w:rsidR="0073139C" w:rsidRPr="006C0FEE" w:rsidRDefault="0073139C" w:rsidP="00014364">
            <w:pPr>
              <w:jc w:val="center"/>
              <w:rPr>
                <w:rFonts w:ascii="宋体" w:eastAsia="宋体" w:hAnsi="宋体"/>
                <w:b/>
                <w:color w:val="000000"/>
                <w:szCs w:val="21"/>
              </w:rPr>
            </w:pPr>
            <w:r w:rsidRPr="006C0FEE">
              <w:rPr>
                <w:rFonts w:ascii="宋体" w:eastAsia="宋体" w:hAnsi="宋体" w:hint="eastAsia"/>
                <w:b/>
                <w:color w:val="000000"/>
                <w:szCs w:val="21"/>
              </w:rPr>
              <w:t>基金主代码</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1</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天弘养老目标日期2045五年持有期混合型发起式基金中基金（FOF）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017404</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2</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天弘永丰平衡养老目标三年持有期混合型发起式基金中基金(FOF)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017179</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3</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天弘旗舰精选3个月持有期混合型发起式基金中基金（FOF）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013089</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4</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天弘养老目标日期2030一年持有期混合型发起式基金中基金（FOF）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013571</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5</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天弘养老目标日期2035三年持有期混合型发起式基金中基金(FOF)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007748</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6</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天弘永丰稳健养老目标一年持有期混合型基金中基金（FOF）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013826</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7</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天弘永裕平衡养老目标三年持有期混合型发起式基金中基金（FOF）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009385</w:t>
            </w:r>
          </w:p>
        </w:tc>
      </w:tr>
      <w:tr w:rsidR="0073139C" w:rsidRPr="00FF3F56" w:rsidTr="006C0FEE">
        <w:trPr>
          <w:trHeight w:val="280"/>
          <w:jc w:val="center"/>
        </w:trPr>
        <w:tc>
          <w:tcPr>
            <w:tcW w:w="9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73139C" w:rsidRPr="00F82EFB" w:rsidRDefault="0073139C" w:rsidP="00014364">
            <w:pPr>
              <w:jc w:val="center"/>
              <w:rPr>
                <w:rFonts w:ascii="宋体" w:eastAsia="宋体" w:hAnsi="宋体"/>
                <w:color w:val="000000"/>
                <w:szCs w:val="21"/>
              </w:rPr>
            </w:pPr>
            <w:r w:rsidRPr="00F82EFB">
              <w:rPr>
                <w:rFonts w:ascii="宋体" w:eastAsia="宋体" w:hAnsi="宋体" w:hint="eastAsia"/>
                <w:color w:val="000000"/>
                <w:szCs w:val="21"/>
              </w:rPr>
              <w:t>8</w:t>
            </w:r>
          </w:p>
        </w:tc>
        <w:tc>
          <w:tcPr>
            <w:tcW w:w="721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3139C" w:rsidRPr="00A433A2" w:rsidRDefault="0073139C" w:rsidP="00014364">
            <w:pPr>
              <w:jc w:val="center"/>
              <w:rPr>
                <w:rFonts w:asciiTheme="minorEastAsia" w:hAnsiTheme="minorEastAsia"/>
                <w:color w:val="000000"/>
                <w:sz w:val="22"/>
              </w:rPr>
            </w:pPr>
            <w:r w:rsidRPr="00A433A2">
              <w:rPr>
                <w:rFonts w:asciiTheme="minorEastAsia" w:hAnsiTheme="minorEastAsia" w:hint="eastAsia"/>
                <w:color w:val="000000"/>
                <w:sz w:val="22"/>
              </w:rPr>
              <w:t>天弘永裕稳健养老目标一年持有期混合型基金中基金(FOF)</w:t>
            </w:r>
          </w:p>
        </w:tc>
        <w:tc>
          <w:tcPr>
            <w:tcW w:w="1129" w:type="dxa"/>
            <w:tcBorders>
              <w:top w:val="single" w:sz="4" w:space="0" w:color="auto"/>
              <w:left w:val="nil"/>
              <w:bottom w:val="single" w:sz="4" w:space="0" w:color="auto"/>
              <w:right w:val="single" w:sz="4" w:space="0" w:color="auto"/>
            </w:tcBorders>
            <w:shd w:val="clear" w:color="auto" w:fill="auto"/>
            <w:vAlign w:val="center"/>
          </w:tcPr>
          <w:p w:rsidR="0073139C" w:rsidRPr="00FF3F56" w:rsidRDefault="0073139C" w:rsidP="00014364">
            <w:pPr>
              <w:jc w:val="center"/>
              <w:rPr>
                <w:rFonts w:asciiTheme="minorEastAsia" w:hAnsiTheme="minorEastAsia"/>
                <w:color w:val="000000"/>
                <w:sz w:val="22"/>
              </w:rPr>
            </w:pPr>
            <w:r w:rsidRPr="00FF3F56">
              <w:rPr>
                <w:rFonts w:asciiTheme="minorEastAsia" w:hAnsiTheme="minorEastAsia"/>
                <w:color w:val="000000"/>
                <w:sz w:val="22"/>
              </w:rPr>
              <w:t>008621</w:t>
            </w:r>
          </w:p>
        </w:tc>
      </w:tr>
    </w:tbl>
    <w:p w:rsidR="002E6AC2" w:rsidRPr="00CE6E32" w:rsidRDefault="0073139C" w:rsidP="006C0FEE">
      <w:pPr>
        <w:pStyle w:val="Default"/>
        <w:spacing w:line="360" w:lineRule="auto"/>
        <w:ind w:rightChars="40" w:right="84"/>
        <w:rPr>
          <w:rFonts w:cstheme="minorBidi"/>
          <w:b/>
          <w:color w:val="auto"/>
        </w:rPr>
      </w:pPr>
      <w:r>
        <w:rPr>
          <w:rFonts w:cstheme="minorBidi" w:hint="eastAsia"/>
          <w:b/>
          <w:color w:val="auto"/>
        </w:rPr>
        <w:t xml:space="preserve"> </w:t>
      </w:r>
      <w:r>
        <w:rPr>
          <w:rFonts w:cstheme="minorBidi"/>
          <w:b/>
          <w:color w:val="auto"/>
        </w:rPr>
        <w:t xml:space="preserve">   </w:t>
      </w:r>
      <w:r w:rsidR="00223371">
        <w:rPr>
          <w:rFonts w:cstheme="minorBidi" w:hint="eastAsia"/>
          <w:b/>
          <w:color w:val="auto"/>
        </w:rPr>
        <w:t>二</w:t>
      </w:r>
      <w:r w:rsidR="002E6AC2" w:rsidRPr="00CE6E32">
        <w:rPr>
          <w:rFonts w:cstheme="minorBidi" w:hint="eastAsia"/>
          <w:b/>
          <w:color w:val="auto"/>
        </w:rPr>
        <w:t>、基金合同和托管协议</w:t>
      </w:r>
      <w:r>
        <w:rPr>
          <w:rFonts w:cstheme="minorBidi" w:hint="eastAsia"/>
          <w:b/>
          <w:color w:val="auto"/>
        </w:rPr>
        <w:t>等法律文件</w:t>
      </w:r>
      <w:r w:rsidR="002E6AC2" w:rsidRPr="00CE6E32">
        <w:rPr>
          <w:rFonts w:cstheme="minorBidi" w:hint="eastAsia"/>
          <w:b/>
          <w:color w:val="auto"/>
        </w:rPr>
        <w:t>修订</w:t>
      </w:r>
      <w:r w:rsidR="00AF3D56">
        <w:rPr>
          <w:rFonts w:cstheme="minorBidi" w:hint="eastAsia"/>
          <w:b/>
          <w:color w:val="auto"/>
        </w:rPr>
        <w:t>内容</w:t>
      </w:r>
    </w:p>
    <w:p w:rsidR="000F2B4C" w:rsidRDefault="004F48B9" w:rsidP="002E6AC2">
      <w:pPr>
        <w:pStyle w:val="a3"/>
        <w:spacing w:line="360" w:lineRule="auto"/>
        <w:ind w:rightChars="40" w:right="84" w:firstLine="480"/>
        <w:rPr>
          <w:rFonts w:hAnsi="宋体" w:cs="宋体"/>
          <w:kern w:val="0"/>
          <w:sz w:val="24"/>
        </w:rPr>
      </w:pPr>
      <w:r>
        <w:rPr>
          <w:rFonts w:hAnsi="宋体" w:cs="宋体"/>
          <w:kern w:val="0"/>
          <w:sz w:val="24"/>
        </w:rPr>
        <w:t>1</w:t>
      </w:r>
      <w:r w:rsidR="00AC72D3">
        <w:rPr>
          <w:rFonts w:hAnsi="宋体" w:cs="宋体"/>
          <w:kern w:val="0"/>
          <w:sz w:val="24"/>
        </w:rPr>
        <w:t>、</w:t>
      </w:r>
      <w:r w:rsidR="002E6AC2" w:rsidRPr="00CE6E32">
        <w:rPr>
          <w:rFonts w:hAnsi="宋体" w:cs="宋体" w:hint="eastAsia"/>
          <w:sz w:val="24"/>
        </w:rPr>
        <w:t>基金合同具体修订</w:t>
      </w:r>
      <w:r w:rsidR="002E6AC2" w:rsidRPr="00CE6E32">
        <w:rPr>
          <w:rFonts w:hAnsi="宋体" w:cs="宋体"/>
          <w:sz w:val="24"/>
        </w:rPr>
        <w:t>内容</w:t>
      </w:r>
      <w:r w:rsidR="009E7412">
        <w:rPr>
          <w:rFonts w:hAnsi="宋体" w:cs="宋体" w:hint="eastAsia"/>
          <w:sz w:val="24"/>
        </w:rPr>
        <w:t>包括</w:t>
      </w:r>
      <w:r w:rsidR="00AD23F0">
        <w:rPr>
          <w:rFonts w:hAnsi="宋体" w:cs="宋体" w:hint="eastAsia"/>
          <w:kern w:val="0"/>
          <w:sz w:val="24"/>
        </w:rPr>
        <w:t>：</w:t>
      </w:r>
    </w:p>
    <w:p w:rsidR="00A85594" w:rsidRPr="00BC3EAD" w:rsidRDefault="00A85594" w:rsidP="00133139">
      <w:pPr>
        <w:spacing w:line="360" w:lineRule="auto"/>
        <w:ind w:firstLineChars="200" w:firstLine="480"/>
        <w:rPr>
          <w:rFonts w:ascii="Times New Roman" w:eastAsia="宋体" w:hAnsi="Times New Roman" w:cs="Times New Roman"/>
          <w:kern w:val="0"/>
          <w:sz w:val="24"/>
          <w:szCs w:val="24"/>
        </w:rPr>
      </w:pPr>
      <w:r w:rsidRPr="00BC3EAD">
        <w:rPr>
          <w:rFonts w:ascii="Times New Roman" w:hAnsi="Times New Roman" w:cs="Times New Roman"/>
          <w:kern w:val="0"/>
          <w:sz w:val="24"/>
        </w:rPr>
        <w:t>（</w:t>
      </w:r>
      <w:r w:rsidR="009D734E" w:rsidRPr="00BC3EAD">
        <w:rPr>
          <w:rFonts w:ascii="Times New Roman" w:hAnsi="Times New Roman" w:cs="Times New Roman"/>
          <w:kern w:val="0"/>
          <w:sz w:val="24"/>
        </w:rPr>
        <w:t>1</w:t>
      </w:r>
      <w:r w:rsidRPr="00BC3EAD">
        <w:rPr>
          <w:rFonts w:ascii="Times New Roman" w:hAnsi="Times New Roman" w:cs="Times New Roman"/>
          <w:kern w:val="0"/>
          <w:sz w:val="24"/>
        </w:rPr>
        <w:t>）</w:t>
      </w:r>
      <w:r w:rsidRPr="00BC3EAD">
        <w:rPr>
          <w:rFonts w:ascii="Times New Roman" w:eastAsia="宋体" w:hAnsi="Times New Roman" w:cs="Times New Roman"/>
          <w:kern w:val="0"/>
          <w:sz w:val="24"/>
          <w:szCs w:val="24"/>
        </w:rPr>
        <w:t>“</w:t>
      </w:r>
      <w:r w:rsidRPr="00BC3EAD">
        <w:rPr>
          <w:rFonts w:ascii="Times New Roman" w:eastAsia="宋体" w:hAnsi="Times New Roman" w:cs="Times New Roman"/>
          <w:kern w:val="0"/>
          <w:sz w:val="24"/>
          <w:szCs w:val="24"/>
        </w:rPr>
        <w:t>投资范围</w:t>
      </w:r>
      <w:r w:rsidRPr="00BC3EAD">
        <w:rPr>
          <w:rFonts w:ascii="Times New Roman" w:eastAsia="宋体" w:hAnsi="Times New Roman" w:cs="Times New Roman"/>
          <w:kern w:val="0"/>
          <w:sz w:val="24"/>
          <w:szCs w:val="24"/>
        </w:rPr>
        <w:t>”</w:t>
      </w:r>
      <w:r w:rsidRPr="00BC3EAD">
        <w:rPr>
          <w:rFonts w:ascii="Times New Roman" w:eastAsia="宋体" w:hAnsi="Times New Roman" w:cs="Times New Roman"/>
          <w:kern w:val="0"/>
          <w:sz w:val="24"/>
          <w:szCs w:val="24"/>
        </w:rPr>
        <w:t>部分明确了</w:t>
      </w:r>
      <w:r w:rsidR="005944D0">
        <w:rPr>
          <w:rFonts w:ascii="Times New Roman" w:eastAsia="宋体" w:hAnsi="Times New Roman" w:cs="Times New Roman" w:hint="eastAsia"/>
          <w:kern w:val="0"/>
          <w:sz w:val="24"/>
          <w:szCs w:val="24"/>
        </w:rPr>
        <w:t>“</w:t>
      </w:r>
      <w:r w:rsidR="001C7559">
        <w:rPr>
          <w:rFonts w:ascii="Times New Roman" w:eastAsia="宋体" w:hAnsi="Times New Roman" w:cs="Times New Roman" w:hint="eastAsia"/>
          <w:kern w:val="0"/>
          <w:sz w:val="24"/>
          <w:szCs w:val="24"/>
        </w:rPr>
        <w:t>基金</w:t>
      </w:r>
      <w:r w:rsidR="005944D0">
        <w:rPr>
          <w:rFonts w:ascii="Times New Roman" w:eastAsia="宋体" w:hAnsi="Times New Roman" w:cs="Times New Roman" w:hint="eastAsia"/>
          <w:kern w:val="0"/>
          <w:sz w:val="24"/>
          <w:szCs w:val="24"/>
        </w:rPr>
        <w:t>”</w:t>
      </w:r>
      <w:r w:rsidRPr="00BC3EAD">
        <w:rPr>
          <w:rFonts w:ascii="Times New Roman" w:eastAsia="宋体" w:hAnsi="Times New Roman" w:cs="Times New Roman"/>
          <w:kern w:val="0"/>
          <w:sz w:val="24"/>
          <w:szCs w:val="24"/>
        </w:rPr>
        <w:t>包含</w:t>
      </w:r>
      <w:r w:rsidR="00511C08" w:rsidRPr="00511C08">
        <w:rPr>
          <w:rFonts w:ascii="Times New Roman" w:eastAsia="宋体" w:hAnsi="Times New Roman" w:cs="Times New Roman" w:hint="eastAsia"/>
          <w:kern w:val="0"/>
          <w:sz w:val="24"/>
          <w:szCs w:val="24"/>
        </w:rPr>
        <w:t>公开募集基础设施证券投资基金</w:t>
      </w:r>
      <w:r w:rsidRPr="00BC3EAD">
        <w:rPr>
          <w:rFonts w:ascii="Times New Roman" w:eastAsia="宋体" w:hAnsi="Times New Roman" w:cs="Times New Roman"/>
          <w:kern w:val="0"/>
          <w:sz w:val="24"/>
          <w:szCs w:val="24"/>
        </w:rPr>
        <w:t>，</w:t>
      </w:r>
      <w:r w:rsidR="009D734E" w:rsidRPr="00BC3EAD">
        <w:rPr>
          <w:rFonts w:ascii="Times New Roman" w:hAnsi="Times New Roman" w:cs="Times New Roman"/>
          <w:kern w:val="0"/>
          <w:sz w:val="24"/>
        </w:rPr>
        <w:t>以</w:t>
      </w:r>
      <w:r w:rsidR="00AC72D3" w:rsidRPr="00AC72D3">
        <w:rPr>
          <w:rFonts w:ascii="Times New Roman" w:hAnsi="Times New Roman" w:cs="Times New Roman" w:hint="eastAsia"/>
          <w:kern w:val="0"/>
          <w:sz w:val="24"/>
        </w:rPr>
        <w:t>天弘旗舰精选</w:t>
      </w:r>
      <w:r w:rsidR="00AC72D3" w:rsidRPr="00AC72D3">
        <w:rPr>
          <w:rFonts w:ascii="Times New Roman" w:hAnsi="Times New Roman" w:cs="Times New Roman" w:hint="eastAsia"/>
          <w:kern w:val="0"/>
          <w:sz w:val="24"/>
        </w:rPr>
        <w:t>3</w:t>
      </w:r>
      <w:r w:rsidR="00AC72D3" w:rsidRPr="00AC72D3">
        <w:rPr>
          <w:rFonts w:ascii="Times New Roman" w:hAnsi="Times New Roman" w:cs="Times New Roman" w:hint="eastAsia"/>
          <w:kern w:val="0"/>
          <w:sz w:val="24"/>
        </w:rPr>
        <w:t>个月持有期混合型发起式基金中基金（</w:t>
      </w:r>
      <w:r w:rsidR="00AC72D3" w:rsidRPr="00AC72D3">
        <w:rPr>
          <w:rFonts w:ascii="Times New Roman" w:hAnsi="Times New Roman" w:cs="Times New Roman" w:hint="eastAsia"/>
          <w:kern w:val="0"/>
          <w:sz w:val="24"/>
        </w:rPr>
        <w:t>FOF</w:t>
      </w:r>
      <w:r w:rsidR="00AC72D3" w:rsidRPr="00AC72D3">
        <w:rPr>
          <w:rFonts w:ascii="Times New Roman" w:hAnsi="Times New Roman" w:cs="Times New Roman" w:hint="eastAsia"/>
          <w:kern w:val="0"/>
          <w:sz w:val="24"/>
        </w:rPr>
        <w:t>）</w:t>
      </w:r>
      <w:r w:rsidR="009D734E" w:rsidRPr="00BC3EAD">
        <w:rPr>
          <w:rFonts w:ascii="Times New Roman" w:hAnsi="Times New Roman" w:cs="Times New Roman"/>
          <w:kern w:val="0"/>
          <w:sz w:val="24"/>
        </w:rPr>
        <w:t>为例，投资范围修改为</w:t>
      </w:r>
      <w:r w:rsidRPr="00BC3EAD">
        <w:rPr>
          <w:rFonts w:ascii="Times New Roman" w:eastAsia="宋体" w:hAnsi="Times New Roman" w:cs="Times New Roman"/>
          <w:kern w:val="0"/>
          <w:sz w:val="24"/>
          <w:szCs w:val="24"/>
        </w:rPr>
        <w:t>：</w:t>
      </w:r>
      <w:r w:rsidRPr="00BC3EAD">
        <w:rPr>
          <w:rFonts w:ascii="Times New Roman" w:eastAsia="宋体" w:hAnsi="Times New Roman" w:cs="Times New Roman"/>
          <w:kern w:val="0"/>
          <w:sz w:val="24"/>
          <w:szCs w:val="24"/>
        </w:rPr>
        <w:t>“</w:t>
      </w:r>
      <w:r w:rsidR="00133139" w:rsidRPr="00133139">
        <w:rPr>
          <w:rFonts w:ascii="Times New Roman" w:eastAsia="宋体" w:hAnsi="Times New Roman" w:cs="Times New Roman" w:hint="eastAsia"/>
          <w:kern w:val="0"/>
          <w:sz w:val="24"/>
          <w:szCs w:val="24"/>
        </w:rPr>
        <w:t>本基金的投资范围为具有良好流动性的金融工具，包括经中国证监会依法核准或注册的公开募集的基金份额（包括封闭式基金、开放式基金、上市开放式基金（</w:t>
      </w:r>
      <w:r w:rsidR="00133139" w:rsidRPr="00133139">
        <w:rPr>
          <w:rFonts w:ascii="Times New Roman" w:eastAsia="宋体" w:hAnsi="Times New Roman" w:cs="Times New Roman" w:hint="eastAsia"/>
          <w:kern w:val="0"/>
          <w:sz w:val="24"/>
          <w:szCs w:val="24"/>
        </w:rPr>
        <w:t>LOF</w:t>
      </w:r>
      <w:r w:rsidR="00133139" w:rsidRPr="00133139">
        <w:rPr>
          <w:rFonts w:ascii="Times New Roman" w:eastAsia="宋体" w:hAnsi="Times New Roman" w:cs="Times New Roman" w:hint="eastAsia"/>
          <w:kern w:val="0"/>
          <w:sz w:val="24"/>
          <w:szCs w:val="24"/>
        </w:rPr>
        <w:t>）和交易型开放式指数基金（</w:t>
      </w:r>
      <w:r w:rsidR="00133139" w:rsidRPr="00133139">
        <w:rPr>
          <w:rFonts w:ascii="Times New Roman" w:eastAsia="宋体" w:hAnsi="Times New Roman" w:cs="Times New Roman" w:hint="eastAsia"/>
          <w:kern w:val="0"/>
          <w:sz w:val="24"/>
          <w:szCs w:val="24"/>
        </w:rPr>
        <w:t>ETF</w:t>
      </w:r>
      <w:r w:rsidR="00133139" w:rsidRPr="00133139">
        <w:rPr>
          <w:rFonts w:ascii="Times New Roman" w:eastAsia="宋体" w:hAnsi="Times New Roman" w:cs="Times New Roman" w:hint="eastAsia"/>
          <w:kern w:val="0"/>
          <w:sz w:val="24"/>
          <w:szCs w:val="24"/>
        </w:rPr>
        <w:t>）、</w:t>
      </w:r>
      <w:r w:rsidR="00133139" w:rsidRPr="00133139">
        <w:rPr>
          <w:rFonts w:ascii="Times New Roman" w:eastAsia="宋体" w:hAnsi="Times New Roman" w:cs="Times New Roman" w:hint="eastAsia"/>
          <w:kern w:val="0"/>
          <w:sz w:val="24"/>
          <w:szCs w:val="24"/>
        </w:rPr>
        <w:t xml:space="preserve">QDII </w:t>
      </w:r>
      <w:r w:rsidR="00133139" w:rsidRPr="00133139">
        <w:rPr>
          <w:rFonts w:ascii="Times New Roman" w:eastAsia="宋体" w:hAnsi="Times New Roman" w:cs="Times New Roman" w:hint="eastAsia"/>
          <w:kern w:val="0"/>
          <w:sz w:val="24"/>
          <w:szCs w:val="24"/>
        </w:rPr>
        <w:t>基金、商品基金（含</w:t>
      </w:r>
      <w:r w:rsidR="00133139" w:rsidRPr="00133139">
        <w:rPr>
          <w:rFonts w:ascii="Times New Roman" w:eastAsia="宋体" w:hAnsi="Times New Roman" w:cs="Times New Roman" w:hint="eastAsia"/>
          <w:kern w:val="0"/>
          <w:sz w:val="24"/>
          <w:szCs w:val="24"/>
        </w:rPr>
        <w:lastRenderedPageBreak/>
        <w:t>商品期货基金和黄金</w:t>
      </w:r>
      <w:r w:rsidR="00133139" w:rsidRPr="00133139">
        <w:rPr>
          <w:rFonts w:ascii="Times New Roman" w:eastAsia="宋体" w:hAnsi="Times New Roman" w:cs="Times New Roman" w:hint="eastAsia"/>
          <w:kern w:val="0"/>
          <w:sz w:val="24"/>
          <w:szCs w:val="24"/>
        </w:rPr>
        <w:t xml:space="preserve"> ETF</w:t>
      </w:r>
      <w:r w:rsidR="00133139" w:rsidRPr="00133139">
        <w:rPr>
          <w:rFonts w:ascii="Times New Roman" w:eastAsia="宋体" w:hAnsi="Times New Roman" w:cs="Times New Roman" w:hint="eastAsia"/>
          <w:kern w:val="0"/>
          <w:sz w:val="24"/>
          <w:szCs w:val="24"/>
        </w:rPr>
        <w:t>）</w:t>
      </w:r>
      <w:r w:rsidR="00133139">
        <w:rPr>
          <w:rFonts w:ascii="Times New Roman" w:eastAsia="宋体" w:hAnsi="Times New Roman" w:cs="Times New Roman" w:hint="eastAsia"/>
          <w:kern w:val="0"/>
          <w:sz w:val="24"/>
          <w:szCs w:val="24"/>
        </w:rPr>
        <w:t>、公开募集基础设施证券投资基金（以下简称“公募</w:t>
      </w:r>
      <w:r w:rsidR="00133139">
        <w:rPr>
          <w:rFonts w:ascii="Times New Roman" w:eastAsia="宋体" w:hAnsi="Times New Roman" w:cs="Times New Roman" w:hint="eastAsia"/>
          <w:kern w:val="0"/>
          <w:sz w:val="24"/>
          <w:szCs w:val="24"/>
        </w:rPr>
        <w:t>R</w:t>
      </w:r>
      <w:r w:rsidR="008664A0">
        <w:rPr>
          <w:rFonts w:ascii="Times New Roman" w:eastAsia="宋体" w:hAnsi="Times New Roman" w:cs="Times New Roman"/>
          <w:kern w:val="0"/>
          <w:sz w:val="24"/>
          <w:szCs w:val="24"/>
        </w:rPr>
        <w:t>EITs</w:t>
      </w:r>
      <w:bookmarkStart w:id="0" w:name="_GoBack"/>
      <w:bookmarkEnd w:id="0"/>
      <w:r w:rsidR="00133139">
        <w:rPr>
          <w:rFonts w:ascii="Times New Roman" w:eastAsia="宋体" w:hAnsi="Times New Roman" w:cs="Times New Roman" w:hint="eastAsia"/>
          <w:kern w:val="0"/>
          <w:sz w:val="24"/>
          <w:szCs w:val="24"/>
        </w:rPr>
        <w:t>”）</w:t>
      </w:r>
      <w:r w:rsidR="00133139" w:rsidRPr="00133139">
        <w:rPr>
          <w:rFonts w:ascii="Times New Roman" w:eastAsia="宋体" w:hAnsi="Times New Roman" w:cs="Times New Roman" w:hint="eastAsia"/>
          <w:kern w:val="0"/>
          <w:sz w:val="24"/>
          <w:szCs w:val="24"/>
        </w:rPr>
        <w:t>，不包括基金中基金）、香港互认基金、国内依法发行或上市的股票（包括主板、中小板、创业板、存托凭证及及其他中国证监会允许基金投资的股票）、港股通标的股票、债券（含国债、金融债、企业债、公司债、证券公司短期公司债券、次级债、可转换债券（含分离交易可转债）、可交换债券、央行票据、短期融资券、超短期融资券、中期票据、地方政府债等）、资产支持证券、债券回购、同业存单、银行存款、现金，以及法律法规或中国证监会允许</w:t>
      </w:r>
      <w:r w:rsidR="00133139">
        <w:rPr>
          <w:rFonts w:ascii="Times New Roman" w:eastAsia="宋体" w:hAnsi="Times New Roman" w:cs="Times New Roman" w:hint="eastAsia"/>
          <w:kern w:val="0"/>
          <w:sz w:val="24"/>
          <w:szCs w:val="24"/>
        </w:rPr>
        <w:t>基金投资的其他金融工具，但须符合中国证监会的相关规定。</w:t>
      </w:r>
      <w:r w:rsidRPr="00BC3EAD">
        <w:rPr>
          <w:rFonts w:ascii="Times New Roman" w:eastAsia="宋体" w:hAnsi="Times New Roman" w:cs="Times New Roman"/>
          <w:kern w:val="0"/>
          <w:sz w:val="24"/>
          <w:szCs w:val="24"/>
        </w:rPr>
        <w:t>”</w:t>
      </w:r>
    </w:p>
    <w:p w:rsidR="00BC3EAD" w:rsidRDefault="00BC3EAD" w:rsidP="00BC3EAD">
      <w:pPr>
        <w:pStyle w:val="a3"/>
        <w:spacing w:line="360" w:lineRule="auto"/>
        <w:ind w:rightChars="40" w:right="84" w:firstLine="480"/>
        <w:rPr>
          <w:rFonts w:ascii="宋体" w:cs="宋体"/>
          <w:bCs/>
          <w:kern w:val="0"/>
          <w:sz w:val="24"/>
        </w:rPr>
      </w:pPr>
      <w:r w:rsidRPr="00BC3EAD">
        <w:rPr>
          <w:kern w:val="0"/>
          <w:sz w:val="24"/>
        </w:rPr>
        <w:t>（</w:t>
      </w:r>
      <w:r>
        <w:rPr>
          <w:kern w:val="0"/>
          <w:sz w:val="24"/>
        </w:rPr>
        <w:t>2</w:t>
      </w:r>
      <w:r w:rsidRPr="00BC3EAD">
        <w:rPr>
          <w:kern w:val="0"/>
          <w:sz w:val="24"/>
        </w:rPr>
        <w:t>）</w:t>
      </w:r>
      <w:r w:rsidRPr="00BC3EAD">
        <w:rPr>
          <w:kern w:val="0"/>
          <w:sz w:val="24"/>
        </w:rPr>
        <w:t>“</w:t>
      </w:r>
      <w:r w:rsidRPr="00BC3EAD">
        <w:rPr>
          <w:kern w:val="0"/>
          <w:sz w:val="24"/>
        </w:rPr>
        <w:t>投资</w:t>
      </w:r>
      <w:r>
        <w:rPr>
          <w:rFonts w:hint="eastAsia"/>
          <w:kern w:val="0"/>
          <w:sz w:val="24"/>
        </w:rPr>
        <w:t>策略</w:t>
      </w:r>
      <w:r w:rsidRPr="00BC3EAD">
        <w:rPr>
          <w:kern w:val="0"/>
          <w:sz w:val="24"/>
        </w:rPr>
        <w:t>”</w:t>
      </w:r>
      <w:r w:rsidRPr="00BC3EAD">
        <w:rPr>
          <w:kern w:val="0"/>
          <w:sz w:val="24"/>
        </w:rPr>
        <w:t>部分</w:t>
      </w:r>
      <w:r>
        <w:rPr>
          <w:rFonts w:ascii="宋体" w:cs="宋体" w:hint="eastAsia"/>
          <w:kern w:val="0"/>
          <w:sz w:val="24"/>
        </w:rPr>
        <w:t>增加</w:t>
      </w:r>
      <w:r w:rsidR="00511C08">
        <w:rPr>
          <w:rFonts w:ascii="宋体" w:cs="宋体" w:hint="eastAsia"/>
          <w:kern w:val="0"/>
          <w:sz w:val="24"/>
        </w:rPr>
        <w:t>公募R</w:t>
      </w:r>
      <w:r w:rsidR="00511C08">
        <w:rPr>
          <w:rFonts w:ascii="宋体" w:cs="宋体"/>
          <w:kern w:val="0"/>
          <w:sz w:val="24"/>
        </w:rPr>
        <w:t>EITs</w:t>
      </w:r>
      <w:r>
        <w:rPr>
          <w:rFonts w:ascii="宋体" w:cs="宋体" w:hint="eastAsia"/>
          <w:kern w:val="0"/>
          <w:sz w:val="24"/>
        </w:rPr>
        <w:t>投资策略</w:t>
      </w:r>
      <w:r w:rsidRPr="00BC3EAD">
        <w:rPr>
          <w:rFonts w:ascii="宋体" w:cs="宋体" w:hint="eastAsia"/>
          <w:kern w:val="0"/>
          <w:sz w:val="24"/>
        </w:rPr>
        <w:t>：“</w:t>
      </w:r>
      <w:r w:rsidR="00AC0C73" w:rsidRPr="00AC0C73">
        <w:rPr>
          <w:rFonts w:ascii="宋体" w:cs="宋体" w:hint="eastAsia"/>
          <w:bCs/>
          <w:kern w:val="0"/>
          <w:sz w:val="24"/>
        </w:rPr>
        <w:t>本基金可投资公募REITs。本基金将综合考量宏观经济运行情况、基金资产配置策略、底层资产运营情况、流动性及估值水平等因素，对公募REITs的投资价值进行深入研究，精选出具有较高投资价值的公募REITs</w:t>
      </w:r>
      <w:r w:rsidR="00AC0C73">
        <w:rPr>
          <w:rFonts w:ascii="宋体" w:cs="宋体" w:hint="eastAsia"/>
          <w:bCs/>
          <w:kern w:val="0"/>
          <w:sz w:val="24"/>
        </w:rPr>
        <w:t>进行投资</w:t>
      </w:r>
      <w:r w:rsidR="00511C08" w:rsidRPr="00511C08">
        <w:rPr>
          <w:rFonts w:ascii="宋体" w:cs="宋体" w:hint="eastAsia"/>
          <w:bCs/>
          <w:kern w:val="0"/>
          <w:sz w:val="24"/>
        </w:rPr>
        <w:t>。</w:t>
      </w:r>
      <w:r w:rsidR="00A5357D" w:rsidRPr="00A5357D">
        <w:rPr>
          <w:rFonts w:ascii="宋体" w:cs="宋体" w:hint="eastAsia"/>
          <w:bCs/>
          <w:kern w:val="0"/>
          <w:sz w:val="24"/>
        </w:rPr>
        <w:t>本基金根据投资策略需要或市场环境变化，可选择将部分基金资产投资于公募REITs，但本基金并非必然投资公募REITs。</w:t>
      </w:r>
      <w:r w:rsidRPr="00BC3EAD">
        <w:rPr>
          <w:rFonts w:ascii="宋体" w:cs="宋体" w:hint="eastAsia"/>
          <w:bCs/>
          <w:kern w:val="0"/>
          <w:sz w:val="24"/>
        </w:rPr>
        <w:t>”</w:t>
      </w:r>
    </w:p>
    <w:p w:rsidR="00406D02" w:rsidRDefault="007A0F65" w:rsidP="00CB735F">
      <w:pPr>
        <w:pStyle w:val="a3"/>
        <w:spacing w:line="360" w:lineRule="auto"/>
        <w:ind w:rightChars="40" w:right="84" w:firstLine="480"/>
        <w:rPr>
          <w:rFonts w:hAnsi="宋体" w:cs="宋体"/>
          <w:bCs/>
          <w:kern w:val="0"/>
          <w:sz w:val="24"/>
        </w:rPr>
      </w:pPr>
      <w:r>
        <w:rPr>
          <w:rFonts w:ascii="宋体" w:cs="宋体"/>
          <w:bCs/>
          <w:kern w:val="0"/>
          <w:sz w:val="24"/>
        </w:rPr>
        <w:t>（3）</w:t>
      </w:r>
      <w:r w:rsidR="005C361B" w:rsidRPr="005C361B">
        <w:rPr>
          <w:rFonts w:hAnsi="宋体" w:cs="宋体" w:hint="eastAsia"/>
          <w:kern w:val="0"/>
          <w:sz w:val="24"/>
        </w:rPr>
        <w:t>公募</w:t>
      </w:r>
      <w:r w:rsidR="005C361B" w:rsidRPr="005C361B">
        <w:rPr>
          <w:rFonts w:hAnsi="宋体" w:cs="宋体"/>
          <w:kern w:val="0"/>
          <w:sz w:val="24"/>
        </w:rPr>
        <w:t>REITs</w:t>
      </w:r>
      <w:r w:rsidR="005C361B" w:rsidRPr="005C361B">
        <w:rPr>
          <w:rFonts w:hAnsi="宋体" w:cs="宋体" w:hint="eastAsia"/>
          <w:kern w:val="0"/>
          <w:sz w:val="24"/>
        </w:rPr>
        <w:t>适用基金合同关于</w:t>
      </w:r>
      <w:r w:rsidR="005C361B" w:rsidRPr="005C361B">
        <w:rPr>
          <w:rFonts w:ascii="宋体" w:hAnsi="宋体" w:cs="宋体" w:hint="eastAsia"/>
          <w:kern w:val="0"/>
          <w:sz w:val="24"/>
        </w:rPr>
        <w:t>封闭式基金所规定的</w:t>
      </w:r>
      <w:r w:rsidR="005C361B" w:rsidRPr="005C361B">
        <w:rPr>
          <w:rFonts w:hAnsi="宋体" w:cs="宋体" w:hint="eastAsia"/>
          <w:kern w:val="0"/>
          <w:sz w:val="24"/>
        </w:rPr>
        <w:t>估值方法，并在</w:t>
      </w:r>
      <w:r w:rsidR="005C361B" w:rsidRPr="005C361B">
        <w:rPr>
          <w:rFonts w:hAnsi="宋体" w:cs="宋体"/>
          <w:kern w:val="0"/>
          <w:sz w:val="24"/>
        </w:rPr>
        <w:t>ETF</w:t>
      </w:r>
      <w:r w:rsidR="005C361B" w:rsidRPr="005C361B">
        <w:rPr>
          <w:rFonts w:hAnsi="宋体" w:cs="宋体" w:hint="eastAsia"/>
          <w:kern w:val="0"/>
          <w:sz w:val="24"/>
        </w:rPr>
        <w:t>基金、境内上市定期开放式基金、封闭式基金估值条款部分明确</w:t>
      </w:r>
      <w:r w:rsidR="00406D02" w:rsidRPr="00406D02">
        <w:rPr>
          <w:rFonts w:hAnsi="宋体" w:cs="宋体" w:hint="eastAsia"/>
          <w:bCs/>
          <w:kern w:val="0"/>
          <w:sz w:val="24"/>
        </w:rPr>
        <w:t>：“</w:t>
      </w:r>
      <w:r w:rsidR="00511C08" w:rsidRPr="00511C08">
        <w:rPr>
          <w:rFonts w:hAnsi="宋体" w:cs="宋体" w:hint="eastAsia"/>
          <w:bCs/>
          <w:kern w:val="0"/>
          <w:sz w:val="24"/>
        </w:rPr>
        <w:t>当基金管理人认为所投资基金按上述条款进行估值存在不公允时，应与</w:t>
      </w:r>
      <w:r w:rsidR="005D66AA">
        <w:rPr>
          <w:rFonts w:hAnsi="宋体" w:cs="宋体" w:hint="eastAsia"/>
          <w:bCs/>
          <w:kern w:val="0"/>
          <w:sz w:val="24"/>
        </w:rPr>
        <w:t>基金</w:t>
      </w:r>
      <w:r w:rsidR="00511C08" w:rsidRPr="00511C08">
        <w:rPr>
          <w:rFonts w:hAnsi="宋体" w:cs="宋体" w:hint="eastAsia"/>
          <w:bCs/>
          <w:kern w:val="0"/>
          <w:sz w:val="24"/>
        </w:rPr>
        <w:t>托管人协商一致采用合理的估值技术或估值标准确定其公允价值。</w:t>
      </w:r>
      <w:r w:rsidR="00406D02" w:rsidRPr="00406D02">
        <w:rPr>
          <w:rFonts w:hAnsi="宋体" w:cs="宋体" w:hint="eastAsia"/>
          <w:bCs/>
          <w:kern w:val="0"/>
          <w:sz w:val="24"/>
        </w:rPr>
        <w:t>”</w:t>
      </w:r>
    </w:p>
    <w:p w:rsidR="0073139C" w:rsidRPr="0073139C" w:rsidRDefault="0073139C" w:rsidP="0073139C">
      <w:pPr>
        <w:pStyle w:val="a3"/>
        <w:spacing w:line="360" w:lineRule="auto"/>
        <w:ind w:rightChars="40" w:right="84" w:firstLine="480"/>
        <w:rPr>
          <w:rFonts w:hAnsi="宋体" w:cs="宋体"/>
          <w:kern w:val="0"/>
          <w:sz w:val="24"/>
        </w:rPr>
      </w:pPr>
      <w:r>
        <w:rPr>
          <w:rFonts w:hAnsi="宋体" w:cs="宋体"/>
          <w:kern w:val="0"/>
          <w:sz w:val="24"/>
        </w:rPr>
        <w:t>2</w:t>
      </w:r>
      <w:r>
        <w:rPr>
          <w:rFonts w:hAnsi="宋体" w:cs="宋体" w:hint="eastAsia"/>
          <w:kern w:val="0"/>
          <w:sz w:val="24"/>
        </w:rPr>
        <w:t>、</w:t>
      </w:r>
      <w:r w:rsidRPr="000358E7">
        <w:rPr>
          <w:rFonts w:hAnsi="宋体" w:cs="宋体" w:hint="eastAsia"/>
          <w:sz w:val="24"/>
        </w:rPr>
        <w:t>托管协议涉及上述内容的条款已一并调整。</w:t>
      </w:r>
    </w:p>
    <w:p w:rsidR="00FF3F56" w:rsidRDefault="0073139C" w:rsidP="00FF3F56">
      <w:pPr>
        <w:pStyle w:val="a3"/>
        <w:spacing w:line="360" w:lineRule="auto"/>
        <w:ind w:rightChars="40" w:right="84" w:firstLine="480"/>
        <w:rPr>
          <w:rFonts w:hAnsi="宋体" w:cs="宋体"/>
          <w:bCs/>
          <w:kern w:val="0"/>
          <w:sz w:val="24"/>
        </w:rPr>
      </w:pPr>
      <w:r>
        <w:rPr>
          <w:rFonts w:hAnsi="宋体" w:cs="宋体"/>
          <w:bCs/>
          <w:kern w:val="0"/>
          <w:sz w:val="24"/>
        </w:rPr>
        <w:t>3</w:t>
      </w:r>
      <w:r w:rsidR="008C184C">
        <w:rPr>
          <w:rFonts w:hAnsi="宋体" w:cs="宋体" w:hint="eastAsia"/>
          <w:bCs/>
          <w:kern w:val="0"/>
          <w:sz w:val="24"/>
        </w:rPr>
        <w:t>、在招募说明书“</w:t>
      </w:r>
      <w:r w:rsidR="00EC7C9B">
        <w:rPr>
          <w:rFonts w:hAnsi="宋体" w:cs="宋体" w:hint="eastAsia"/>
          <w:bCs/>
          <w:kern w:val="0"/>
          <w:sz w:val="24"/>
        </w:rPr>
        <w:t>风险</w:t>
      </w:r>
      <w:r w:rsidR="008C184C">
        <w:rPr>
          <w:rFonts w:hAnsi="宋体" w:cs="宋体" w:hint="eastAsia"/>
          <w:bCs/>
          <w:kern w:val="0"/>
          <w:sz w:val="24"/>
        </w:rPr>
        <w:t>揭示”章节</w:t>
      </w:r>
      <w:r w:rsidR="00EC7C9B">
        <w:rPr>
          <w:rFonts w:hAnsi="宋体" w:cs="宋体" w:hint="eastAsia"/>
          <w:bCs/>
          <w:kern w:val="0"/>
          <w:sz w:val="24"/>
        </w:rPr>
        <w:t>中增加：“</w:t>
      </w:r>
      <w:r w:rsidR="00FF3F56">
        <w:rPr>
          <w:rFonts w:hAnsi="宋体" w:cs="宋体" w:hint="eastAsia"/>
          <w:bCs/>
          <w:kern w:val="0"/>
          <w:sz w:val="24"/>
        </w:rPr>
        <w:t>投资</w:t>
      </w:r>
      <w:r w:rsidR="00FF3F56" w:rsidRPr="00FF3F56">
        <w:rPr>
          <w:rFonts w:hAnsi="宋体" w:cs="宋体" w:hint="eastAsia"/>
          <w:bCs/>
          <w:kern w:val="0"/>
          <w:sz w:val="24"/>
        </w:rPr>
        <w:t>公募</w:t>
      </w:r>
      <w:r w:rsidR="00FF3F56" w:rsidRPr="00FF3F56">
        <w:rPr>
          <w:rFonts w:hAnsi="宋体" w:cs="宋体" w:hint="eastAsia"/>
          <w:bCs/>
          <w:kern w:val="0"/>
          <w:sz w:val="24"/>
        </w:rPr>
        <w:t>REITs</w:t>
      </w:r>
      <w:r w:rsidR="00FF3F56">
        <w:rPr>
          <w:rFonts w:hAnsi="宋体" w:cs="宋体" w:hint="eastAsia"/>
          <w:bCs/>
          <w:kern w:val="0"/>
          <w:sz w:val="24"/>
        </w:rPr>
        <w:t>的风险。</w:t>
      </w:r>
    </w:p>
    <w:p w:rsidR="00FF3F56" w:rsidRPr="00FF3F56" w:rsidRDefault="00FF3F56" w:rsidP="00FF3F56">
      <w:pPr>
        <w:pStyle w:val="a3"/>
        <w:spacing w:line="360" w:lineRule="auto"/>
        <w:ind w:rightChars="40" w:right="84" w:firstLine="480"/>
        <w:rPr>
          <w:rFonts w:hAnsi="宋体" w:cs="宋体"/>
          <w:sz w:val="24"/>
        </w:rPr>
      </w:pPr>
      <w:r w:rsidRPr="00FF3F56">
        <w:rPr>
          <w:rFonts w:hAnsi="宋体" w:cs="宋体" w:hint="eastAsia"/>
          <w:bCs/>
          <w:kern w:val="0"/>
          <w:sz w:val="24"/>
        </w:rPr>
        <w:t>公募</w:t>
      </w:r>
      <w:r w:rsidRPr="00FF3F56">
        <w:rPr>
          <w:rFonts w:hAnsi="宋体" w:cs="宋体" w:hint="eastAsia"/>
          <w:bCs/>
          <w:kern w:val="0"/>
          <w:sz w:val="24"/>
        </w:rPr>
        <w:t>REITs</w:t>
      </w:r>
      <w:r w:rsidRPr="00B346E4">
        <w:rPr>
          <w:rFonts w:hAnsi="宋体" w:cs="宋体" w:hint="eastAsia"/>
          <w:sz w:val="24"/>
        </w:rPr>
        <w:t>采用</w:t>
      </w:r>
      <w:r w:rsidR="007205A3">
        <w:rPr>
          <w:rFonts w:hAnsi="宋体" w:cs="宋体" w:hint="eastAsia"/>
          <w:sz w:val="24"/>
        </w:rPr>
        <w:t>“</w:t>
      </w:r>
      <w:r w:rsidRPr="00B346E4">
        <w:rPr>
          <w:rFonts w:hAnsi="宋体" w:cs="宋体" w:hint="eastAsia"/>
          <w:sz w:val="24"/>
        </w:rPr>
        <w:t>公募基金</w:t>
      </w:r>
      <w:r w:rsidRPr="00B346E4">
        <w:rPr>
          <w:rFonts w:hAnsi="宋体" w:cs="宋体" w:hint="eastAsia"/>
          <w:sz w:val="24"/>
        </w:rPr>
        <w:t>+</w:t>
      </w:r>
      <w:r w:rsidRPr="00B346E4">
        <w:rPr>
          <w:rFonts w:hAnsi="宋体" w:cs="宋体" w:hint="eastAsia"/>
          <w:sz w:val="24"/>
        </w:rPr>
        <w:t>基础设施资产支持证券</w:t>
      </w:r>
      <w:r w:rsidR="007205A3">
        <w:rPr>
          <w:rFonts w:hAnsi="宋体" w:cs="宋体"/>
          <w:sz w:val="24"/>
        </w:rPr>
        <w:t>”</w:t>
      </w:r>
      <w:r w:rsidRPr="00B346E4">
        <w:rPr>
          <w:rFonts w:hAnsi="宋体" w:cs="宋体" w:hint="eastAsia"/>
          <w:sz w:val="24"/>
        </w:rPr>
        <w:t>的产品结构，主要特点如下：一是</w:t>
      </w:r>
      <w:r w:rsidR="00B61377" w:rsidRPr="00B61377">
        <w:rPr>
          <w:rFonts w:hAnsi="宋体" w:cs="宋体" w:hint="eastAsia"/>
          <w:bCs/>
          <w:sz w:val="24"/>
        </w:rPr>
        <w:t>公募</w:t>
      </w:r>
      <w:r w:rsidR="00B61377" w:rsidRPr="00B61377">
        <w:rPr>
          <w:rFonts w:hAnsi="宋体" w:cs="宋体" w:hint="eastAsia"/>
          <w:bCs/>
          <w:sz w:val="24"/>
        </w:rPr>
        <w:t>REITs</w:t>
      </w:r>
      <w:r w:rsidRPr="00B346E4">
        <w:rPr>
          <w:rFonts w:hAnsi="宋体" w:cs="宋体" w:hint="eastAsia"/>
          <w:sz w:val="24"/>
        </w:rPr>
        <w:t>与投资股票或债券的公募基金具有不同的风险收益特征，</w:t>
      </w:r>
      <w:r w:rsidRPr="00B346E4">
        <w:rPr>
          <w:rFonts w:hAnsi="宋体" w:cs="宋体" w:hint="eastAsia"/>
          <w:sz w:val="24"/>
        </w:rPr>
        <w:t>80%</w:t>
      </w:r>
      <w:r w:rsidRPr="00B346E4">
        <w:rPr>
          <w:rFonts w:hAnsi="宋体" w:cs="宋体" w:hint="eastAsia"/>
          <w:sz w:val="24"/>
        </w:rPr>
        <w:t>以上基金资产投资于基础设施资产支持证券，并持有其全部份额，基金通过基础设施资产支持证券持有基础设施项目公司全部股权，穿透取得基础设施项目完全所有权或经营权利；二是</w:t>
      </w:r>
      <w:r w:rsidR="00B61377" w:rsidRPr="00E137CB">
        <w:rPr>
          <w:rFonts w:hAnsi="宋体" w:hint="eastAsia"/>
          <w:bCs/>
          <w:kern w:val="0"/>
          <w:sz w:val="24"/>
        </w:rPr>
        <w:t>公募</w:t>
      </w:r>
      <w:r w:rsidR="00B61377" w:rsidRPr="00E137CB">
        <w:rPr>
          <w:rFonts w:hAnsi="宋体" w:hint="eastAsia"/>
          <w:bCs/>
          <w:kern w:val="0"/>
          <w:sz w:val="24"/>
        </w:rPr>
        <w:t>REITs</w:t>
      </w:r>
      <w:r w:rsidRPr="00B346E4">
        <w:rPr>
          <w:rFonts w:hAnsi="宋体" w:cs="宋体" w:hint="eastAsia"/>
          <w:sz w:val="24"/>
        </w:rPr>
        <w:t>以获取基础设施项目租金、收费等稳定现金流为主要目的，收益分配比例不低于合并后基金年度可供分配金额的</w:t>
      </w:r>
      <w:r w:rsidRPr="00B346E4">
        <w:rPr>
          <w:rFonts w:hAnsi="宋体" w:cs="宋体" w:hint="eastAsia"/>
          <w:sz w:val="24"/>
        </w:rPr>
        <w:t xml:space="preserve"> 90%</w:t>
      </w:r>
      <w:r w:rsidRPr="00B346E4">
        <w:rPr>
          <w:rFonts w:hAnsi="宋体" w:cs="宋体" w:hint="eastAsia"/>
          <w:sz w:val="24"/>
        </w:rPr>
        <w:t>；三是</w:t>
      </w:r>
      <w:r w:rsidR="00746F59" w:rsidRPr="00E137CB">
        <w:rPr>
          <w:rFonts w:hAnsi="宋体" w:hint="eastAsia"/>
          <w:bCs/>
          <w:kern w:val="0"/>
          <w:sz w:val="24"/>
        </w:rPr>
        <w:t>公募</w:t>
      </w:r>
      <w:r w:rsidR="00746F59" w:rsidRPr="00E137CB">
        <w:rPr>
          <w:rFonts w:hAnsi="宋体" w:hint="eastAsia"/>
          <w:bCs/>
          <w:kern w:val="0"/>
          <w:sz w:val="24"/>
        </w:rPr>
        <w:t>REITs</w:t>
      </w:r>
      <w:r w:rsidRPr="00B346E4">
        <w:rPr>
          <w:rFonts w:hAnsi="宋体" w:cs="宋体" w:hint="eastAsia"/>
          <w:sz w:val="24"/>
        </w:rPr>
        <w:t>采取封闭式运作，不开放申购与赎回，在证券交易所上市。</w:t>
      </w:r>
    </w:p>
    <w:p w:rsidR="00EC7C9B" w:rsidRDefault="00EC7C9B" w:rsidP="00EC7C9B">
      <w:pPr>
        <w:pStyle w:val="a3"/>
        <w:spacing w:line="360" w:lineRule="auto"/>
        <w:ind w:rightChars="40" w:right="84" w:firstLine="480"/>
        <w:rPr>
          <w:rFonts w:hAnsi="宋体" w:cs="宋体"/>
          <w:sz w:val="24"/>
        </w:rPr>
      </w:pPr>
      <w:r w:rsidRPr="00B346E4">
        <w:rPr>
          <w:rFonts w:hAnsi="宋体" w:cs="宋体" w:hint="eastAsia"/>
          <w:sz w:val="24"/>
        </w:rPr>
        <w:t>投资</w:t>
      </w:r>
      <w:r w:rsidR="00E5109D" w:rsidRPr="00E137CB">
        <w:rPr>
          <w:rFonts w:hAnsi="宋体" w:hint="eastAsia"/>
          <w:bCs/>
          <w:kern w:val="0"/>
          <w:sz w:val="24"/>
        </w:rPr>
        <w:t>公募</w:t>
      </w:r>
      <w:r w:rsidR="00E5109D" w:rsidRPr="00E137CB">
        <w:rPr>
          <w:rFonts w:hAnsi="宋体" w:hint="eastAsia"/>
          <w:bCs/>
          <w:kern w:val="0"/>
          <w:sz w:val="24"/>
        </w:rPr>
        <w:t>REITs</w:t>
      </w:r>
      <w:r w:rsidRPr="00B346E4">
        <w:rPr>
          <w:rFonts w:hAnsi="宋体" w:cs="宋体" w:hint="eastAsia"/>
          <w:sz w:val="24"/>
        </w:rPr>
        <w:t>可能面临以下风险，包括但不限于：</w:t>
      </w:r>
    </w:p>
    <w:p w:rsidR="00EC7C9B" w:rsidRDefault="00EC7C9B" w:rsidP="00EC7C9B">
      <w:pPr>
        <w:pStyle w:val="a3"/>
        <w:spacing w:line="360" w:lineRule="auto"/>
        <w:ind w:rightChars="40" w:right="84" w:firstLine="480"/>
        <w:rPr>
          <w:rFonts w:hAnsi="宋体" w:cs="宋体"/>
          <w:sz w:val="24"/>
        </w:rPr>
      </w:pPr>
      <w:r w:rsidRPr="00B346E4">
        <w:rPr>
          <w:rFonts w:hAnsi="宋体" w:cs="宋体" w:hint="eastAsia"/>
          <w:sz w:val="24"/>
        </w:rPr>
        <w:t>1</w:t>
      </w:r>
      <w:r w:rsidRPr="00B346E4">
        <w:rPr>
          <w:rFonts w:hAnsi="宋体" w:cs="宋体" w:hint="eastAsia"/>
          <w:sz w:val="24"/>
        </w:rPr>
        <w:t>）基金价格波动风险。</w:t>
      </w:r>
    </w:p>
    <w:p w:rsidR="00EC7C9B" w:rsidRPr="00B346E4" w:rsidRDefault="00E5109D" w:rsidP="00EC7C9B">
      <w:pPr>
        <w:pStyle w:val="a3"/>
        <w:spacing w:line="360" w:lineRule="auto"/>
        <w:ind w:rightChars="40" w:right="84" w:firstLine="480"/>
        <w:rPr>
          <w:rFonts w:hAnsi="宋体" w:cs="宋体"/>
          <w:sz w:val="24"/>
        </w:rPr>
      </w:pPr>
      <w:r w:rsidRPr="00E137CB">
        <w:rPr>
          <w:rFonts w:hAnsi="宋体" w:hint="eastAsia"/>
          <w:bCs/>
          <w:kern w:val="0"/>
          <w:sz w:val="24"/>
        </w:rPr>
        <w:t>公募</w:t>
      </w:r>
      <w:r w:rsidRPr="00E137CB">
        <w:rPr>
          <w:rFonts w:hAnsi="宋体" w:hint="eastAsia"/>
          <w:bCs/>
          <w:kern w:val="0"/>
          <w:sz w:val="24"/>
        </w:rPr>
        <w:t>REITs</w:t>
      </w:r>
      <w:r w:rsidR="00EC7C9B" w:rsidRPr="00B346E4">
        <w:rPr>
          <w:rFonts w:hAnsi="宋体" w:cs="宋体" w:hint="eastAsia"/>
          <w:sz w:val="24"/>
        </w:rPr>
        <w:t>大部分资产投资于基础设施项目，具有权益属性，受经济环境、运营管理等因素影响，基础设施项目市场价值及现金流情况可能发生变化，可能引起</w:t>
      </w:r>
      <w:r w:rsidRPr="00E137CB">
        <w:rPr>
          <w:rFonts w:hAnsi="宋体" w:hint="eastAsia"/>
          <w:bCs/>
          <w:kern w:val="0"/>
          <w:sz w:val="24"/>
        </w:rPr>
        <w:t>公募</w:t>
      </w:r>
      <w:r w:rsidRPr="00E137CB">
        <w:rPr>
          <w:rFonts w:hAnsi="宋体" w:hint="eastAsia"/>
          <w:bCs/>
          <w:kern w:val="0"/>
          <w:sz w:val="24"/>
        </w:rPr>
        <w:t>REITs</w:t>
      </w:r>
      <w:r w:rsidR="00EC7C9B" w:rsidRPr="00B346E4">
        <w:rPr>
          <w:rFonts w:hAnsi="宋体" w:cs="宋体" w:hint="eastAsia"/>
          <w:sz w:val="24"/>
        </w:rPr>
        <w:t>价格波动，甚至存在基础设施项目遭遇极端事件（如地震、台风等）发生较大损失而影响基金价格的风险。</w:t>
      </w:r>
    </w:p>
    <w:p w:rsidR="00EC7C9B" w:rsidRDefault="00EC7C9B" w:rsidP="00EC7C9B">
      <w:pPr>
        <w:pStyle w:val="a3"/>
        <w:spacing w:line="360" w:lineRule="auto"/>
        <w:ind w:rightChars="40" w:right="84" w:firstLine="480"/>
        <w:rPr>
          <w:rFonts w:hAnsi="宋体" w:cs="宋体"/>
          <w:sz w:val="24"/>
        </w:rPr>
      </w:pPr>
      <w:r>
        <w:rPr>
          <w:rFonts w:hAnsi="宋体" w:cs="宋体"/>
          <w:sz w:val="24"/>
        </w:rPr>
        <w:t>2</w:t>
      </w:r>
      <w:r w:rsidRPr="00B346E4">
        <w:rPr>
          <w:rFonts w:hAnsi="宋体" w:cs="宋体" w:hint="eastAsia"/>
          <w:sz w:val="24"/>
        </w:rPr>
        <w:t>）基础设施项目运营风险。</w:t>
      </w:r>
    </w:p>
    <w:p w:rsidR="00EC7C9B" w:rsidRPr="00B346E4" w:rsidRDefault="00E5109D" w:rsidP="00EC7C9B">
      <w:pPr>
        <w:pStyle w:val="a3"/>
        <w:spacing w:line="360" w:lineRule="auto"/>
        <w:ind w:rightChars="40" w:right="84" w:firstLine="480"/>
        <w:rPr>
          <w:rFonts w:hAnsi="宋体" w:cs="宋体"/>
          <w:sz w:val="24"/>
        </w:rPr>
      </w:pPr>
      <w:r w:rsidRPr="00E137CB">
        <w:rPr>
          <w:rFonts w:hAnsi="宋体" w:hint="eastAsia"/>
          <w:bCs/>
          <w:kern w:val="0"/>
          <w:sz w:val="24"/>
        </w:rPr>
        <w:t>公募</w:t>
      </w:r>
      <w:r w:rsidRPr="00E137CB">
        <w:rPr>
          <w:rFonts w:hAnsi="宋体" w:hint="eastAsia"/>
          <w:bCs/>
          <w:kern w:val="0"/>
          <w:sz w:val="24"/>
        </w:rPr>
        <w:t>REITs</w:t>
      </w:r>
      <w:r w:rsidR="00EC7C9B" w:rsidRPr="00B346E4">
        <w:rPr>
          <w:rFonts w:hAnsi="宋体" w:cs="宋体" w:hint="eastAsia"/>
          <w:sz w:val="24"/>
        </w:rPr>
        <w:t>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w:t>
      </w:r>
      <w:r>
        <w:rPr>
          <w:rFonts w:hAnsi="宋体" w:cs="宋体" w:hint="eastAsia"/>
          <w:sz w:val="24"/>
        </w:rPr>
        <w:t>公募</w:t>
      </w:r>
      <w:r w:rsidRPr="00E137CB">
        <w:rPr>
          <w:rFonts w:hAnsi="宋体" w:hint="eastAsia"/>
          <w:bCs/>
          <w:kern w:val="0"/>
          <w:sz w:val="24"/>
        </w:rPr>
        <w:t>REITs</w:t>
      </w:r>
      <w:r w:rsidR="00EC7C9B" w:rsidRPr="00B346E4">
        <w:rPr>
          <w:rFonts w:hAnsi="宋体" w:cs="宋体" w:hint="eastAsia"/>
          <w:sz w:val="24"/>
        </w:rPr>
        <w:t>可直接或间接对外借款，存在基础设施项目经营不达预期，基金无法偿还借款的风险。</w:t>
      </w:r>
    </w:p>
    <w:p w:rsidR="00EC7C9B" w:rsidRDefault="00EC7C9B" w:rsidP="00EC7C9B">
      <w:pPr>
        <w:pStyle w:val="a3"/>
        <w:spacing w:line="360" w:lineRule="auto"/>
        <w:ind w:rightChars="40" w:right="84" w:firstLine="480"/>
        <w:rPr>
          <w:rFonts w:hAnsi="宋体" w:cs="宋体"/>
          <w:sz w:val="24"/>
        </w:rPr>
      </w:pPr>
      <w:r>
        <w:rPr>
          <w:rFonts w:hAnsi="宋体" w:cs="宋体"/>
          <w:sz w:val="24"/>
        </w:rPr>
        <w:t>3</w:t>
      </w:r>
      <w:r w:rsidRPr="00B346E4">
        <w:rPr>
          <w:rFonts w:hAnsi="宋体" w:cs="宋体" w:hint="eastAsia"/>
          <w:sz w:val="24"/>
        </w:rPr>
        <w:t>）流动性风险。</w:t>
      </w:r>
    </w:p>
    <w:p w:rsidR="00EC7C9B" w:rsidRPr="00B346E4" w:rsidRDefault="00E5109D" w:rsidP="00EC7C9B">
      <w:pPr>
        <w:pStyle w:val="a3"/>
        <w:spacing w:line="360" w:lineRule="auto"/>
        <w:ind w:rightChars="40" w:right="84" w:firstLine="480"/>
        <w:rPr>
          <w:rFonts w:hAnsi="宋体" w:cs="宋体"/>
          <w:sz w:val="24"/>
        </w:rPr>
      </w:pPr>
      <w:r w:rsidRPr="001649E8">
        <w:rPr>
          <w:rFonts w:hAnsi="宋体" w:hint="eastAsia"/>
          <w:bCs/>
          <w:kern w:val="0"/>
          <w:sz w:val="24"/>
        </w:rPr>
        <w:t>公募</w:t>
      </w:r>
      <w:r w:rsidRPr="001649E8">
        <w:rPr>
          <w:rFonts w:hAnsi="宋体" w:hint="eastAsia"/>
          <w:bCs/>
          <w:kern w:val="0"/>
          <w:sz w:val="24"/>
        </w:rPr>
        <w:t>REITs</w:t>
      </w:r>
      <w:r w:rsidR="00EC7C9B" w:rsidRPr="00B346E4">
        <w:rPr>
          <w:rFonts w:hAnsi="宋体" w:cs="宋体" w:hint="eastAsia"/>
          <w:sz w:val="24"/>
        </w:rPr>
        <w:t>采取封闭式运作，不开通申购赎回，只能在二级市场交易，存在流动性不足的风险。</w:t>
      </w:r>
    </w:p>
    <w:p w:rsidR="00E5109D" w:rsidRDefault="00EC7C9B" w:rsidP="00EC7C9B">
      <w:pPr>
        <w:pStyle w:val="a3"/>
        <w:spacing w:line="360" w:lineRule="auto"/>
        <w:ind w:rightChars="40" w:right="84" w:firstLine="480"/>
        <w:rPr>
          <w:rFonts w:hAnsi="宋体" w:cs="宋体"/>
          <w:sz w:val="24"/>
        </w:rPr>
      </w:pPr>
      <w:r>
        <w:rPr>
          <w:rFonts w:hAnsi="宋体" w:cs="宋体"/>
          <w:sz w:val="24"/>
        </w:rPr>
        <w:t>4</w:t>
      </w:r>
      <w:r w:rsidRPr="00B346E4">
        <w:rPr>
          <w:rFonts w:hAnsi="宋体" w:cs="宋体" w:hint="eastAsia"/>
          <w:sz w:val="24"/>
        </w:rPr>
        <w:t>）终止上市风险。</w:t>
      </w:r>
    </w:p>
    <w:p w:rsidR="00EC7C9B" w:rsidRPr="00B346E4" w:rsidRDefault="00E5109D" w:rsidP="00EC7C9B">
      <w:pPr>
        <w:pStyle w:val="a3"/>
        <w:spacing w:line="360" w:lineRule="auto"/>
        <w:ind w:rightChars="40" w:right="84" w:firstLine="480"/>
        <w:rPr>
          <w:rFonts w:hAnsi="宋体" w:cs="宋体"/>
          <w:sz w:val="24"/>
        </w:rPr>
      </w:pPr>
      <w:r w:rsidRPr="001649E8">
        <w:rPr>
          <w:rFonts w:hAnsi="宋体" w:hint="eastAsia"/>
          <w:bCs/>
          <w:kern w:val="0"/>
          <w:sz w:val="24"/>
        </w:rPr>
        <w:t>公募</w:t>
      </w:r>
      <w:r w:rsidRPr="001649E8">
        <w:rPr>
          <w:rFonts w:hAnsi="宋体" w:hint="eastAsia"/>
          <w:bCs/>
          <w:kern w:val="0"/>
          <w:sz w:val="24"/>
        </w:rPr>
        <w:t>REITs</w:t>
      </w:r>
      <w:r w:rsidR="00EC7C9B" w:rsidRPr="00B346E4">
        <w:rPr>
          <w:rFonts w:hAnsi="宋体" w:cs="宋体" w:hint="eastAsia"/>
          <w:sz w:val="24"/>
        </w:rPr>
        <w:t>运作过程中可能因触发法律法规或交易所规定的终止上市情形而终止上市，导致投资者无法在二级市场交易。</w:t>
      </w:r>
    </w:p>
    <w:p w:rsidR="00EC7C9B" w:rsidRDefault="00EC7C9B" w:rsidP="00EC7C9B">
      <w:pPr>
        <w:pStyle w:val="a3"/>
        <w:spacing w:line="360" w:lineRule="auto"/>
        <w:ind w:rightChars="40" w:right="84" w:firstLine="480"/>
        <w:rPr>
          <w:rFonts w:hAnsi="宋体" w:cs="宋体"/>
          <w:sz w:val="24"/>
        </w:rPr>
      </w:pPr>
      <w:r>
        <w:rPr>
          <w:rFonts w:hAnsi="宋体" w:cs="宋体" w:hint="eastAsia"/>
          <w:sz w:val="24"/>
        </w:rPr>
        <w:t>5</w:t>
      </w:r>
      <w:r>
        <w:rPr>
          <w:rFonts w:hAnsi="宋体" w:cs="宋体" w:hint="eastAsia"/>
          <w:sz w:val="24"/>
        </w:rPr>
        <w:t>）</w:t>
      </w:r>
      <w:r w:rsidRPr="00B346E4">
        <w:rPr>
          <w:rFonts w:hAnsi="宋体" w:cs="宋体" w:hint="eastAsia"/>
          <w:sz w:val="24"/>
        </w:rPr>
        <w:t>税收等政策调整风险。</w:t>
      </w:r>
    </w:p>
    <w:p w:rsidR="00EC7C9B" w:rsidRDefault="004258C3" w:rsidP="00EC7C9B">
      <w:pPr>
        <w:pStyle w:val="a3"/>
        <w:spacing w:line="360" w:lineRule="auto"/>
        <w:ind w:rightChars="40" w:right="84" w:firstLine="480"/>
        <w:rPr>
          <w:rFonts w:hAnsi="宋体" w:cs="宋体"/>
          <w:sz w:val="24"/>
        </w:rPr>
      </w:pPr>
      <w:r w:rsidRPr="001649E8">
        <w:rPr>
          <w:rFonts w:hAnsi="宋体" w:hint="eastAsia"/>
          <w:bCs/>
          <w:kern w:val="0"/>
          <w:sz w:val="24"/>
        </w:rPr>
        <w:t>公募</w:t>
      </w:r>
      <w:r w:rsidRPr="001649E8">
        <w:rPr>
          <w:rFonts w:hAnsi="宋体" w:hint="eastAsia"/>
          <w:bCs/>
          <w:kern w:val="0"/>
          <w:sz w:val="24"/>
        </w:rPr>
        <w:t>REITs</w:t>
      </w:r>
      <w:r w:rsidR="00EC7C9B" w:rsidRPr="00B346E4">
        <w:rPr>
          <w:rFonts w:hAnsi="宋体" w:cs="宋体" w:hint="eastAsia"/>
          <w:sz w:val="24"/>
        </w:rPr>
        <w:t>运作过程中可能涉及基金</w:t>
      </w:r>
      <w:r>
        <w:rPr>
          <w:rFonts w:hAnsi="宋体" w:cs="宋体" w:hint="eastAsia"/>
          <w:sz w:val="24"/>
        </w:rPr>
        <w:t>份额</w:t>
      </w:r>
      <w:r w:rsidR="00EC7C9B" w:rsidRPr="00B346E4">
        <w:rPr>
          <w:rFonts w:hAnsi="宋体" w:cs="宋体" w:hint="eastAsia"/>
          <w:sz w:val="24"/>
        </w:rPr>
        <w:t>持有人、公募基金、资产支持证券、项目公司等多层面税负，如果国家税收等政策发生调整，可能影响投资运作与基金收益。</w:t>
      </w:r>
    </w:p>
    <w:p w:rsidR="00EC7C9B" w:rsidRPr="00406D02" w:rsidRDefault="00EC7C9B" w:rsidP="00EC7C9B">
      <w:pPr>
        <w:pStyle w:val="a3"/>
        <w:spacing w:line="360" w:lineRule="auto"/>
        <w:ind w:rightChars="40" w:right="84" w:firstLine="480"/>
        <w:rPr>
          <w:rFonts w:hAnsi="宋体" w:cs="宋体"/>
          <w:kern w:val="0"/>
          <w:sz w:val="24"/>
        </w:rPr>
      </w:pPr>
      <w:r>
        <w:rPr>
          <w:rFonts w:hAnsi="宋体" w:cs="宋体" w:hint="eastAsia"/>
          <w:sz w:val="24"/>
        </w:rPr>
        <w:t>6</w:t>
      </w:r>
      <w:r>
        <w:rPr>
          <w:rFonts w:hAnsi="宋体" w:cs="宋体" w:hint="eastAsia"/>
          <w:sz w:val="24"/>
        </w:rPr>
        <w:t>）</w:t>
      </w:r>
      <w:r w:rsidR="004258C3" w:rsidRPr="001649E8">
        <w:rPr>
          <w:rFonts w:hAnsi="宋体" w:hint="eastAsia"/>
          <w:bCs/>
          <w:kern w:val="0"/>
          <w:sz w:val="24"/>
        </w:rPr>
        <w:t>公募</w:t>
      </w:r>
      <w:r w:rsidR="004258C3" w:rsidRPr="001649E8">
        <w:rPr>
          <w:rFonts w:hAnsi="宋体" w:hint="eastAsia"/>
          <w:bCs/>
          <w:kern w:val="0"/>
          <w:sz w:val="24"/>
        </w:rPr>
        <w:t>REITs</w:t>
      </w:r>
      <w:r w:rsidRPr="00B346E4">
        <w:rPr>
          <w:rFonts w:hAnsi="宋体" w:cs="宋体" w:hint="eastAsia"/>
          <w:sz w:val="24"/>
        </w:rPr>
        <w:t>相关法律法规和交易所业务规则，可能根据市场情况进行修改，或者制定新的法律法规和业务规则，投资者应当及时予以关注和了解。</w:t>
      </w:r>
      <w:r>
        <w:rPr>
          <w:rFonts w:hAnsi="宋体" w:cs="宋体" w:hint="eastAsia"/>
          <w:bCs/>
          <w:kern w:val="0"/>
          <w:sz w:val="24"/>
        </w:rPr>
        <w:t>”</w:t>
      </w:r>
    </w:p>
    <w:p w:rsidR="002E6AC2" w:rsidRPr="00CE6E32" w:rsidRDefault="004364C5" w:rsidP="000F2B4C">
      <w:pPr>
        <w:pStyle w:val="a3"/>
        <w:spacing w:line="360" w:lineRule="auto"/>
        <w:ind w:rightChars="40" w:right="84" w:firstLine="480"/>
      </w:pPr>
      <w:r>
        <w:rPr>
          <w:rFonts w:hAnsi="宋体" w:cs="宋体"/>
          <w:kern w:val="0"/>
          <w:sz w:val="24"/>
        </w:rPr>
        <w:t>4</w:t>
      </w:r>
      <w:r>
        <w:rPr>
          <w:rFonts w:hAnsi="宋体" w:cs="宋体" w:hint="eastAsia"/>
          <w:kern w:val="0"/>
          <w:sz w:val="24"/>
        </w:rPr>
        <w:t>、</w:t>
      </w:r>
      <w:r w:rsidR="002D29E2">
        <w:rPr>
          <w:rFonts w:hAnsi="宋体" w:cs="宋体"/>
          <w:kern w:val="0"/>
          <w:sz w:val="24"/>
        </w:rPr>
        <w:t>根据《基金中基金指引》</w:t>
      </w:r>
      <w:r w:rsidR="00176E6F">
        <w:rPr>
          <w:rFonts w:hAnsi="宋体" w:cs="宋体"/>
          <w:kern w:val="0"/>
          <w:sz w:val="24"/>
        </w:rPr>
        <w:t>、《</w:t>
      </w:r>
      <w:r w:rsidR="00AD2117" w:rsidRPr="00AD2117">
        <w:rPr>
          <w:rFonts w:hAnsi="宋体" w:cs="宋体" w:hint="eastAsia"/>
          <w:kern w:val="0"/>
          <w:sz w:val="24"/>
        </w:rPr>
        <w:t>公开募集基础设施证券投资基金指引（试行）</w:t>
      </w:r>
      <w:r w:rsidR="00176E6F">
        <w:rPr>
          <w:rFonts w:hAnsi="宋体" w:cs="宋体"/>
          <w:kern w:val="0"/>
          <w:sz w:val="24"/>
        </w:rPr>
        <w:t>》</w:t>
      </w:r>
      <w:r w:rsidR="002D29E2">
        <w:rPr>
          <w:rFonts w:hAnsi="宋体" w:cs="宋体"/>
          <w:kern w:val="0"/>
          <w:sz w:val="24"/>
        </w:rPr>
        <w:t>等相关法律法规和基金合同约定，</w:t>
      </w:r>
      <w:r w:rsidR="004F48B9" w:rsidRPr="004F48B9">
        <w:rPr>
          <w:rFonts w:hAnsi="宋体" w:cs="宋体" w:hint="eastAsia"/>
          <w:kern w:val="0"/>
          <w:sz w:val="24"/>
        </w:rPr>
        <w:t>公募</w:t>
      </w:r>
      <w:r w:rsidR="004F48B9" w:rsidRPr="004F48B9">
        <w:rPr>
          <w:rFonts w:hAnsi="宋体" w:cs="宋体" w:hint="eastAsia"/>
          <w:kern w:val="0"/>
          <w:sz w:val="24"/>
        </w:rPr>
        <w:t>REITs</w:t>
      </w:r>
      <w:r w:rsidR="00823F18">
        <w:rPr>
          <w:rFonts w:hAnsi="宋体" w:cs="宋体" w:hint="eastAsia"/>
          <w:kern w:val="0"/>
          <w:sz w:val="24"/>
        </w:rPr>
        <w:t>属于</w:t>
      </w:r>
      <w:r w:rsidR="004F48B9" w:rsidRPr="004F48B9">
        <w:rPr>
          <w:rFonts w:hAnsi="宋体" w:cs="宋体" w:hint="eastAsia"/>
          <w:kern w:val="0"/>
          <w:sz w:val="24"/>
        </w:rPr>
        <w:t>经中国证监会依法注册、公开募集的证券投资基金，公司旗下基金</w:t>
      </w:r>
      <w:r w:rsidR="00FF3F56">
        <w:rPr>
          <w:rFonts w:hAnsi="宋体" w:cs="宋体" w:hint="eastAsia"/>
          <w:kern w:val="0"/>
          <w:sz w:val="24"/>
        </w:rPr>
        <w:t>中基金</w:t>
      </w:r>
      <w:r w:rsidR="00E760DF">
        <w:rPr>
          <w:rFonts w:hAnsi="宋体" w:cs="宋体" w:hint="eastAsia"/>
          <w:kern w:val="0"/>
          <w:sz w:val="24"/>
        </w:rPr>
        <w:t>基金合同约定</w:t>
      </w:r>
      <w:r w:rsidR="004F48B9" w:rsidRPr="004F48B9">
        <w:rPr>
          <w:rFonts w:hAnsi="宋体" w:cs="宋体" w:hint="eastAsia"/>
          <w:kern w:val="0"/>
          <w:sz w:val="24"/>
        </w:rPr>
        <w:t>的投资范围</w:t>
      </w:r>
      <w:r w:rsidR="00E760DF">
        <w:rPr>
          <w:rFonts w:hAnsi="宋体" w:cs="宋体" w:hint="eastAsia"/>
          <w:kern w:val="0"/>
          <w:sz w:val="24"/>
        </w:rPr>
        <w:t>均</w:t>
      </w:r>
      <w:r w:rsidR="004F48B9" w:rsidRPr="004F48B9">
        <w:rPr>
          <w:rFonts w:hAnsi="宋体" w:cs="宋体" w:hint="eastAsia"/>
          <w:kern w:val="0"/>
          <w:sz w:val="24"/>
        </w:rPr>
        <w:t>包含“经中国证监会依法核准或注册的基金”，可将公募</w:t>
      </w:r>
      <w:r w:rsidR="004F48B9" w:rsidRPr="004F48B9">
        <w:rPr>
          <w:rFonts w:hAnsi="宋体" w:cs="宋体" w:hint="eastAsia"/>
          <w:kern w:val="0"/>
          <w:sz w:val="24"/>
        </w:rPr>
        <w:t>REITs</w:t>
      </w:r>
      <w:r w:rsidR="004F48B9" w:rsidRPr="004F48B9">
        <w:rPr>
          <w:rFonts w:hAnsi="宋体" w:cs="宋体" w:hint="eastAsia"/>
          <w:kern w:val="0"/>
          <w:sz w:val="24"/>
        </w:rPr>
        <w:t>纳入投资范围</w:t>
      </w:r>
      <w:r w:rsidR="00337CCB">
        <w:rPr>
          <w:rFonts w:hAnsi="宋体" w:cs="宋体" w:hint="eastAsia"/>
          <w:kern w:val="0"/>
          <w:sz w:val="24"/>
        </w:rPr>
        <w:t>。</w:t>
      </w:r>
      <w:r w:rsidR="002E6AC2" w:rsidRPr="00CE6E32">
        <w:rPr>
          <w:rFonts w:hAnsi="宋体" w:cs="宋体" w:hint="eastAsia"/>
          <w:kern w:val="0"/>
          <w:sz w:val="24"/>
        </w:rPr>
        <w:t>本</w:t>
      </w:r>
      <w:r w:rsidR="002E6AC2" w:rsidRPr="00CE6E32">
        <w:rPr>
          <w:rFonts w:hAnsi="宋体" w:cs="宋体"/>
          <w:kern w:val="0"/>
          <w:sz w:val="24"/>
        </w:rPr>
        <w:t>次修订</w:t>
      </w:r>
      <w:r w:rsidR="00AF6AAD" w:rsidRPr="00CE6E32">
        <w:rPr>
          <w:rFonts w:hAnsi="宋体" w:cs="宋体" w:hint="eastAsia"/>
          <w:sz w:val="24"/>
        </w:rPr>
        <w:t>对基金份额持有人利益无实质性不利影响，</w:t>
      </w:r>
      <w:r w:rsidR="002E6AC2" w:rsidRPr="00CE6E32">
        <w:rPr>
          <w:rFonts w:hAnsi="宋体" w:cs="宋体"/>
          <w:sz w:val="24"/>
        </w:rPr>
        <w:t>并已履行</w:t>
      </w:r>
      <w:r w:rsidR="002E6AC2" w:rsidRPr="00CE6E32">
        <w:rPr>
          <w:rFonts w:hAnsi="宋体" w:cs="宋体" w:hint="eastAsia"/>
          <w:sz w:val="24"/>
        </w:rPr>
        <w:t>规定</w:t>
      </w:r>
      <w:r w:rsidR="002E6AC2" w:rsidRPr="00CE6E32">
        <w:rPr>
          <w:rFonts w:hAnsi="宋体" w:cs="宋体"/>
          <w:sz w:val="24"/>
        </w:rPr>
        <w:t>程序</w:t>
      </w:r>
      <w:r w:rsidR="002E6AC2" w:rsidRPr="00CE6E32">
        <w:rPr>
          <w:rFonts w:hAnsi="宋体" w:cs="宋体" w:hint="eastAsia"/>
          <w:sz w:val="24"/>
        </w:rPr>
        <w:t>，</w:t>
      </w:r>
      <w:r w:rsidR="002E6AC2" w:rsidRPr="00CE6E32">
        <w:rPr>
          <w:rFonts w:hAnsi="宋体" w:cs="宋体"/>
          <w:sz w:val="24"/>
        </w:rPr>
        <w:t>符合相关法律法规及基金合同的规定</w:t>
      </w:r>
      <w:r w:rsidR="002E6AC2" w:rsidRPr="00CE6E32">
        <w:rPr>
          <w:rFonts w:hAnsi="宋体" w:cs="宋体" w:hint="eastAsia"/>
          <w:sz w:val="24"/>
        </w:rPr>
        <w:t>。</w:t>
      </w:r>
    </w:p>
    <w:p w:rsidR="00CA6765" w:rsidRDefault="000F2B4C" w:rsidP="00FB7174">
      <w:pPr>
        <w:pStyle w:val="Default"/>
        <w:spacing w:line="360" w:lineRule="auto"/>
        <w:ind w:rightChars="40" w:right="84" w:firstLineChars="200" w:firstLine="482"/>
        <w:jc w:val="both"/>
        <w:rPr>
          <w:rFonts w:cstheme="minorBidi"/>
          <w:b/>
          <w:color w:val="auto"/>
        </w:rPr>
      </w:pPr>
      <w:r w:rsidRPr="006C76C2">
        <w:rPr>
          <w:rFonts w:cstheme="minorBidi" w:hint="eastAsia"/>
          <w:b/>
          <w:color w:val="auto"/>
        </w:rPr>
        <w:t>三</w:t>
      </w:r>
      <w:r w:rsidR="002E6AC2" w:rsidRPr="006C76C2">
        <w:rPr>
          <w:rFonts w:cstheme="minorBidi" w:hint="eastAsia"/>
          <w:b/>
          <w:color w:val="auto"/>
        </w:rPr>
        <w:t>、</w:t>
      </w:r>
      <w:r w:rsidR="00CA6765" w:rsidRPr="00CA6765">
        <w:rPr>
          <w:rFonts w:cstheme="minorBidi" w:hint="eastAsia"/>
          <w:b/>
          <w:color w:val="auto"/>
        </w:rPr>
        <w:t>天弘养老目标日期2045五年持有期混合型发起式基金中基金（FOF）</w:t>
      </w:r>
      <w:r w:rsidR="00C25B54">
        <w:rPr>
          <w:rFonts w:cstheme="minorBidi" w:hint="eastAsia"/>
          <w:b/>
          <w:color w:val="auto"/>
        </w:rPr>
        <w:t>、</w:t>
      </w:r>
      <w:r w:rsidR="00C25B54" w:rsidRPr="00C25B54">
        <w:rPr>
          <w:rFonts w:cstheme="minorBidi" w:hint="eastAsia"/>
          <w:b/>
          <w:color w:val="auto"/>
        </w:rPr>
        <w:t>天弘永丰平衡养老目标三年持有期混合型发起式基金中基金(FOF)</w:t>
      </w:r>
      <w:r w:rsidR="00CA6765" w:rsidRPr="00CA6765">
        <w:rPr>
          <w:rFonts w:cstheme="minorBidi" w:hint="eastAsia"/>
          <w:b/>
          <w:color w:val="auto"/>
        </w:rPr>
        <w:t>的基金合同、托管协议</w:t>
      </w:r>
      <w:r w:rsidR="00251DD5">
        <w:rPr>
          <w:rFonts w:cstheme="minorBidi" w:hint="eastAsia"/>
          <w:b/>
          <w:color w:val="auto"/>
        </w:rPr>
        <w:t>等法律文件</w:t>
      </w:r>
      <w:r w:rsidR="00CA6765" w:rsidRPr="00CA6765">
        <w:rPr>
          <w:rFonts w:cstheme="minorBidi" w:hint="eastAsia"/>
          <w:b/>
          <w:color w:val="auto"/>
        </w:rPr>
        <w:t>将自基金管理人办理完毕基金</w:t>
      </w:r>
      <w:r w:rsidR="0073139C">
        <w:rPr>
          <w:rFonts w:cstheme="minorBidi" w:hint="eastAsia"/>
          <w:b/>
          <w:color w:val="auto"/>
        </w:rPr>
        <w:t>生效</w:t>
      </w:r>
      <w:r w:rsidR="00CA6765" w:rsidRPr="00CA6765">
        <w:rPr>
          <w:rFonts w:cstheme="minorBidi" w:hint="eastAsia"/>
          <w:b/>
          <w:color w:val="auto"/>
        </w:rPr>
        <w:t>备案手续并取得中国证监会书面确认之日起正式生效</w:t>
      </w:r>
      <w:r w:rsidR="00CA6765">
        <w:rPr>
          <w:rFonts w:cstheme="minorBidi" w:hint="eastAsia"/>
          <w:b/>
          <w:color w:val="auto"/>
        </w:rPr>
        <w:t>。</w:t>
      </w:r>
    </w:p>
    <w:p w:rsidR="002E6AC2" w:rsidRPr="00CE6E32" w:rsidRDefault="00CA6765" w:rsidP="00FB7174">
      <w:pPr>
        <w:pStyle w:val="Default"/>
        <w:spacing w:line="360" w:lineRule="auto"/>
        <w:ind w:rightChars="40" w:right="84" w:firstLineChars="200" w:firstLine="482"/>
        <w:jc w:val="both"/>
        <w:rPr>
          <w:rFonts w:hAnsi="宋体"/>
          <w:b/>
        </w:rPr>
      </w:pPr>
      <w:r>
        <w:rPr>
          <w:rFonts w:cstheme="minorBidi" w:hint="eastAsia"/>
          <w:b/>
          <w:color w:val="auto"/>
        </w:rPr>
        <w:t>四、除本公告另有规定外，</w:t>
      </w:r>
      <w:r w:rsidR="002E6AC2" w:rsidRPr="006C76C2">
        <w:rPr>
          <w:rFonts w:hAnsi="宋体" w:hint="eastAsia"/>
          <w:b/>
        </w:rPr>
        <w:t>上述基金合同、托管协议</w:t>
      </w:r>
      <w:r w:rsidR="00251DD5">
        <w:rPr>
          <w:rFonts w:hAnsi="宋体" w:hint="eastAsia"/>
          <w:b/>
        </w:rPr>
        <w:t>等法律文件</w:t>
      </w:r>
      <w:r w:rsidR="002E6AC2" w:rsidRPr="006C76C2">
        <w:rPr>
          <w:rFonts w:hAnsi="宋体" w:hint="eastAsia"/>
          <w:b/>
        </w:rPr>
        <w:t>的修订</w:t>
      </w:r>
      <w:r w:rsidR="002E6AC2" w:rsidRPr="006C76C2">
        <w:rPr>
          <w:rFonts w:hAnsi="宋体"/>
          <w:b/>
        </w:rPr>
        <w:t>事宜</w:t>
      </w:r>
      <w:r w:rsidR="002E6AC2" w:rsidRPr="006C76C2">
        <w:rPr>
          <w:rFonts w:hAnsi="宋体" w:hint="eastAsia"/>
          <w:b/>
        </w:rPr>
        <w:t>自</w:t>
      </w:r>
      <w:r w:rsidR="00511C08" w:rsidRPr="006C76C2">
        <w:rPr>
          <w:rFonts w:hAnsi="宋体"/>
          <w:b/>
        </w:rPr>
        <w:t>202</w:t>
      </w:r>
      <w:r w:rsidR="006073EB">
        <w:rPr>
          <w:rFonts w:hAnsi="宋体"/>
          <w:b/>
        </w:rPr>
        <w:t>3</w:t>
      </w:r>
      <w:r w:rsidR="002E6AC2" w:rsidRPr="006C76C2">
        <w:rPr>
          <w:rFonts w:hAnsi="宋体"/>
          <w:b/>
        </w:rPr>
        <w:t>年</w:t>
      </w:r>
      <w:r w:rsidR="006073EB">
        <w:rPr>
          <w:rFonts w:hAnsi="宋体"/>
          <w:b/>
        </w:rPr>
        <w:t>7</w:t>
      </w:r>
      <w:r w:rsidR="002E6AC2" w:rsidRPr="006C76C2">
        <w:rPr>
          <w:rFonts w:hAnsi="宋体"/>
          <w:b/>
        </w:rPr>
        <w:t>月</w:t>
      </w:r>
      <w:r w:rsidR="006073EB">
        <w:rPr>
          <w:rFonts w:hAnsi="宋体"/>
          <w:b/>
        </w:rPr>
        <w:t>5</w:t>
      </w:r>
      <w:r w:rsidR="002E6AC2" w:rsidRPr="006C76C2">
        <w:rPr>
          <w:rFonts w:hAnsi="宋体"/>
          <w:b/>
        </w:rPr>
        <w:t>日</w:t>
      </w:r>
      <w:r w:rsidR="002E6AC2" w:rsidRPr="006C76C2">
        <w:rPr>
          <w:rFonts w:hAnsi="宋体" w:hint="eastAsia"/>
          <w:b/>
        </w:rPr>
        <w:t>起生效</w:t>
      </w:r>
      <w:r w:rsidR="00EC34A2" w:rsidRPr="006C76C2">
        <w:rPr>
          <w:rFonts w:hAnsi="宋体" w:hint="eastAsia"/>
          <w:b/>
        </w:rPr>
        <w:t>，修订后的</w:t>
      </w:r>
      <w:r w:rsidR="002A7E0F" w:rsidRPr="006C76C2">
        <w:rPr>
          <w:rFonts w:hAnsi="宋体" w:hint="eastAsia"/>
          <w:b/>
        </w:rPr>
        <w:t>各</w:t>
      </w:r>
      <w:r w:rsidR="002A7E0F" w:rsidRPr="006C76C2">
        <w:rPr>
          <w:rFonts w:hAnsi="宋体"/>
          <w:b/>
        </w:rPr>
        <w:t>基金</w:t>
      </w:r>
      <w:r w:rsidR="00EC34A2" w:rsidRPr="006C76C2">
        <w:rPr>
          <w:rFonts w:hAnsi="宋体" w:hint="eastAsia"/>
          <w:b/>
        </w:rPr>
        <w:t>基金合同、托管协议全文将与本公告同日</w:t>
      </w:r>
      <w:r w:rsidR="00823B42" w:rsidRPr="006C76C2">
        <w:rPr>
          <w:rFonts w:hAnsi="宋体" w:hint="eastAsia"/>
          <w:b/>
        </w:rPr>
        <w:t>登载于本公司网</w:t>
      </w:r>
      <w:r w:rsidR="00EF63EA" w:rsidRPr="006C76C2">
        <w:rPr>
          <w:rFonts w:hAnsi="宋体" w:hint="eastAsia"/>
          <w:b/>
        </w:rPr>
        <w:t>站</w:t>
      </w:r>
      <w:r w:rsidR="00823B42" w:rsidRPr="006C76C2">
        <w:rPr>
          <w:rFonts w:hAnsi="宋体" w:hint="eastAsia"/>
          <w:b/>
        </w:rPr>
        <w:t>（</w:t>
      </w:r>
      <w:r w:rsidR="006073EB">
        <w:rPr>
          <w:rFonts w:hAnsi="宋体"/>
          <w:b/>
        </w:rPr>
        <w:t>www.thfund.com.c</w:t>
      </w:r>
      <w:r w:rsidR="006073EB">
        <w:rPr>
          <w:rFonts w:hAnsi="宋体" w:hint="eastAsia"/>
          <w:b/>
        </w:rPr>
        <w:t>n</w:t>
      </w:r>
      <w:r w:rsidR="00823B42" w:rsidRPr="006C76C2">
        <w:rPr>
          <w:rFonts w:hAnsi="宋体"/>
          <w:b/>
        </w:rPr>
        <w:t>）及中国证监会基金电子披露网站（http://eid.csrc.gov.cn/fund）</w:t>
      </w:r>
      <w:r w:rsidR="00823B42" w:rsidRPr="006C76C2">
        <w:rPr>
          <w:rFonts w:hAnsi="宋体" w:hint="eastAsia"/>
          <w:b/>
        </w:rPr>
        <w:t>。</w:t>
      </w:r>
      <w:r w:rsidR="002E6AC2" w:rsidRPr="006C76C2">
        <w:rPr>
          <w:rFonts w:hAnsi="宋体" w:hint="eastAsia"/>
          <w:b/>
        </w:rPr>
        <w:t>基金管理人届时</w:t>
      </w:r>
      <w:r w:rsidR="00726BC4" w:rsidRPr="006C76C2">
        <w:rPr>
          <w:rFonts w:hAnsi="宋体" w:hint="eastAsia"/>
          <w:b/>
        </w:rPr>
        <w:t>将</w:t>
      </w:r>
      <w:r w:rsidR="00292984" w:rsidRPr="006C76C2">
        <w:rPr>
          <w:rFonts w:hAnsi="宋体" w:hint="eastAsia"/>
          <w:b/>
        </w:rPr>
        <w:t>更新</w:t>
      </w:r>
      <w:r w:rsidR="00114FC9">
        <w:rPr>
          <w:rFonts w:hAnsi="宋体" w:hint="eastAsia"/>
          <w:b/>
        </w:rPr>
        <w:t>各</w:t>
      </w:r>
      <w:r w:rsidR="002E6AC2" w:rsidRPr="006C76C2">
        <w:rPr>
          <w:rFonts w:hAnsi="宋体" w:hint="eastAsia"/>
          <w:b/>
        </w:rPr>
        <w:t>基金</w:t>
      </w:r>
      <w:r w:rsidR="00114FC9">
        <w:rPr>
          <w:rFonts w:hAnsi="宋体" w:hint="eastAsia"/>
          <w:b/>
        </w:rPr>
        <w:t>的</w:t>
      </w:r>
      <w:r w:rsidR="002E6AC2" w:rsidRPr="006C76C2">
        <w:rPr>
          <w:rFonts w:hAnsi="宋体" w:hint="eastAsia"/>
          <w:b/>
        </w:rPr>
        <w:t>招募说明书</w:t>
      </w:r>
      <w:r w:rsidR="008B75A2" w:rsidRPr="006C76C2">
        <w:rPr>
          <w:rFonts w:hAnsi="宋体" w:hint="eastAsia"/>
          <w:b/>
        </w:rPr>
        <w:t>和</w:t>
      </w:r>
      <w:r w:rsidR="00616B28" w:rsidRPr="006C76C2">
        <w:rPr>
          <w:rFonts w:hAnsi="宋体" w:hint="eastAsia"/>
          <w:b/>
        </w:rPr>
        <w:t>基金产品资料概要</w:t>
      </w:r>
      <w:r w:rsidR="002E6AC2" w:rsidRPr="006C76C2">
        <w:rPr>
          <w:rFonts w:hAnsi="宋体" w:hint="eastAsia"/>
          <w:b/>
        </w:rPr>
        <w:t>相关内容</w:t>
      </w:r>
      <w:r w:rsidR="001B3CDE" w:rsidRPr="006C76C2">
        <w:rPr>
          <w:rFonts w:hAnsi="宋体" w:hint="eastAsia"/>
          <w:b/>
        </w:rPr>
        <w:t>，并揭示风险</w:t>
      </w:r>
      <w:r w:rsidR="002E6AC2" w:rsidRPr="006C76C2">
        <w:rPr>
          <w:rFonts w:hAnsi="宋体" w:hint="eastAsia"/>
          <w:b/>
        </w:rPr>
        <w:t>。</w:t>
      </w:r>
    </w:p>
    <w:p w:rsidR="002E6AC2" w:rsidRPr="00CE6E32" w:rsidRDefault="002E6AC2" w:rsidP="002E6AC2">
      <w:pPr>
        <w:pStyle w:val="a3"/>
        <w:spacing w:line="360" w:lineRule="auto"/>
        <w:ind w:rightChars="40" w:right="84" w:firstLine="482"/>
        <w:rPr>
          <w:rFonts w:hAnsi="宋体" w:cs="宋体"/>
          <w:b/>
          <w:sz w:val="24"/>
        </w:rPr>
      </w:pPr>
    </w:p>
    <w:p w:rsidR="002E6AC2" w:rsidRPr="00CE6E32" w:rsidRDefault="0073139C" w:rsidP="002E6AC2">
      <w:pPr>
        <w:pStyle w:val="a3"/>
        <w:spacing w:line="360" w:lineRule="auto"/>
        <w:ind w:rightChars="40" w:right="84" w:firstLine="482"/>
        <w:rPr>
          <w:rFonts w:hAnsi="宋体" w:cs="宋体"/>
          <w:b/>
          <w:sz w:val="24"/>
        </w:rPr>
      </w:pPr>
      <w:r>
        <w:rPr>
          <w:rFonts w:hAnsi="宋体" w:cs="宋体" w:hint="eastAsia"/>
          <w:b/>
          <w:sz w:val="24"/>
        </w:rPr>
        <w:t>五</w:t>
      </w:r>
      <w:r w:rsidR="002E6AC2" w:rsidRPr="00CE6E32">
        <w:rPr>
          <w:rFonts w:hAnsi="宋体" w:cs="宋体"/>
          <w:b/>
          <w:sz w:val="24"/>
        </w:rPr>
        <w:t>、</w:t>
      </w:r>
      <w:r w:rsidR="002E6AC2" w:rsidRPr="00CE6E32">
        <w:rPr>
          <w:rFonts w:hAnsi="宋体" w:cs="宋体" w:hint="eastAsia"/>
          <w:b/>
          <w:sz w:val="24"/>
        </w:rPr>
        <w:t>其他事项</w:t>
      </w:r>
    </w:p>
    <w:p w:rsidR="002E6AC2" w:rsidRPr="00CE6E32" w:rsidRDefault="002E6AC2" w:rsidP="002E6AC2">
      <w:pPr>
        <w:pStyle w:val="a3"/>
        <w:spacing w:line="360" w:lineRule="auto"/>
        <w:ind w:rightChars="40" w:right="84" w:firstLine="480"/>
        <w:rPr>
          <w:rFonts w:hAnsi="宋体" w:cs="宋体"/>
          <w:sz w:val="24"/>
        </w:rPr>
      </w:pPr>
      <w:r w:rsidRPr="00CE6E32">
        <w:rPr>
          <w:rFonts w:hAnsi="宋体" w:cs="宋体" w:hint="eastAsia"/>
          <w:sz w:val="24"/>
        </w:rPr>
        <w:t>1</w:t>
      </w:r>
      <w:r w:rsidRPr="00CE6E32">
        <w:rPr>
          <w:rFonts w:hAnsi="宋体" w:cs="宋体" w:hint="eastAsia"/>
          <w:sz w:val="24"/>
        </w:rPr>
        <w:t>．投资者可通过以下途径咨询有关详情</w:t>
      </w:r>
    </w:p>
    <w:p w:rsidR="002E6AC2" w:rsidRPr="00CE6E32" w:rsidRDefault="002E6AC2" w:rsidP="002E6AC2">
      <w:pPr>
        <w:pStyle w:val="a3"/>
        <w:spacing w:line="360" w:lineRule="auto"/>
        <w:ind w:rightChars="40" w:right="84" w:firstLine="480"/>
        <w:rPr>
          <w:rFonts w:hAnsi="宋体" w:cs="宋体"/>
          <w:sz w:val="24"/>
        </w:rPr>
      </w:pPr>
      <w:r w:rsidRPr="00CE6E32">
        <w:rPr>
          <w:rFonts w:hAnsi="宋体" w:cs="宋体" w:hint="eastAsia"/>
          <w:sz w:val="24"/>
        </w:rPr>
        <w:t>客户服务电话：</w:t>
      </w:r>
      <w:r w:rsidR="006073EB" w:rsidRPr="006073EB">
        <w:rPr>
          <w:rFonts w:hAnsi="宋体" w:cs="宋体"/>
          <w:sz w:val="24"/>
        </w:rPr>
        <w:t>95046</w:t>
      </w:r>
      <w:r w:rsidRPr="00CE6E32">
        <w:rPr>
          <w:rFonts w:hAnsi="宋体" w:cs="宋体" w:hint="eastAsia"/>
          <w:sz w:val="24"/>
        </w:rPr>
        <w:t xml:space="preserve"> </w:t>
      </w:r>
    </w:p>
    <w:p w:rsidR="002E6AC2" w:rsidRPr="00CE6E32" w:rsidRDefault="002E6AC2" w:rsidP="002E6AC2">
      <w:pPr>
        <w:pStyle w:val="a3"/>
        <w:spacing w:line="360" w:lineRule="auto"/>
        <w:ind w:rightChars="40" w:right="84" w:firstLine="480"/>
        <w:rPr>
          <w:rFonts w:hAnsi="宋体" w:cs="宋体"/>
          <w:sz w:val="24"/>
        </w:rPr>
      </w:pPr>
      <w:r w:rsidRPr="00CE6E32">
        <w:rPr>
          <w:rFonts w:hAnsi="宋体" w:cs="宋体" w:hint="eastAsia"/>
          <w:sz w:val="24"/>
        </w:rPr>
        <w:t>网址：</w:t>
      </w:r>
      <w:r w:rsidR="006073EB" w:rsidRPr="006073EB">
        <w:rPr>
          <w:rFonts w:hAnsi="宋体" w:cs="宋体"/>
          <w:sz w:val="24"/>
        </w:rPr>
        <w:t>www.thfund.com.cn</w:t>
      </w:r>
    </w:p>
    <w:p w:rsidR="00B346E4" w:rsidRPr="00B346E4" w:rsidRDefault="002E6AC2" w:rsidP="00FF3F56">
      <w:pPr>
        <w:pStyle w:val="a3"/>
        <w:spacing w:line="360" w:lineRule="auto"/>
        <w:ind w:rightChars="40" w:right="84" w:firstLine="480"/>
        <w:rPr>
          <w:rFonts w:hAnsi="宋体" w:cs="宋体"/>
          <w:sz w:val="24"/>
        </w:rPr>
      </w:pPr>
      <w:r w:rsidRPr="00CE6E32">
        <w:rPr>
          <w:rFonts w:hAnsi="宋体" w:cs="宋体" w:hint="eastAsia"/>
          <w:sz w:val="24"/>
        </w:rPr>
        <w:t>2</w:t>
      </w:r>
      <w:r w:rsidRPr="00CE6E32">
        <w:rPr>
          <w:rFonts w:hAnsi="宋体" w:cs="宋体" w:hint="eastAsia"/>
          <w:sz w:val="24"/>
        </w:rPr>
        <w:t>．风险提示：</w:t>
      </w:r>
    </w:p>
    <w:p w:rsidR="002E6AC2" w:rsidRPr="0073139C" w:rsidRDefault="0026523F" w:rsidP="0073139C">
      <w:pPr>
        <w:pStyle w:val="a3"/>
        <w:spacing w:line="360" w:lineRule="auto"/>
        <w:ind w:rightChars="40" w:right="84" w:firstLine="480"/>
      </w:pPr>
      <w:r w:rsidRPr="0026523F">
        <w:rPr>
          <w:rFonts w:hAnsi="宋体" w:cs="宋体" w:hint="eastAsia"/>
          <w:sz w:val="24"/>
        </w:rPr>
        <w:t>基金管理人承诺以诚实信用、勤勉尽责的原则管理和运用基金资产，但不保证基金一定盈利，也不保证最低收益。投资者在投资基金前应认真阅读基金合同、招募说明书和基金产品资料概要等基金</w:t>
      </w:r>
      <w:r w:rsidR="002D0425">
        <w:rPr>
          <w:rFonts w:hAnsi="宋体" w:cs="宋体" w:hint="eastAsia"/>
          <w:sz w:val="24"/>
        </w:rPr>
        <w:t>信息披露</w:t>
      </w:r>
      <w:r w:rsidRPr="0026523F">
        <w:rPr>
          <w:rFonts w:hAnsi="宋体" w:cs="宋体" w:hint="eastAsia"/>
          <w:sz w:val="24"/>
        </w:rPr>
        <w:t>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Pr="0026523F">
        <w:rPr>
          <w:rFonts w:hAnsi="宋体" w:cs="宋体"/>
          <w:sz w:val="24"/>
        </w:rPr>
        <w:t>“</w:t>
      </w:r>
      <w:r w:rsidRPr="0026523F">
        <w:rPr>
          <w:rFonts w:hAnsi="宋体" w:cs="宋体" w:hint="eastAsia"/>
          <w:sz w:val="24"/>
        </w:rPr>
        <w:t>买者自负</w:t>
      </w:r>
      <w:r w:rsidRPr="0026523F">
        <w:rPr>
          <w:rFonts w:hAnsi="宋体" w:cs="宋体"/>
          <w:sz w:val="24"/>
        </w:rPr>
        <w:t>”</w:t>
      </w:r>
      <w:r w:rsidRPr="0026523F">
        <w:rPr>
          <w:rFonts w:hAnsi="宋体" w:cs="宋体" w:hint="eastAsia"/>
          <w:sz w:val="24"/>
        </w:rPr>
        <w:t>原则，在投资者作出投资决策后，基金运营状况与基金净值变化引致的投资风险，由投资者自行负责。</w:t>
      </w:r>
    </w:p>
    <w:p w:rsidR="002E6AC2" w:rsidRPr="00CE6E32" w:rsidRDefault="002E6AC2" w:rsidP="002E6AC2">
      <w:pPr>
        <w:pStyle w:val="a3"/>
        <w:spacing w:line="360" w:lineRule="auto"/>
        <w:ind w:rightChars="40" w:right="84" w:firstLine="480"/>
        <w:rPr>
          <w:rFonts w:hAnsi="宋体" w:cs="宋体"/>
          <w:sz w:val="24"/>
        </w:rPr>
      </w:pPr>
      <w:r w:rsidRPr="00CE6E32">
        <w:rPr>
          <w:rFonts w:hAnsi="宋体" w:cs="宋体" w:hint="eastAsia"/>
          <w:sz w:val="24"/>
        </w:rPr>
        <w:t>特此公告。</w:t>
      </w:r>
    </w:p>
    <w:p w:rsidR="002E6AC2" w:rsidRPr="00CE6E32" w:rsidRDefault="002E6AC2" w:rsidP="002E6AC2">
      <w:pPr>
        <w:spacing w:line="360" w:lineRule="auto"/>
        <w:ind w:rightChars="40" w:right="84"/>
        <w:rPr>
          <w:rFonts w:ascii="宋体" w:hAnsi="宋体"/>
          <w:sz w:val="24"/>
          <w:szCs w:val="24"/>
        </w:rPr>
      </w:pPr>
    </w:p>
    <w:p w:rsidR="002E6AC2" w:rsidRPr="00CE6E32" w:rsidRDefault="000155BB" w:rsidP="001E0BBC">
      <w:pPr>
        <w:spacing w:line="360" w:lineRule="auto"/>
        <w:ind w:rightChars="40" w:right="84" w:firstLineChars="1450" w:firstLine="3480"/>
        <w:jc w:val="right"/>
        <w:rPr>
          <w:rFonts w:ascii="宋体" w:hAnsi="宋体"/>
          <w:sz w:val="24"/>
          <w:szCs w:val="24"/>
        </w:rPr>
      </w:pPr>
      <w:r>
        <w:rPr>
          <w:rFonts w:ascii="宋体" w:hAnsi="宋体" w:hint="eastAsia"/>
          <w:sz w:val="24"/>
          <w:szCs w:val="24"/>
        </w:rPr>
        <w:t>天弘基金管理有限公司</w:t>
      </w:r>
    </w:p>
    <w:p w:rsidR="00AD71EF" w:rsidRPr="00251DD5" w:rsidRDefault="002E6AC2" w:rsidP="00251DD5">
      <w:pPr>
        <w:pStyle w:val="a3"/>
        <w:spacing w:line="360" w:lineRule="auto"/>
        <w:ind w:rightChars="40" w:right="84" w:firstLineChars="1500" w:firstLine="3600"/>
        <w:jc w:val="right"/>
        <w:rPr>
          <w:rFonts w:hAnsi="宋体" w:cs="宋体"/>
          <w:sz w:val="24"/>
        </w:rPr>
        <w:sectPr w:rsidR="00AD71EF" w:rsidRPr="00251DD5">
          <w:footerReference w:type="default" r:id="rId9"/>
          <w:pgSz w:w="11906" w:h="16838"/>
          <w:pgMar w:top="1440" w:right="1800" w:bottom="1440" w:left="1800" w:header="851" w:footer="992" w:gutter="0"/>
          <w:cols w:space="425"/>
          <w:docGrid w:type="lines" w:linePitch="312"/>
        </w:sectPr>
      </w:pPr>
      <w:r w:rsidRPr="00CE6E32">
        <w:rPr>
          <w:rFonts w:hAnsi="宋体" w:cs="宋体"/>
          <w:sz w:val="24"/>
        </w:rPr>
        <w:t xml:space="preserve"> </w:t>
      </w:r>
      <w:r w:rsidR="00AC72D3">
        <w:rPr>
          <w:rFonts w:hAnsi="宋体" w:cs="宋体" w:hint="eastAsia"/>
          <w:sz w:val="24"/>
        </w:rPr>
        <w:t>二〇二三</w:t>
      </w:r>
      <w:r w:rsidRPr="00CE6E32">
        <w:rPr>
          <w:rFonts w:hAnsi="宋体" w:cs="宋体"/>
          <w:sz w:val="24"/>
        </w:rPr>
        <w:t>年</w:t>
      </w:r>
      <w:r w:rsidR="00AC72D3">
        <w:rPr>
          <w:rFonts w:hAnsi="宋体" w:cs="宋体" w:hint="eastAsia"/>
          <w:kern w:val="0"/>
          <w:sz w:val="24"/>
        </w:rPr>
        <w:t>七</w:t>
      </w:r>
      <w:r w:rsidR="001C2092" w:rsidRPr="00CE6E32">
        <w:rPr>
          <w:rFonts w:hAnsi="宋体" w:cs="宋体" w:hint="eastAsia"/>
          <w:kern w:val="0"/>
          <w:sz w:val="24"/>
        </w:rPr>
        <w:t>月</w:t>
      </w:r>
      <w:r w:rsidR="00AC72D3">
        <w:rPr>
          <w:rFonts w:hAnsi="宋体" w:cs="宋体" w:hint="eastAsia"/>
          <w:kern w:val="0"/>
          <w:sz w:val="24"/>
        </w:rPr>
        <w:t>五</w:t>
      </w:r>
      <w:r w:rsidR="001C2092" w:rsidRPr="00CE6E32">
        <w:rPr>
          <w:rFonts w:hAnsi="宋体" w:cs="宋体" w:hint="eastAsia"/>
          <w:kern w:val="0"/>
          <w:sz w:val="24"/>
        </w:rPr>
        <w:t>日</w:t>
      </w:r>
    </w:p>
    <w:p w:rsidR="00AD71EF" w:rsidRPr="00CE6E32" w:rsidRDefault="00AD71EF" w:rsidP="006C0FEE">
      <w:pPr>
        <w:rPr>
          <w:rFonts w:ascii="Times New Roman" w:hAnsi="Times New Roman"/>
          <w:b/>
          <w:sz w:val="24"/>
          <w:szCs w:val="24"/>
        </w:rPr>
      </w:pPr>
    </w:p>
    <w:sectPr w:rsidR="00AD71EF" w:rsidRPr="00CE6E32" w:rsidSect="004814B2">
      <w:headerReference w:type="default" r:id="rId10"/>
      <w:footerReference w:type="default" r:id="rId11"/>
      <w:pgSz w:w="11906" w:h="16838"/>
      <w:pgMar w:top="1440" w:right="1588" w:bottom="1440"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077" w:rsidRDefault="00EF4077"/>
  </w:endnote>
  <w:endnote w:type="continuationSeparator" w:id="0">
    <w:p w:rsidR="00EF4077" w:rsidRDefault="00EF4077"/>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20448"/>
      <w:docPartObj>
        <w:docPartGallery w:val="Page Numbers (Bottom of Page)"/>
        <w:docPartUnique/>
      </w:docPartObj>
    </w:sdtPr>
    <w:sdtEndPr>
      <w:rPr>
        <w:rFonts w:ascii="宋体" w:eastAsia="宋体" w:hAnsi="宋体"/>
      </w:rPr>
    </w:sdtEndPr>
    <w:sdtContent>
      <w:p w:rsidR="001707B7" w:rsidRPr="00963EB3" w:rsidRDefault="006176AA">
        <w:pPr>
          <w:pStyle w:val="aa"/>
          <w:jc w:val="center"/>
          <w:rPr>
            <w:rFonts w:ascii="宋体" w:eastAsia="宋体" w:hAnsi="宋体"/>
          </w:rPr>
        </w:pPr>
        <w:r w:rsidRPr="00963EB3">
          <w:rPr>
            <w:rFonts w:ascii="宋体" w:eastAsia="宋体" w:hAnsi="宋体"/>
          </w:rPr>
          <w:fldChar w:fldCharType="begin"/>
        </w:r>
        <w:r w:rsidR="001707B7" w:rsidRPr="00963EB3">
          <w:rPr>
            <w:rFonts w:ascii="宋体" w:eastAsia="宋体" w:hAnsi="宋体"/>
          </w:rPr>
          <w:instrText>PAGE   \* MERGEFORMAT</w:instrText>
        </w:r>
        <w:r w:rsidRPr="00963EB3">
          <w:rPr>
            <w:rFonts w:ascii="宋体" w:eastAsia="宋体" w:hAnsi="宋体"/>
          </w:rPr>
          <w:fldChar w:fldCharType="separate"/>
        </w:r>
        <w:r w:rsidR="003710A1" w:rsidRPr="003710A1">
          <w:rPr>
            <w:rFonts w:ascii="宋体" w:eastAsia="宋体" w:hAnsi="宋体"/>
            <w:noProof/>
            <w:lang w:val="zh-CN"/>
          </w:rPr>
          <w:t>1</w:t>
        </w:r>
        <w:r w:rsidRPr="00963EB3">
          <w:rPr>
            <w:rFonts w:ascii="宋体" w:eastAsia="宋体" w:hAnsi="宋体"/>
          </w:rPr>
          <w:fldChar w:fldCharType="end"/>
        </w:r>
      </w:p>
    </w:sdtContent>
  </w:sdt>
  <w:p w:rsidR="0056765F" w:rsidRDefault="0056765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AF" w:rsidRDefault="006176AA">
    <w:pPr>
      <w:pStyle w:val="aa"/>
      <w:jc w:val="center"/>
    </w:pPr>
    <w:r w:rsidRPr="006176AA">
      <w:fldChar w:fldCharType="begin"/>
    </w:r>
    <w:r w:rsidR="00994C2D">
      <w:instrText xml:space="preserve"> PAGE   \* MERGEFORMAT </w:instrText>
    </w:r>
    <w:r w:rsidRPr="006176AA">
      <w:fldChar w:fldCharType="separate"/>
    </w:r>
    <w:r w:rsidR="008664A0" w:rsidRPr="008664A0">
      <w:rPr>
        <w:noProof/>
        <w:lang w:val="zh-CN"/>
      </w:rPr>
      <w:t>5</w:t>
    </w:r>
    <w:r>
      <w:rPr>
        <w:noProof/>
        <w:lang w:val="zh-CN"/>
      </w:rPr>
      <w:fldChar w:fldCharType="end"/>
    </w:r>
  </w:p>
  <w:p w:rsidR="00D32FAF" w:rsidRPr="003B415C" w:rsidRDefault="003710A1" w:rsidP="00DA1C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077" w:rsidRDefault="00EF4077"/>
  </w:footnote>
  <w:footnote w:type="continuationSeparator" w:id="0">
    <w:p w:rsidR="00EF4077" w:rsidRDefault="00EF40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AF" w:rsidRDefault="003710A1" w:rsidP="005403FC"/>
  <w:p w:rsidR="00D32FAF" w:rsidRPr="003406CA" w:rsidRDefault="00994C2D" w:rsidP="005403FC">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508CD"/>
    <w:multiLevelType w:val="hybridMultilevel"/>
    <w:tmpl w:val="D4C89DE2"/>
    <w:lvl w:ilvl="0" w:tplc="80AE2EB2">
      <w:start w:val="1"/>
      <w:numFmt w:val="decimal"/>
      <w:lvlText w:val="%1、"/>
      <w:lvlJc w:val="left"/>
      <w:pPr>
        <w:ind w:left="840" w:hanging="36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AC2"/>
    <w:rsid w:val="000155BB"/>
    <w:rsid w:val="0002543E"/>
    <w:rsid w:val="00030C3A"/>
    <w:rsid w:val="000358E7"/>
    <w:rsid w:val="00042630"/>
    <w:rsid w:val="000503E5"/>
    <w:rsid w:val="0006271A"/>
    <w:rsid w:val="00065319"/>
    <w:rsid w:val="0007075F"/>
    <w:rsid w:val="0007650F"/>
    <w:rsid w:val="00084A5A"/>
    <w:rsid w:val="000C2524"/>
    <w:rsid w:val="000C2DF1"/>
    <w:rsid w:val="000E669C"/>
    <w:rsid w:val="000F0119"/>
    <w:rsid w:val="000F2B4C"/>
    <w:rsid w:val="000F56D3"/>
    <w:rsid w:val="0010193F"/>
    <w:rsid w:val="0011354A"/>
    <w:rsid w:val="00114FC9"/>
    <w:rsid w:val="001172F6"/>
    <w:rsid w:val="0011768C"/>
    <w:rsid w:val="001251FA"/>
    <w:rsid w:val="0012711B"/>
    <w:rsid w:val="00133139"/>
    <w:rsid w:val="00137E37"/>
    <w:rsid w:val="001547BF"/>
    <w:rsid w:val="00167D27"/>
    <w:rsid w:val="00170216"/>
    <w:rsid w:val="001702C4"/>
    <w:rsid w:val="001707B7"/>
    <w:rsid w:val="00176E6F"/>
    <w:rsid w:val="0019535B"/>
    <w:rsid w:val="001A4C1A"/>
    <w:rsid w:val="001B3CDE"/>
    <w:rsid w:val="001C2092"/>
    <w:rsid w:val="001C7559"/>
    <w:rsid w:val="001D7B69"/>
    <w:rsid w:val="001E0BBC"/>
    <w:rsid w:val="001E67FC"/>
    <w:rsid w:val="001F6B21"/>
    <w:rsid w:val="00205AE3"/>
    <w:rsid w:val="002207EF"/>
    <w:rsid w:val="00223371"/>
    <w:rsid w:val="002259FA"/>
    <w:rsid w:val="00230CC7"/>
    <w:rsid w:val="00251DD5"/>
    <w:rsid w:val="0026523F"/>
    <w:rsid w:val="00285F3A"/>
    <w:rsid w:val="00292984"/>
    <w:rsid w:val="002A62DA"/>
    <w:rsid w:val="002A7E0F"/>
    <w:rsid w:val="002B0469"/>
    <w:rsid w:val="002B5984"/>
    <w:rsid w:val="002B6FC6"/>
    <w:rsid w:val="002C6496"/>
    <w:rsid w:val="002D0425"/>
    <w:rsid w:val="002D29E2"/>
    <w:rsid w:val="002D56A3"/>
    <w:rsid w:val="002E6AC2"/>
    <w:rsid w:val="00312B16"/>
    <w:rsid w:val="003248FE"/>
    <w:rsid w:val="00332929"/>
    <w:rsid w:val="00337CCB"/>
    <w:rsid w:val="003502FA"/>
    <w:rsid w:val="003619BC"/>
    <w:rsid w:val="003710A1"/>
    <w:rsid w:val="003727F2"/>
    <w:rsid w:val="00376B63"/>
    <w:rsid w:val="00376F28"/>
    <w:rsid w:val="003822B9"/>
    <w:rsid w:val="00382314"/>
    <w:rsid w:val="00392443"/>
    <w:rsid w:val="003A0246"/>
    <w:rsid w:val="003A0A38"/>
    <w:rsid w:val="003A5BF9"/>
    <w:rsid w:val="003B364B"/>
    <w:rsid w:val="003B4208"/>
    <w:rsid w:val="003C0D6E"/>
    <w:rsid w:val="003C4EBB"/>
    <w:rsid w:val="003D2EA2"/>
    <w:rsid w:val="003D652B"/>
    <w:rsid w:val="004016D8"/>
    <w:rsid w:val="00403D96"/>
    <w:rsid w:val="00406D02"/>
    <w:rsid w:val="00420E5F"/>
    <w:rsid w:val="004221FB"/>
    <w:rsid w:val="00424FF9"/>
    <w:rsid w:val="004258C3"/>
    <w:rsid w:val="004349CE"/>
    <w:rsid w:val="004364C5"/>
    <w:rsid w:val="004512D7"/>
    <w:rsid w:val="00454121"/>
    <w:rsid w:val="0046147A"/>
    <w:rsid w:val="00462103"/>
    <w:rsid w:val="00463650"/>
    <w:rsid w:val="0046530B"/>
    <w:rsid w:val="00477D2B"/>
    <w:rsid w:val="00480116"/>
    <w:rsid w:val="004814B2"/>
    <w:rsid w:val="00483F00"/>
    <w:rsid w:val="00497668"/>
    <w:rsid w:val="004A1A02"/>
    <w:rsid w:val="004A3C13"/>
    <w:rsid w:val="004B22FD"/>
    <w:rsid w:val="004B2EEB"/>
    <w:rsid w:val="004B6AC4"/>
    <w:rsid w:val="004C57CC"/>
    <w:rsid w:val="004D023E"/>
    <w:rsid w:val="004D510B"/>
    <w:rsid w:val="004F3A75"/>
    <w:rsid w:val="004F48B9"/>
    <w:rsid w:val="00505966"/>
    <w:rsid w:val="00505C65"/>
    <w:rsid w:val="00506075"/>
    <w:rsid w:val="00510770"/>
    <w:rsid w:val="00511C08"/>
    <w:rsid w:val="0051254F"/>
    <w:rsid w:val="00520806"/>
    <w:rsid w:val="00550935"/>
    <w:rsid w:val="00554E23"/>
    <w:rsid w:val="00564D55"/>
    <w:rsid w:val="0056765F"/>
    <w:rsid w:val="005944D0"/>
    <w:rsid w:val="005A467C"/>
    <w:rsid w:val="005A74F5"/>
    <w:rsid w:val="005C361B"/>
    <w:rsid w:val="005D66AA"/>
    <w:rsid w:val="005F30BB"/>
    <w:rsid w:val="00603E90"/>
    <w:rsid w:val="006073EB"/>
    <w:rsid w:val="006167C7"/>
    <w:rsid w:val="00616B28"/>
    <w:rsid w:val="006176AA"/>
    <w:rsid w:val="006224A2"/>
    <w:rsid w:val="0066686F"/>
    <w:rsid w:val="006A2951"/>
    <w:rsid w:val="006B6D48"/>
    <w:rsid w:val="006C0FEE"/>
    <w:rsid w:val="006C76C2"/>
    <w:rsid w:val="006D09B1"/>
    <w:rsid w:val="006F29EB"/>
    <w:rsid w:val="006F5E5B"/>
    <w:rsid w:val="00710E31"/>
    <w:rsid w:val="00717A62"/>
    <w:rsid w:val="0072036E"/>
    <w:rsid w:val="007205A3"/>
    <w:rsid w:val="00721F23"/>
    <w:rsid w:val="00725067"/>
    <w:rsid w:val="00726BC4"/>
    <w:rsid w:val="0073139C"/>
    <w:rsid w:val="0073691F"/>
    <w:rsid w:val="00740C88"/>
    <w:rsid w:val="00745404"/>
    <w:rsid w:val="00746F59"/>
    <w:rsid w:val="00765A36"/>
    <w:rsid w:val="00773574"/>
    <w:rsid w:val="00777D5D"/>
    <w:rsid w:val="0079375A"/>
    <w:rsid w:val="0079593A"/>
    <w:rsid w:val="00797205"/>
    <w:rsid w:val="007A0DB8"/>
    <w:rsid w:val="007A0F65"/>
    <w:rsid w:val="007A1557"/>
    <w:rsid w:val="007E22C2"/>
    <w:rsid w:val="007F72B0"/>
    <w:rsid w:val="00803176"/>
    <w:rsid w:val="00807005"/>
    <w:rsid w:val="00822372"/>
    <w:rsid w:val="00823B42"/>
    <w:rsid w:val="00823F18"/>
    <w:rsid w:val="008430C3"/>
    <w:rsid w:val="008545C2"/>
    <w:rsid w:val="008569F8"/>
    <w:rsid w:val="00861F43"/>
    <w:rsid w:val="00862B5B"/>
    <w:rsid w:val="008664A0"/>
    <w:rsid w:val="00866EFB"/>
    <w:rsid w:val="00871EB3"/>
    <w:rsid w:val="00872149"/>
    <w:rsid w:val="008726F9"/>
    <w:rsid w:val="00874222"/>
    <w:rsid w:val="008775BC"/>
    <w:rsid w:val="00885468"/>
    <w:rsid w:val="0089427B"/>
    <w:rsid w:val="00894C81"/>
    <w:rsid w:val="008A1C82"/>
    <w:rsid w:val="008B6DD3"/>
    <w:rsid w:val="008B75A2"/>
    <w:rsid w:val="008C184C"/>
    <w:rsid w:val="008C2274"/>
    <w:rsid w:val="008D5951"/>
    <w:rsid w:val="008E6C42"/>
    <w:rsid w:val="00907F7E"/>
    <w:rsid w:val="009115C7"/>
    <w:rsid w:val="00913B4A"/>
    <w:rsid w:val="00915107"/>
    <w:rsid w:val="00922686"/>
    <w:rsid w:val="009363C0"/>
    <w:rsid w:val="00936B11"/>
    <w:rsid w:val="00937BC4"/>
    <w:rsid w:val="00940861"/>
    <w:rsid w:val="00941F39"/>
    <w:rsid w:val="009608A0"/>
    <w:rsid w:val="00963EB3"/>
    <w:rsid w:val="00983843"/>
    <w:rsid w:val="00994C2D"/>
    <w:rsid w:val="009A03EF"/>
    <w:rsid w:val="009A4CAF"/>
    <w:rsid w:val="009B0889"/>
    <w:rsid w:val="009C31E9"/>
    <w:rsid w:val="009D4C1E"/>
    <w:rsid w:val="009D734E"/>
    <w:rsid w:val="009E7412"/>
    <w:rsid w:val="009F1DCE"/>
    <w:rsid w:val="00A036BD"/>
    <w:rsid w:val="00A24318"/>
    <w:rsid w:val="00A433A2"/>
    <w:rsid w:val="00A460D6"/>
    <w:rsid w:val="00A5357D"/>
    <w:rsid w:val="00A736BD"/>
    <w:rsid w:val="00A85594"/>
    <w:rsid w:val="00A96599"/>
    <w:rsid w:val="00AB0D8C"/>
    <w:rsid w:val="00AC0C73"/>
    <w:rsid w:val="00AC72D3"/>
    <w:rsid w:val="00AD2117"/>
    <w:rsid w:val="00AD23F0"/>
    <w:rsid w:val="00AD71EF"/>
    <w:rsid w:val="00AE4FFF"/>
    <w:rsid w:val="00AE51D1"/>
    <w:rsid w:val="00AE5E13"/>
    <w:rsid w:val="00AF1786"/>
    <w:rsid w:val="00AF3D56"/>
    <w:rsid w:val="00AF6AAD"/>
    <w:rsid w:val="00B23A56"/>
    <w:rsid w:val="00B26E08"/>
    <w:rsid w:val="00B346E4"/>
    <w:rsid w:val="00B53D0E"/>
    <w:rsid w:val="00B61377"/>
    <w:rsid w:val="00B67F48"/>
    <w:rsid w:val="00B71CBD"/>
    <w:rsid w:val="00B80122"/>
    <w:rsid w:val="00B80314"/>
    <w:rsid w:val="00B94756"/>
    <w:rsid w:val="00BC3321"/>
    <w:rsid w:val="00BC3EAD"/>
    <w:rsid w:val="00BE46DC"/>
    <w:rsid w:val="00BF5187"/>
    <w:rsid w:val="00C01237"/>
    <w:rsid w:val="00C013A0"/>
    <w:rsid w:val="00C04DF8"/>
    <w:rsid w:val="00C14523"/>
    <w:rsid w:val="00C17E4F"/>
    <w:rsid w:val="00C21958"/>
    <w:rsid w:val="00C25B54"/>
    <w:rsid w:val="00C26ED7"/>
    <w:rsid w:val="00C3069A"/>
    <w:rsid w:val="00C31268"/>
    <w:rsid w:val="00C32111"/>
    <w:rsid w:val="00C40499"/>
    <w:rsid w:val="00C414B5"/>
    <w:rsid w:val="00C43C2D"/>
    <w:rsid w:val="00C546FD"/>
    <w:rsid w:val="00C54DE5"/>
    <w:rsid w:val="00C74712"/>
    <w:rsid w:val="00C75695"/>
    <w:rsid w:val="00C80F0F"/>
    <w:rsid w:val="00C95832"/>
    <w:rsid w:val="00CA6765"/>
    <w:rsid w:val="00CB735F"/>
    <w:rsid w:val="00CC65F9"/>
    <w:rsid w:val="00CD7E7F"/>
    <w:rsid w:val="00CE4779"/>
    <w:rsid w:val="00CE6E32"/>
    <w:rsid w:val="00CF5B17"/>
    <w:rsid w:val="00D11309"/>
    <w:rsid w:val="00D15240"/>
    <w:rsid w:val="00D215D5"/>
    <w:rsid w:val="00D2739C"/>
    <w:rsid w:val="00D345C6"/>
    <w:rsid w:val="00D35F73"/>
    <w:rsid w:val="00D849FE"/>
    <w:rsid w:val="00D86915"/>
    <w:rsid w:val="00DA1CC9"/>
    <w:rsid w:val="00DB6CC2"/>
    <w:rsid w:val="00DC42EA"/>
    <w:rsid w:val="00DC4889"/>
    <w:rsid w:val="00DD1086"/>
    <w:rsid w:val="00DE1459"/>
    <w:rsid w:val="00DE6429"/>
    <w:rsid w:val="00DF4A9C"/>
    <w:rsid w:val="00DF6E4F"/>
    <w:rsid w:val="00E0718B"/>
    <w:rsid w:val="00E1204B"/>
    <w:rsid w:val="00E3712D"/>
    <w:rsid w:val="00E5109D"/>
    <w:rsid w:val="00E54CF4"/>
    <w:rsid w:val="00E64E89"/>
    <w:rsid w:val="00E709EC"/>
    <w:rsid w:val="00E70F44"/>
    <w:rsid w:val="00E760DF"/>
    <w:rsid w:val="00E939EA"/>
    <w:rsid w:val="00EA2212"/>
    <w:rsid w:val="00EA2721"/>
    <w:rsid w:val="00EB5CBB"/>
    <w:rsid w:val="00EC0226"/>
    <w:rsid w:val="00EC34A2"/>
    <w:rsid w:val="00EC7C9B"/>
    <w:rsid w:val="00ED1A7D"/>
    <w:rsid w:val="00ED2D93"/>
    <w:rsid w:val="00EF27E2"/>
    <w:rsid w:val="00EF28A6"/>
    <w:rsid w:val="00EF4077"/>
    <w:rsid w:val="00EF5803"/>
    <w:rsid w:val="00EF5A93"/>
    <w:rsid w:val="00EF63EA"/>
    <w:rsid w:val="00F044FF"/>
    <w:rsid w:val="00F205C7"/>
    <w:rsid w:val="00F215EF"/>
    <w:rsid w:val="00F26C6B"/>
    <w:rsid w:val="00F31BAA"/>
    <w:rsid w:val="00F355B7"/>
    <w:rsid w:val="00F37CF9"/>
    <w:rsid w:val="00F42EB3"/>
    <w:rsid w:val="00F454DE"/>
    <w:rsid w:val="00F63475"/>
    <w:rsid w:val="00F70796"/>
    <w:rsid w:val="00F72FA2"/>
    <w:rsid w:val="00F82EFB"/>
    <w:rsid w:val="00F866DB"/>
    <w:rsid w:val="00FA0673"/>
    <w:rsid w:val="00FB7174"/>
    <w:rsid w:val="00FC21D3"/>
    <w:rsid w:val="00FD0478"/>
    <w:rsid w:val="00FD048F"/>
    <w:rsid w:val="00FD3E93"/>
    <w:rsid w:val="00FE3B07"/>
    <w:rsid w:val="00FF3F56"/>
    <w:rsid w:val="00FF457A"/>
    <w:rsid w:val="00FF5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6AC2"/>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99"/>
    <w:qFormat/>
    <w:rsid w:val="002E6AC2"/>
    <w:pPr>
      <w:ind w:firstLineChars="200" w:firstLine="420"/>
    </w:pPr>
    <w:rPr>
      <w:rFonts w:ascii="Times New Roman" w:eastAsia="宋体" w:hAnsi="Times New Roman" w:cs="Times New Roman"/>
      <w:szCs w:val="24"/>
    </w:rPr>
  </w:style>
  <w:style w:type="table" w:styleId="a4">
    <w:name w:val="Table Grid"/>
    <w:basedOn w:val="a1"/>
    <w:uiPriority w:val="39"/>
    <w:rsid w:val="002E6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2E6AC2"/>
    <w:rPr>
      <w:sz w:val="21"/>
      <w:szCs w:val="21"/>
    </w:rPr>
  </w:style>
  <w:style w:type="paragraph" w:styleId="a6">
    <w:name w:val="annotation text"/>
    <w:basedOn w:val="a"/>
    <w:link w:val="Char"/>
    <w:uiPriority w:val="99"/>
    <w:semiHidden/>
    <w:unhideWhenUsed/>
    <w:rsid w:val="002E6AC2"/>
    <w:pPr>
      <w:jc w:val="left"/>
    </w:pPr>
  </w:style>
  <w:style w:type="character" w:customStyle="1" w:styleId="Char">
    <w:name w:val="批注文字 Char"/>
    <w:basedOn w:val="a0"/>
    <w:link w:val="a6"/>
    <w:uiPriority w:val="99"/>
    <w:semiHidden/>
    <w:rsid w:val="002E6AC2"/>
  </w:style>
  <w:style w:type="paragraph" w:styleId="a7">
    <w:name w:val="Balloon Text"/>
    <w:basedOn w:val="a"/>
    <w:link w:val="Char0"/>
    <w:uiPriority w:val="99"/>
    <w:semiHidden/>
    <w:unhideWhenUsed/>
    <w:rsid w:val="002E6AC2"/>
    <w:rPr>
      <w:sz w:val="18"/>
      <w:szCs w:val="18"/>
    </w:rPr>
  </w:style>
  <w:style w:type="character" w:customStyle="1" w:styleId="Char0">
    <w:name w:val="批注框文本 Char"/>
    <w:basedOn w:val="a0"/>
    <w:link w:val="a7"/>
    <w:uiPriority w:val="99"/>
    <w:semiHidden/>
    <w:rsid w:val="002E6AC2"/>
    <w:rPr>
      <w:sz w:val="18"/>
      <w:szCs w:val="18"/>
    </w:rPr>
  </w:style>
  <w:style w:type="paragraph" w:styleId="a8">
    <w:name w:val="annotation subject"/>
    <w:basedOn w:val="a6"/>
    <w:next w:val="a6"/>
    <w:link w:val="Char1"/>
    <w:uiPriority w:val="99"/>
    <w:semiHidden/>
    <w:unhideWhenUsed/>
    <w:rsid w:val="007A0DB8"/>
    <w:rPr>
      <w:b/>
      <w:bCs/>
    </w:rPr>
  </w:style>
  <w:style w:type="character" w:customStyle="1" w:styleId="Char1">
    <w:name w:val="批注主题 Char"/>
    <w:basedOn w:val="Char"/>
    <w:link w:val="a8"/>
    <w:uiPriority w:val="99"/>
    <w:semiHidden/>
    <w:rsid w:val="007A0DB8"/>
    <w:rPr>
      <w:b/>
      <w:bCs/>
    </w:rPr>
  </w:style>
  <w:style w:type="paragraph" w:styleId="a9">
    <w:name w:val="header"/>
    <w:basedOn w:val="a"/>
    <w:link w:val="Char2"/>
    <w:uiPriority w:val="99"/>
    <w:unhideWhenUsed/>
    <w:rsid w:val="003A0A3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3A0A38"/>
    <w:rPr>
      <w:sz w:val="18"/>
      <w:szCs w:val="18"/>
    </w:rPr>
  </w:style>
  <w:style w:type="paragraph" w:styleId="aa">
    <w:name w:val="footer"/>
    <w:basedOn w:val="a"/>
    <w:link w:val="Char3"/>
    <w:uiPriority w:val="99"/>
    <w:unhideWhenUsed/>
    <w:rsid w:val="003A0A38"/>
    <w:pPr>
      <w:tabs>
        <w:tab w:val="center" w:pos="4153"/>
        <w:tab w:val="right" w:pos="8306"/>
      </w:tabs>
      <w:snapToGrid w:val="0"/>
      <w:jc w:val="left"/>
    </w:pPr>
    <w:rPr>
      <w:sz w:val="18"/>
      <w:szCs w:val="18"/>
    </w:rPr>
  </w:style>
  <w:style w:type="character" w:customStyle="1" w:styleId="Char3">
    <w:name w:val="页脚 Char"/>
    <w:basedOn w:val="a0"/>
    <w:link w:val="aa"/>
    <w:uiPriority w:val="99"/>
    <w:rsid w:val="003A0A38"/>
    <w:rPr>
      <w:sz w:val="18"/>
      <w:szCs w:val="18"/>
    </w:rPr>
  </w:style>
  <w:style w:type="paragraph" w:styleId="ab">
    <w:name w:val="Revision"/>
    <w:hidden/>
    <w:uiPriority w:val="99"/>
    <w:semiHidden/>
    <w:rsid w:val="00CE4779"/>
  </w:style>
  <w:style w:type="paragraph" w:customStyle="1" w:styleId="CharChar">
    <w:name w:val="Char Char"/>
    <w:basedOn w:val="a"/>
    <w:rsid w:val="00894C8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0907540">
      <w:bodyDiv w:val="1"/>
      <w:marLeft w:val="0"/>
      <w:marRight w:val="0"/>
      <w:marTop w:val="0"/>
      <w:marBottom w:val="0"/>
      <w:divBdr>
        <w:top w:val="none" w:sz="0" w:space="0" w:color="auto"/>
        <w:left w:val="none" w:sz="0" w:space="0" w:color="auto"/>
        <w:bottom w:val="none" w:sz="0" w:space="0" w:color="auto"/>
        <w:right w:val="none" w:sz="0" w:space="0" w:color="auto"/>
      </w:divBdr>
    </w:div>
    <w:div w:id="28723350">
      <w:bodyDiv w:val="1"/>
      <w:marLeft w:val="0"/>
      <w:marRight w:val="0"/>
      <w:marTop w:val="0"/>
      <w:marBottom w:val="0"/>
      <w:divBdr>
        <w:top w:val="none" w:sz="0" w:space="0" w:color="auto"/>
        <w:left w:val="none" w:sz="0" w:space="0" w:color="auto"/>
        <w:bottom w:val="none" w:sz="0" w:space="0" w:color="auto"/>
        <w:right w:val="none" w:sz="0" w:space="0" w:color="auto"/>
      </w:divBdr>
    </w:div>
    <w:div w:id="219679353">
      <w:bodyDiv w:val="1"/>
      <w:marLeft w:val="0"/>
      <w:marRight w:val="0"/>
      <w:marTop w:val="0"/>
      <w:marBottom w:val="0"/>
      <w:divBdr>
        <w:top w:val="none" w:sz="0" w:space="0" w:color="auto"/>
        <w:left w:val="none" w:sz="0" w:space="0" w:color="auto"/>
        <w:bottom w:val="none" w:sz="0" w:space="0" w:color="auto"/>
        <w:right w:val="none" w:sz="0" w:space="0" w:color="auto"/>
      </w:divBdr>
    </w:div>
    <w:div w:id="298413942">
      <w:bodyDiv w:val="1"/>
      <w:marLeft w:val="0"/>
      <w:marRight w:val="0"/>
      <w:marTop w:val="0"/>
      <w:marBottom w:val="0"/>
      <w:divBdr>
        <w:top w:val="none" w:sz="0" w:space="0" w:color="auto"/>
        <w:left w:val="none" w:sz="0" w:space="0" w:color="auto"/>
        <w:bottom w:val="none" w:sz="0" w:space="0" w:color="auto"/>
        <w:right w:val="none" w:sz="0" w:space="0" w:color="auto"/>
      </w:divBdr>
    </w:div>
    <w:div w:id="597372595">
      <w:bodyDiv w:val="1"/>
      <w:marLeft w:val="0"/>
      <w:marRight w:val="0"/>
      <w:marTop w:val="0"/>
      <w:marBottom w:val="0"/>
      <w:divBdr>
        <w:top w:val="none" w:sz="0" w:space="0" w:color="auto"/>
        <w:left w:val="none" w:sz="0" w:space="0" w:color="auto"/>
        <w:bottom w:val="none" w:sz="0" w:space="0" w:color="auto"/>
        <w:right w:val="none" w:sz="0" w:space="0" w:color="auto"/>
      </w:divBdr>
    </w:div>
    <w:div w:id="604384464">
      <w:bodyDiv w:val="1"/>
      <w:marLeft w:val="0"/>
      <w:marRight w:val="0"/>
      <w:marTop w:val="0"/>
      <w:marBottom w:val="0"/>
      <w:divBdr>
        <w:top w:val="none" w:sz="0" w:space="0" w:color="auto"/>
        <w:left w:val="none" w:sz="0" w:space="0" w:color="auto"/>
        <w:bottom w:val="none" w:sz="0" w:space="0" w:color="auto"/>
        <w:right w:val="none" w:sz="0" w:space="0" w:color="auto"/>
      </w:divBdr>
    </w:div>
    <w:div w:id="650646430">
      <w:bodyDiv w:val="1"/>
      <w:marLeft w:val="0"/>
      <w:marRight w:val="0"/>
      <w:marTop w:val="0"/>
      <w:marBottom w:val="0"/>
      <w:divBdr>
        <w:top w:val="none" w:sz="0" w:space="0" w:color="auto"/>
        <w:left w:val="none" w:sz="0" w:space="0" w:color="auto"/>
        <w:bottom w:val="none" w:sz="0" w:space="0" w:color="auto"/>
        <w:right w:val="none" w:sz="0" w:space="0" w:color="auto"/>
      </w:divBdr>
    </w:div>
    <w:div w:id="834417892">
      <w:bodyDiv w:val="1"/>
      <w:marLeft w:val="0"/>
      <w:marRight w:val="0"/>
      <w:marTop w:val="0"/>
      <w:marBottom w:val="0"/>
      <w:divBdr>
        <w:top w:val="none" w:sz="0" w:space="0" w:color="auto"/>
        <w:left w:val="none" w:sz="0" w:space="0" w:color="auto"/>
        <w:bottom w:val="none" w:sz="0" w:space="0" w:color="auto"/>
        <w:right w:val="none" w:sz="0" w:space="0" w:color="auto"/>
      </w:divBdr>
    </w:div>
    <w:div w:id="1051345725">
      <w:bodyDiv w:val="1"/>
      <w:marLeft w:val="0"/>
      <w:marRight w:val="0"/>
      <w:marTop w:val="0"/>
      <w:marBottom w:val="0"/>
      <w:divBdr>
        <w:top w:val="none" w:sz="0" w:space="0" w:color="auto"/>
        <w:left w:val="none" w:sz="0" w:space="0" w:color="auto"/>
        <w:bottom w:val="none" w:sz="0" w:space="0" w:color="auto"/>
        <w:right w:val="none" w:sz="0" w:space="0" w:color="auto"/>
      </w:divBdr>
    </w:div>
    <w:div w:id="1138688084">
      <w:bodyDiv w:val="1"/>
      <w:marLeft w:val="0"/>
      <w:marRight w:val="0"/>
      <w:marTop w:val="0"/>
      <w:marBottom w:val="0"/>
      <w:divBdr>
        <w:top w:val="none" w:sz="0" w:space="0" w:color="auto"/>
        <w:left w:val="none" w:sz="0" w:space="0" w:color="auto"/>
        <w:bottom w:val="none" w:sz="0" w:space="0" w:color="auto"/>
        <w:right w:val="none" w:sz="0" w:space="0" w:color="auto"/>
      </w:divBdr>
    </w:div>
    <w:div w:id="1266420596">
      <w:bodyDiv w:val="1"/>
      <w:marLeft w:val="0"/>
      <w:marRight w:val="0"/>
      <w:marTop w:val="0"/>
      <w:marBottom w:val="0"/>
      <w:divBdr>
        <w:top w:val="none" w:sz="0" w:space="0" w:color="auto"/>
        <w:left w:val="none" w:sz="0" w:space="0" w:color="auto"/>
        <w:bottom w:val="none" w:sz="0" w:space="0" w:color="auto"/>
        <w:right w:val="none" w:sz="0" w:space="0" w:color="auto"/>
      </w:divBdr>
    </w:div>
    <w:div w:id="1373112561">
      <w:bodyDiv w:val="1"/>
      <w:marLeft w:val="0"/>
      <w:marRight w:val="0"/>
      <w:marTop w:val="0"/>
      <w:marBottom w:val="0"/>
      <w:divBdr>
        <w:top w:val="none" w:sz="0" w:space="0" w:color="auto"/>
        <w:left w:val="none" w:sz="0" w:space="0" w:color="auto"/>
        <w:bottom w:val="none" w:sz="0" w:space="0" w:color="auto"/>
        <w:right w:val="none" w:sz="0" w:space="0" w:color="auto"/>
      </w:divBdr>
    </w:div>
    <w:div w:id="1448699003">
      <w:bodyDiv w:val="1"/>
      <w:marLeft w:val="0"/>
      <w:marRight w:val="0"/>
      <w:marTop w:val="0"/>
      <w:marBottom w:val="0"/>
      <w:divBdr>
        <w:top w:val="none" w:sz="0" w:space="0" w:color="auto"/>
        <w:left w:val="none" w:sz="0" w:space="0" w:color="auto"/>
        <w:bottom w:val="none" w:sz="0" w:space="0" w:color="auto"/>
        <w:right w:val="none" w:sz="0" w:space="0" w:color="auto"/>
      </w:divBdr>
    </w:div>
    <w:div w:id="2059546483">
      <w:bodyDiv w:val="1"/>
      <w:marLeft w:val="0"/>
      <w:marRight w:val="0"/>
      <w:marTop w:val="0"/>
      <w:marBottom w:val="0"/>
      <w:divBdr>
        <w:top w:val="none" w:sz="0" w:space="0" w:color="auto"/>
        <w:left w:val="none" w:sz="0" w:space="0" w:color="auto"/>
        <w:bottom w:val="none" w:sz="0" w:space="0" w:color="auto"/>
        <w:right w:val="none" w:sz="0" w:space="0" w:color="auto"/>
      </w:divBdr>
      <w:divsChild>
        <w:div w:id="57154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891D-0FA8-4213-9B13-395C728F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2882</Characters>
  <Application>Microsoft Office Word</Application>
  <DocSecurity>4</DocSecurity>
  <Lines>24</Lines>
  <Paragraphs>6</Paragraphs>
  <ScaleCrop>false</ScaleCrop>
  <Company>E FUND</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程才</dc:creator>
  <cp:keywords/>
  <dc:description/>
  <cp:lastModifiedBy>ZHONGM</cp:lastModifiedBy>
  <cp:revision>2</cp:revision>
  <dcterms:created xsi:type="dcterms:W3CDTF">2023-07-05T16:00:00Z</dcterms:created>
  <dcterms:modified xsi:type="dcterms:W3CDTF">2023-07-05T16:00:00Z</dcterms:modified>
</cp:coreProperties>
</file>