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E8" w:rsidRDefault="000658CE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/>
          <w:b/>
          <w:sz w:val="32"/>
          <w:szCs w:val="32"/>
        </w:rPr>
        <w:t>山西证券股份有限公司关于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山西证券裕鑫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180</w:t>
      </w:r>
      <w:r>
        <w:rPr>
          <w:rFonts w:ascii="Times New Roman" w:eastAsia="宋体" w:hAnsi="Times New Roman" w:cs="Times New Roman" w:hint="eastAsia"/>
          <w:b/>
          <w:sz w:val="32"/>
          <w:szCs w:val="32"/>
        </w:rPr>
        <w:t>天持有期</w:t>
      </w:r>
    </w:p>
    <w:p w:rsidR="001731E8" w:rsidRDefault="000658CE">
      <w:pPr>
        <w:spacing w:line="360" w:lineRule="auto"/>
        <w:jc w:val="center"/>
        <w:rPr>
          <w:rFonts w:ascii="Times New Roman" w:eastAsia="宋体" w:hAnsi="Times New Roman" w:cs="Times New Roman"/>
          <w:b/>
          <w:sz w:val="32"/>
          <w:szCs w:val="32"/>
        </w:rPr>
      </w:pPr>
      <w:r>
        <w:rPr>
          <w:rFonts w:ascii="Times New Roman" w:eastAsia="宋体" w:hAnsi="Times New Roman" w:cs="Times New Roman" w:hint="eastAsia"/>
          <w:b/>
          <w:sz w:val="32"/>
          <w:szCs w:val="32"/>
        </w:rPr>
        <w:t>债券型发起式证券投资基金</w:t>
      </w:r>
      <w:r>
        <w:rPr>
          <w:rFonts w:ascii="Times New Roman" w:eastAsia="宋体" w:hAnsi="Times New Roman" w:cs="Times New Roman"/>
          <w:b/>
          <w:sz w:val="32"/>
          <w:szCs w:val="32"/>
        </w:rPr>
        <w:t>新增代销机构的公告</w:t>
      </w:r>
    </w:p>
    <w:p w:rsidR="001731E8" w:rsidRDefault="000658CE">
      <w:pPr>
        <w:spacing w:line="360" w:lineRule="auto"/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/>
          <w:sz w:val="20"/>
          <w:szCs w:val="21"/>
        </w:rPr>
        <w:t xml:space="preserve"> </w:t>
      </w:r>
    </w:p>
    <w:p w:rsidR="001731E8" w:rsidRDefault="000658CE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0"/>
          <w:szCs w:val="21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为满足广大投资者的理财需求，</w:t>
      </w:r>
      <w:r>
        <w:rPr>
          <w:rFonts w:ascii="Times New Roman" w:eastAsia="宋体" w:hAnsi="Times New Roman" w:cs="Times New Roman"/>
          <w:sz w:val="24"/>
          <w:szCs w:val="24"/>
        </w:rPr>
        <w:t>山西证券股份有限公司（以下简称</w:t>
      </w:r>
      <w:r>
        <w:rPr>
          <w:rFonts w:ascii="Times New Roman" w:eastAsia="宋体" w:hAnsi="Times New Roman" w:cs="Times New Roman" w:hint="eastAsia"/>
          <w:sz w:val="24"/>
          <w:szCs w:val="24"/>
        </w:rPr>
        <w:t>“</w:t>
      </w:r>
      <w:r>
        <w:rPr>
          <w:rFonts w:ascii="Times New Roman" w:eastAsia="宋体" w:hAnsi="Times New Roman" w:cs="Times New Roman"/>
          <w:sz w:val="24"/>
          <w:szCs w:val="24"/>
        </w:rPr>
        <w:t>本公司</w:t>
      </w:r>
      <w:r>
        <w:rPr>
          <w:rFonts w:ascii="Times New Roman" w:eastAsia="宋体" w:hAnsi="Times New Roman" w:cs="Times New Roman" w:hint="eastAsia"/>
          <w:sz w:val="24"/>
          <w:szCs w:val="24"/>
        </w:rPr>
        <w:t>”</w:t>
      </w:r>
      <w:r>
        <w:rPr>
          <w:rFonts w:ascii="Times New Roman" w:eastAsia="宋体" w:hAnsi="Times New Roman" w:cs="Times New Roman"/>
          <w:sz w:val="24"/>
          <w:szCs w:val="24"/>
        </w:rPr>
        <w:t>）</w:t>
      </w:r>
      <w:r>
        <w:rPr>
          <w:rFonts w:ascii="Times New Roman" w:eastAsia="宋体" w:hAnsi="Times New Roman" w:cs="Times New Roman" w:hint="eastAsia"/>
          <w:sz w:val="24"/>
          <w:szCs w:val="24"/>
        </w:rPr>
        <w:t>将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新增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珠海盈米基金销售有限公司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（以下简称“盈米基金”）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、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腾安基金销售（深圳）有限公司（以下简称“腾安基金”）</w:t>
      </w:r>
      <w:r>
        <w:rPr>
          <w:rFonts w:ascii="Times New Roman" w:eastAsia="宋体" w:hAnsi="Times New Roman" w:cs="Times New Roman" w:hint="eastAsia"/>
          <w:sz w:val="24"/>
          <w:szCs w:val="24"/>
        </w:rPr>
        <w:t>为山西证券裕鑫</w:t>
      </w:r>
      <w:r>
        <w:rPr>
          <w:rFonts w:ascii="Times New Roman" w:eastAsia="宋体" w:hAnsi="Times New Roman" w:cs="Times New Roman" w:hint="eastAsia"/>
          <w:sz w:val="24"/>
          <w:szCs w:val="24"/>
        </w:rPr>
        <w:t>180</w:t>
      </w:r>
      <w:r>
        <w:rPr>
          <w:rFonts w:ascii="Times New Roman" w:eastAsia="宋体" w:hAnsi="Times New Roman" w:cs="Times New Roman" w:hint="eastAsia"/>
          <w:sz w:val="24"/>
          <w:szCs w:val="24"/>
        </w:rPr>
        <w:t>天持有期债券型发起式证券投资基金的销售机构，具体事宜通知如下：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</w:p>
    <w:p w:rsidR="001731E8" w:rsidRDefault="001731E8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731E8" w:rsidRDefault="000658C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一、适用基金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</w:t>
      </w:r>
    </w:p>
    <w:tbl>
      <w:tblPr>
        <w:tblStyle w:val="a9"/>
        <w:tblW w:w="0" w:type="auto"/>
        <w:tblInd w:w="133" w:type="dxa"/>
        <w:tblLook w:val="04A0"/>
      </w:tblPr>
      <w:tblGrid>
        <w:gridCol w:w="6344"/>
        <w:gridCol w:w="1970"/>
      </w:tblGrid>
      <w:tr w:rsidR="001731E8">
        <w:tc>
          <w:tcPr>
            <w:tcW w:w="6344" w:type="dxa"/>
          </w:tcPr>
          <w:p w:rsidR="001731E8" w:rsidRDefault="000658CE">
            <w:pPr>
              <w:spacing w:line="360" w:lineRule="auto"/>
              <w:ind w:firstLineChars="500" w:firstLine="1205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基金简称</w:t>
            </w:r>
          </w:p>
        </w:tc>
        <w:tc>
          <w:tcPr>
            <w:tcW w:w="1970" w:type="dxa"/>
          </w:tcPr>
          <w:p w:rsidR="001731E8" w:rsidRDefault="000658CE">
            <w:pPr>
              <w:spacing w:line="360" w:lineRule="auto"/>
              <w:jc w:val="center"/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 w:val="24"/>
                <w:szCs w:val="24"/>
              </w:rPr>
              <w:t>基金代码</w:t>
            </w:r>
          </w:p>
        </w:tc>
      </w:tr>
      <w:tr w:rsidR="001731E8">
        <w:tc>
          <w:tcPr>
            <w:tcW w:w="6344" w:type="dxa"/>
          </w:tcPr>
          <w:p w:rsidR="001731E8" w:rsidRDefault="000658CE">
            <w:pPr>
              <w:pStyle w:val="a7"/>
              <w:spacing w:line="450" w:lineRule="atLeast"/>
              <w:rPr>
                <w:rFonts w:ascii="Arial" w:hAnsi="Arial" w:cs="Arial"/>
                <w:color w:val="51515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山西证券裕鑫</w:t>
            </w:r>
            <w:r>
              <w:rPr>
                <w:rFonts w:ascii="Times New Roman" w:hAnsi="Times New Roman" w:cs="Times New Roman" w:hint="eastAsia"/>
                <w:kern w:val="2"/>
              </w:rPr>
              <w:t>180</w:t>
            </w:r>
            <w:r>
              <w:rPr>
                <w:rFonts w:ascii="Times New Roman" w:hAnsi="Times New Roman" w:cs="Times New Roman" w:hint="eastAsia"/>
                <w:kern w:val="2"/>
              </w:rPr>
              <w:t>天持有期债券发起式</w:t>
            </w:r>
            <w:r>
              <w:rPr>
                <w:rFonts w:ascii="Times New Roman" w:hAnsi="Times New Roman" w:cs="Times New Roman" w:hint="eastAsia"/>
                <w:kern w:val="2"/>
              </w:rPr>
              <w:t>A</w:t>
            </w:r>
          </w:p>
        </w:tc>
        <w:tc>
          <w:tcPr>
            <w:tcW w:w="1970" w:type="dxa"/>
          </w:tcPr>
          <w:p w:rsidR="001731E8" w:rsidRDefault="000658CE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Cs w:val="21"/>
              </w:rPr>
              <w:t>01688</w:t>
            </w:r>
            <w:r>
              <w:rPr>
                <w:rFonts w:ascii="Arial" w:hAnsi="Arial" w:cs="Arial" w:hint="eastAsia"/>
                <w:szCs w:val="21"/>
              </w:rPr>
              <w:t>3</w:t>
            </w:r>
          </w:p>
        </w:tc>
      </w:tr>
      <w:tr w:rsidR="001731E8">
        <w:tc>
          <w:tcPr>
            <w:tcW w:w="6344" w:type="dxa"/>
          </w:tcPr>
          <w:p w:rsidR="001731E8" w:rsidRDefault="000658CE">
            <w:pPr>
              <w:pStyle w:val="a7"/>
              <w:spacing w:line="450" w:lineRule="atLeast"/>
              <w:rPr>
                <w:rFonts w:ascii="Arial" w:hAnsi="Arial" w:cs="Arial"/>
                <w:color w:val="515152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kern w:val="2"/>
              </w:rPr>
              <w:t>山西证券裕鑫</w:t>
            </w:r>
            <w:r>
              <w:rPr>
                <w:rFonts w:ascii="Times New Roman" w:hAnsi="Times New Roman" w:cs="Times New Roman" w:hint="eastAsia"/>
                <w:kern w:val="2"/>
              </w:rPr>
              <w:t>180</w:t>
            </w:r>
            <w:r>
              <w:rPr>
                <w:rFonts w:ascii="Times New Roman" w:hAnsi="Times New Roman" w:cs="Times New Roman" w:hint="eastAsia"/>
                <w:kern w:val="2"/>
              </w:rPr>
              <w:t>天持有期债券发起式</w:t>
            </w:r>
            <w:r>
              <w:rPr>
                <w:rFonts w:ascii="Times New Roman" w:hAnsi="Times New Roman" w:cs="Times New Roman" w:hint="eastAsia"/>
                <w:kern w:val="2"/>
              </w:rPr>
              <w:t>C</w:t>
            </w:r>
          </w:p>
        </w:tc>
        <w:tc>
          <w:tcPr>
            <w:tcW w:w="1970" w:type="dxa"/>
          </w:tcPr>
          <w:p w:rsidR="001731E8" w:rsidRDefault="000658CE">
            <w:pPr>
              <w:spacing w:line="360" w:lineRule="auto"/>
              <w:ind w:firstLineChars="200" w:firstLine="4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 w:hint="eastAsia"/>
                <w:szCs w:val="21"/>
              </w:rPr>
              <w:t>01688</w:t>
            </w:r>
            <w:r>
              <w:rPr>
                <w:rFonts w:ascii="Arial" w:hAnsi="Arial" w:cs="Arial" w:hint="eastAsia"/>
                <w:szCs w:val="21"/>
              </w:rPr>
              <w:t>4</w:t>
            </w:r>
          </w:p>
        </w:tc>
      </w:tr>
    </w:tbl>
    <w:p w:rsidR="001731E8" w:rsidRDefault="001731E8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</w:p>
    <w:p w:rsidR="001731E8" w:rsidRDefault="000658C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/>
          <w:b/>
          <w:bCs/>
          <w:sz w:val="24"/>
          <w:szCs w:val="24"/>
        </w:rPr>
        <w:t>二</w:t>
      </w: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、具体内容</w:t>
      </w: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自</w:t>
      </w:r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日起，投资人可通过</w:t>
      </w:r>
      <w:r>
        <w:rPr>
          <w:rFonts w:ascii="宋体" w:eastAsia="宋体" w:hAnsi="Times New Roman" w:cs="宋体" w:hint="eastAsia"/>
          <w:kern w:val="0"/>
          <w:sz w:val="24"/>
          <w:szCs w:val="24"/>
        </w:rPr>
        <w:t>盈米</w:t>
      </w:r>
      <w:r>
        <w:rPr>
          <w:rFonts w:ascii="Times New Roman" w:eastAsia="宋体" w:hAnsi="Times New Roman" w:cs="Times New Roman" w:hint="eastAsia"/>
          <w:sz w:val="24"/>
          <w:szCs w:val="24"/>
        </w:rPr>
        <w:t>基金办理上述列表中基金的开户、申购</w:t>
      </w:r>
      <w:r>
        <w:rPr>
          <w:rFonts w:ascii="Times New Roman" w:eastAsia="宋体" w:hAnsi="Times New Roman" w:cs="Times New Roman" w:hint="eastAsia"/>
          <w:sz w:val="24"/>
          <w:szCs w:val="24"/>
        </w:rPr>
        <w:t>、赎回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基金转换和定期定额投资</w:t>
      </w:r>
      <w:r>
        <w:rPr>
          <w:rFonts w:ascii="Times New Roman" w:eastAsia="宋体" w:hAnsi="Times New Roman" w:cs="Times New Roman" w:hint="eastAsia"/>
          <w:sz w:val="24"/>
          <w:szCs w:val="24"/>
        </w:rPr>
        <w:t>等业务，</w:t>
      </w:r>
      <w:r>
        <w:rPr>
          <w:rFonts w:ascii="Times New Roman" w:eastAsia="宋体" w:hAnsi="Times New Roman" w:cs="Times New Roman" w:hint="eastAsia"/>
          <w:sz w:val="24"/>
          <w:szCs w:val="24"/>
        </w:rPr>
        <w:t>具体的业务流程、办理时间、办理方式以及费率优惠情况以</w:t>
      </w:r>
      <w:r>
        <w:rPr>
          <w:rFonts w:ascii="Times New Roman" w:eastAsia="宋体" w:hAnsi="Times New Roman" w:cs="Times New Roman" w:hint="eastAsia"/>
          <w:sz w:val="24"/>
          <w:szCs w:val="24"/>
        </w:rPr>
        <w:t>上述代销机构</w:t>
      </w:r>
      <w:r>
        <w:rPr>
          <w:rFonts w:ascii="Times New Roman" w:eastAsia="宋体" w:hAnsi="Times New Roman" w:cs="Times New Roman" w:hint="eastAsia"/>
          <w:sz w:val="24"/>
          <w:szCs w:val="24"/>
        </w:rPr>
        <w:t>的规定为准。</w:t>
      </w: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自</w:t>
      </w:r>
      <w:r>
        <w:rPr>
          <w:rFonts w:ascii="Times New Roman" w:eastAsia="宋体" w:hAnsi="Times New Roman" w:cs="Times New Roman" w:hint="eastAsia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 w:hint="eastAsia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5</w:t>
      </w:r>
      <w:r>
        <w:rPr>
          <w:rFonts w:ascii="Times New Roman" w:eastAsia="宋体" w:hAnsi="Times New Roman" w:cs="Times New Roman" w:hint="eastAsia"/>
          <w:sz w:val="24"/>
          <w:szCs w:val="24"/>
        </w:rPr>
        <w:t>日起，投资人可通过腾安基金办理上述列表中基金的开户、申购</w:t>
      </w:r>
      <w:r>
        <w:rPr>
          <w:rFonts w:ascii="Times New Roman" w:eastAsia="宋体" w:hAnsi="Times New Roman" w:cs="Times New Roman" w:hint="eastAsia"/>
          <w:sz w:val="24"/>
          <w:szCs w:val="24"/>
        </w:rPr>
        <w:t>、赎回</w:t>
      </w:r>
      <w:r>
        <w:rPr>
          <w:rFonts w:ascii="Times New Roman" w:eastAsia="宋体" w:hAnsi="Times New Roman" w:cs="Times New Roman" w:hint="eastAsia"/>
          <w:sz w:val="24"/>
          <w:szCs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基金转换和定期定额投资</w:t>
      </w:r>
      <w:r>
        <w:rPr>
          <w:rFonts w:ascii="Times New Roman" w:eastAsia="宋体" w:hAnsi="Times New Roman" w:cs="Times New Roman" w:hint="eastAsia"/>
          <w:sz w:val="24"/>
          <w:szCs w:val="24"/>
        </w:rPr>
        <w:t>等业务，</w:t>
      </w:r>
      <w:r>
        <w:rPr>
          <w:rFonts w:ascii="Times New Roman" w:eastAsia="宋体" w:hAnsi="Times New Roman" w:cs="Times New Roman" w:hint="eastAsia"/>
          <w:sz w:val="24"/>
          <w:szCs w:val="24"/>
        </w:rPr>
        <w:t>具体的业务流程、办理时间、办理方式以及费率优惠情况以</w:t>
      </w:r>
      <w:r>
        <w:rPr>
          <w:rFonts w:ascii="Times New Roman" w:eastAsia="宋体" w:hAnsi="Times New Roman" w:cs="Times New Roman" w:hint="eastAsia"/>
          <w:sz w:val="24"/>
          <w:szCs w:val="24"/>
        </w:rPr>
        <w:t>上述代销机构</w:t>
      </w:r>
      <w:r>
        <w:rPr>
          <w:rFonts w:ascii="Times New Roman" w:eastAsia="宋体" w:hAnsi="Times New Roman" w:cs="Times New Roman" w:hint="eastAsia"/>
          <w:sz w:val="24"/>
          <w:szCs w:val="24"/>
        </w:rPr>
        <w:t>的规定为准。</w:t>
      </w:r>
    </w:p>
    <w:p w:rsidR="001731E8" w:rsidRDefault="000658CE" w:rsidP="000658CE">
      <w:pPr>
        <w:spacing w:beforeLines="100"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三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、重要提示</w:t>
      </w:r>
    </w:p>
    <w:p w:rsidR="001731E8" w:rsidRDefault="000658C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、本公告解释权归本公司所有。</w:t>
      </w:r>
    </w:p>
    <w:p w:rsidR="001731E8" w:rsidRDefault="000658CE">
      <w:pPr>
        <w:spacing w:line="360" w:lineRule="auto"/>
        <w:ind w:firstLine="4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、投资者通过</w:t>
      </w:r>
      <w:r>
        <w:rPr>
          <w:rFonts w:ascii="Times New Roman" w:eastAsia="宋体" w:hAnsi="Times New Roman" w:cs="Times New Roman" w:hint="eastAsia"/>
          <w:sz w:val="24"/>
          <w:szCs w:val="24"/>
        </w:rPr>
        <w:t>上述机构</w:t>
      </w:r>
      <w:r>
        <w:rPr>
          <w:rFonts w:ascii="Times New Roman" w:hAnsi="Times New Roman" w:cs="Times New Roman" w:hint="eastAsia"/>
          <w:sz w:val="24"/>
          <w:szCs w:val="24"/>
        </w:rPr>
        <w:t>的业务办理具体事宜请遵从销售机构的相关规定。</w:t>
      </w: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、</w:t>
      </w:r>
      <w:r>
        <w:rPr>
          <w:sz w:val="24"/>
          <w:szCs w:val="24"/>
        </w:rPr>
        <w:t>上述</w:t>
      </w:r>
      <w:r>
        <w:rPr>
          <w:rFonts w:hint="eastAsia"/>
          <w:sz w:val="24"/>
          <w:szCs w:val="24"/>
        </w:rPr>
        <w:t>交易</w:t>
      </w:r>
      <w:r>
        <w:rPr>
          <w:sz w:val="24"/>
          <w:szCs w:val="24"/>
        </w:rPr>
        <w:t>业务仅适用于处于正常申购期及处于特定开放日和开放时间的基金。基金封闭期等特殊期间的有关规定详见对应基金的《基金合同》和《招募说明书》等相关法律文件及本公司发布的最新业务公告。</w:t>
      </w:r>
    </w:p>
    <w:p w:rsidR="001731E8" w:rsidRDefault="001731E8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</w:p>
    <w:p w:rsidR="001731E8" w:rsidRDefault="000658CE">
      <w:pPr>
        <w:spacing w:line="360" w:lineRule="auto"/>
        <w:rPr>
          <w:rFonts w:ascii="Times New Roman" w:eastAsia="宋体" w:hAnsi="Times New Roman" w:cs="Times New Roman"/>
          <w:b/>
          <w:bCs/>
          <w:sz w:val="24"/>
          <w:szCs w:val="24"/>
        </w:rPr>
      </w:pPr>
      <w:r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四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>、投资者可通过以下途径了解或咨询相关情况</w:t>
      </w:r>
      <w:r>
        <w:rPr>
          <w:rFonts w:ascii="Times New Roman" w:eastAsia="宋体" w:hAnsi="Times New Roman" w:cs="Times New Roman"/>
          <w:b/>
          <w:bCs/>
          <w:sz w:val="24"/>
          <w:szCs w:val="24"/>
        </w:rPr>
        <w:t xml:space="preserve">  </w:t>
      </w:r>
    </w:p>
    <w:p w:rsidR="001731E8" w:rsidRDefault="000658C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lastRenderedPageBreak/>
        <w:t>1</w:t>
      </w:r>
      <w:r>
        <w:rPr>
          <w:rFonts w:ascii="Times New Roman" w:hAnsi="Times New Roman" w:cs="Times New Roman" w:hint="eastAsia"/>
          <w:sz w:val="24"/>
          <w:szCs w:val="24"/>
        </w:rPr>
        <w:t>、珠海盈米基金销售有限公司</w:t>
      </w:r>
    </w:p>
    <w:p w:rsidR="001731E8" w:rsidRDefault="000658C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客服电话：</w:t>
      </w:r>
      <w:r>
        <w:rPr>
          <w:rFonts w:ascii="Times New Roman" w:hAnsi="Times New Roman" w:cs="Times New Roman" w:hint="eastAsia"/>
          <w:sz w:val="24"/>
          <w:szCs w:val="24"/>
        </w:rPr>
        <w:t>020-89629066</w:t>
      </w:r>
    </w:p>
    <w:p w:rsidR="001731E8" w:rsidRDefault="000658C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网址：</w:t>
      </w:r>
      <w:r>
        <w:rPr>
          <w:rFonts w:ascii="Times New Roman" w:hAnsi="Times New Roman" w:cs="Times New Roman" w:hint="eastAsia"/>
          <w:sz w:val="24"/>
          <w:szCs w:val="24"/>
        </w:rPr>
        <w:t>www.yingmi.cn</w:t>
      </w:r>
    </w:p>
    <w:p w:rsidR="001731E8" w:rsidRDefault="000658C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2</w:t>
      </w:r>
      <w:r>
        <w:rPr>
          <w:rFonts w:ascii="Times New Roman" w:hAnsi="Times New Roman" w:cs="Times New Roman" w:hint="eastAsia"/>
          <w:sz w:val="24"/>
          <w:szCs w:val="24"/>
        </w:rPr>
        <w:t>、腾安基金销售（深圳）有限公司</w:t>
      </w:r>
    </w:p>
    <w:p w:rsidR="001731E8" w:rsidRDefault="000658C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客服电话：</w:t>
      </w:r>
      <w:r>
        <w:rPr>
          <w:rFonts w:ascii="Times New Roman" w:hAnsi="Times New Roman" w:cs="Times New Roman" w:hint="eastAsia"/>
          <w:sz w:val="24"/>
          <w:szCs w:val="24"/>
        </w:rPr>
        <w:t>95017(</w:t>
      </w:r>
      <w:r>
        <w:rPr>
          <w:rFonts w:ascii="Times New Roman" w:hAnsi="Times New Roman" w:cs="Times New Roman" w:hint="eastAsia"/>
          <w:sz w:val="24"/>
          <w:szCs w:val="24"/>
        </w:rPr>
        <w:t>拨通后转</w:t>
      </w:r>
      <w:r>
        <w:rPr>
          <w:rFonts w:ascii="Times New Roman" w:hAnsi="Times New Roman" w:cs="Times New Roman" w:hint="eastAsia"/>
          <w:sz w:val="24"/>
          <w:szCs w:val="24"/>
        </w:rPr>
        <w:t>1</w:t>
      </w:r>
      <w:r>
        <w:rPr>
          <w:rFonts w:ascii="Times New Roman" w:hAnsi="Times New Roman" w:cs="Times New Roman" w:hint="eastAsia"/>
          <w:sz w:val="24"/>
          <w:szCs w:val="24"/>
        </w:rPr>
        <w:t>再转</w:t>
      </w:r>
      <w:r>
        <w:rPr>
          <w:rFonts w:ascii="Times New Roman" w:hAnsi="Times New Roman" w:cs="Times New Roman" w:hint="eastAsia"/>
          <w:sz w:val="24"/>
          <w:szCs w:val="24"/>
        </w:rPr>
        <w:t>8)</w:t>
      </w:r>
    </w:p>
    <w:p w:rsidR="001731E8" w:rsidRDefault="000658CE">
      <w:pPr>
        <w:spacing w:line="360" w:lineRule="auto"/>
        <w:ind w:firstLineChars="200"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网址：</w:t>
      </w:r>
      <w:r>
        <w:rPr>
          <w:rFonts w:ascii="Times New Roman" w:hAnsi="Times New Roman" w:cs="Times New Roman" w:hint="eastAsia"/>
          <w:sz w:val="24"/>
          <w:szCs w:val="24"/>
        </w:rPr>
        <w:t>www.txfund.com</w:t>
      </w: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宋体" w:hAnsi="宋体" w:hint="eastAsia"/>
          <w:sz w:val="24"/>
        </w:rPr>
        <w:t>3</w:t>
      </w:r>
      <w:r>
        <w:rPr>
          <w:rFonts w:ascii="宋体" w:hAnsi="宋体" w:hint="eastAsia"/>
          <w:sz w:val="24"/>
        </w:rPr>
        <w:t>、</w:t>
      </w:r>
      <w:r>
        <w:rPr>
          <w:rFonts w:ascii="Times New Roman" w:eastAsia="宋体" w:hAnsi="Times New Roman" w:cs="Times New Roman" w:hint="eastAsia"/>
          <w:sz w:val="24"/>
          <w:szCs w:val="24"/>
        </w:rPr>
        <w:t>山西证券股份有限公司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客服电话：</w:t>
      </w: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0351</w:t>
      </w:r>
      <w:bookmarkStart w:id="0" w:name="_GoBack"/>
      <w:bookmarkEnd w:id="0"/>
      <w:r>
        <w:rPr>
          <w:rFonts w:ascii="Times New Roman" w:eastAsia="宋体" w:hAnsi="Times New Roman" w:cs="Times New Roman" w:hint="eastAsia"/>
          <w:sz w:val="24"/>
          <w:szCs w:val="24"/>
        </w:rPr>
        <w:t>）</w:t>
      </w:r>
      <w:r>
        <w:rPr>
          <w:rFonts w:ascii="Times New Roman" w:eastAsia="宋体" w:hAnsi="Times New Roman" w:cs="Times New Roman"/>
          <w:sz w:val="24"/>
          <w:szCs w:val="24"/>
        </w:rPr>
        <w:t xml:space="preserve">95573  </w:t>
      </w:r>
    </w:p>
    <w:p w:rsidR="001731E8" w:rsidRDefault="000658CE">
      <w:pPr>
        <w:spacing w:line="360" w:lineRule="auto"/>
        <w:ind w:leftChars="200" w:left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公募基金业务网址：</w:t>
      </w:r>
      <w:r>
        <w:t>http://publiclyfund.sxzq.com:8000/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1731E8" w:rsidRDefault="001731E8">
      <w:pPr>
        <w:spacing w:line="360" w:lineRule="auto"/>
        <w:ind w:leftChars="200" w:left="420"/>
        <w:rPr>
          <w:rFonts w:ascii="Times New Roman" w:eastAsia="宋体" w:hAnsi="Times New Roman" w:cs="Times New Roman"/>
          <w:sz w:val="24"/>
          <w:szCs w:val="24"/>
        </w:rPr>
      </w:pP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风险提示</w:t>
      </w:r>
      <w:r>
        <w:rPr>
          <w:rFonts w:ascii="Times New Roman" w:eastAsia="宋体" w:hAnsi="Times New Roman" w:cs="Times New Roman" w:hint="eastAsia"/>
          <w:sz w:val="24"/>
          <w:szCs w:val="24"/>
        </w:rPr>
        <w:t>：</w:t>
      </w:r>
      <w:r>
        <w:rPr>
          <w:rFonts w:ascii="Times New Roman" w:eastAsia="宋体" w:hAnsi="Times New Roman" w:cs="Times New Roman"/>
          <w:sz w:val="24"/>
          <w:szCs w:val="24"/>
        </w:rPr>
        <w:t>本公司承诺以诚实信用、勤勉尽责的原则管理和运用基金资产，但不保证基金一定盈利，也不保证最低收益。基金的过往业绩及其净值高低并不预示其未来业绩表现。敬请投资者注意风险。投资者投资前应认真阅读基金的基金合同、招募说明书（更新）等法律文件，投资与自身风险承受能力相适应的基金。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1731E8" w:rsidRDefault="000658CE">
      <w:pPr>
        <w:spacing w:line="360" w:lineRule="auto"/>
        <w:ind w:firstLine="42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特此公告。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1731E8" w:rsidRDefault="000658CE">
      <w:pPr>
        <w:spacing w:line="360" w:lineRule="auto"/>
        <w:ind w:firstLineChars="1600" w:firstLine="384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山西证券股份有限公司</w:t>
      </w:r>
      <w:r>
        <w:rPr>
          <w:rFonts w:ascii="Times New Roman" w:eastAsia="宋体" w:hAnsi="Times New Roman" w:cs="Times New Roman"/>
          <w:sz w:val="24"/>
          <w:szCs w:val="24"/>
        </w:rPr>
        <w:t xml:space="preserve">  </w:t>
      </w:r>
    </w:p>
    <w:p w:rsidR="001731E8" w:rsidRDefault="000658CE">
      <w:pPr>
        <w:spacing w:line="360" w:lineRule="auto"/>
        <w:ind w:firstLineChars="1800" w:firstLine="4320"/>
        <w:jc w:val="right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/>
          <w:sz w:val="24"/>
          <w:szCs w:val="24"/>
        </w:rPr>
        <w:t>202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 w:hint="eastAsia"/>
          <w:sz w:val="24"/>
          <w:szCs w:val="24"/>
        </w:rPr>
        <w:t>6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30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sectPr w:rsidR="001731E8" w:rsidSect="00173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czNzYxOTRjYjI5NzEzN2QyOGZmNjJlMzZjMDZkMmEifQ=="/>
  </w:docVars>
  <w:rsids>
    <w:rsidRoot w:val="00171C6D"/>
    <w:rsid w:val="000228B3"/>
    <w:rsid w:val="000658CE"/>
    <w:rsid w:val="00114494"/>
    <w:rsid w:val="001415A9"/>
    <w:rsid w:val="00171C6D"/>
    <w:rsid w:val="001731E8"/>
    <w:rsid w:val="00194A02"/>
    <w:rsid w:val="001F4D35"/>
    <w:rsid w:val="002333BE"/>
    <w:rsid w:val="002373A9"/>
    <w:rsid w:val="0027199B"/>
    <w:rsid w:val="0027397F"/>
    <w:rsid w:val="002C2495"/>
    <w:rsid w:val="002D58CB"/>
    <w:rsid w:val="002F3E8F"/>
    <w:rsid w:val="00303425"/>
    <w:rsid w:val="003156FB"/>
    <w:rsid w:val="003562B0"/>
    <w:rsid w:val="00357D8F"/>
    <w:rsid w:val="003C0910"/>
    <w:rsid w:val="00464D63"/>
    <w:rsid w:val="004B3802"/>
    <w:rsid w:val="00531709"/>
    <w:rsid w:val="00535BBD"/>
    <w:rsid w:val="00593636"/>
    <w:rsid w:val="00594717"/>
    <w:rsid w:val="005B0089"/>
    <w:rsid w:val="006D7BC7"/>
    <w:rsid w:val="007301DF"/>
    <w:rsid w:val="0077087D"/>
    <w:rsid w:val="007A014B"/>
    <w:rsid w:val="007E4814"/>
    <w:rsid w:val="00813C2E"/>
    <w:rsid w:val="008439F0"/>
    <w:rsid w:val="0086524B"/>
    <w:rsid w:val="008747DF"/>
    <w:rsid w:val="00897378"/>
    <w:rsid w:val="008C29A9"/>
    <w:rsid w:val="00912E7E"/>
    <w:rsid w:val="009915DC"/>
    <w:rsid w:val="009D77FB"/>
    <w:rsid w:val="009F0647"/>
    <w:rsid w:val="00A45EE4"/>
    <w:rsid w:val="00A55FEE"/>
    <w:rsid w:val="00AF6D87"/>
    <w:rsid w:val="00B13721"/>
    <w:rsid w:val="00B17A4E"/>
    <w:rsid w:val="00B36479"/>
    <w:rsid w:val="00B90D63"/>
    <w:rsid w:val="00CA6714"/>
    <w:rsid w:val="00CF6AEB"/>
    <w:rsid w:val="00D32673"/>
    <w:rsid w:val="00DA30A8"/>
    <w:rsid w:val="00DB30AA"/>
    <w:rsid w:val="00DD3D02"/>
    <w:rsid w:val="00DD66C6"/>
    <w:rsid w:val="00E1068D"/>
    <w:rsid w:val="00E30198"/>
    <w:rsid w:val="00E32FF7"/>
    <w:rsid w:val="00E40B30"/>
    <w:rsid w:val="00F52AE8"/>
    <w:rsid w:val="00FA04E5"/>
    <w:rsid w:val="00FA143D"/>
    <w:rsid w:val="02860386"/>
    <w:rsid w:val="06CA24FE"/>
    <w:rsid w:val="07FA2631"/>
    <w:rsid w:val="126A3188"/>
    <w:rsid w:val="13CD2CF9"/>
    <w:rsid w:val="1C673F24"/>
    <w:rsid w:val="1CC155FB"/>
    <w:rsid w:val="203258DE"/>
    <w:rsid w:val="20687DC1"/>
    <w:rsid w:val="22085E1D"/>
    <w:rsid w:val="2A844876"/>
    <w:rsid w:val="2F200CA5"/>
    <w:rsid w:val="317773D0"/>
    <w:rsid w:val="37603843"/>
    <w:rsid w:val="3B50661A"/>
    <w:rsid w:val="3E424341"/>
    <w:rsid w:val="41C62CD9"/>
    <w:rsid w:val="43332EF1"/>
    <w:rsid w:val="457377E5"/>
    <w:rsid w:val="45D409FE"/>
    <w:rsid w:val="49C532BD"/>
    <w:rsid w:val="4B14646B"/>
    <w:rsid w:val="4B6B3C68"/>
    <w:rsid w:val="4CBE3ECB"/>
    <w:rsid w:val="524C06C0"/>
    <w:rsid w:val="544037C4"/>
    <w:rsid w:val="57A84BF7"/>
    <w:rsid w:val="5B7E4625"/>
    <w:rsid w:val="5C0629FB"/>
    <w:rsid w:val="5FBC4B81"/>
    <w:rsid w:val="60D36CEF"/>
    <w:rsid w:val="610A298C"/>
    <w:rsid w:val="627679D1"/>
    <w:rsid w:val="63B70B43"/>
    <w:rsid w:val="64225248"/>
    <w:rsid w:val="6E6A5518"/>
    <w:rsid w:val="732864F2"/>
    <w:rsid w:val="73D602B7"/>
    <w:rsid w:val="7C9A69C6"/>
    <w:rsid w:val="7D080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1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5">
    <w:name w:val="heading 5"/>
    <w:basedOn w:val="a"/>
    <w:next w:val="a"/>
    <w:link w:val="5Char"/>
    <w:uiPriority w:val="9"/>
    <w:qFormat/>
    <w:rsid w:val="001731E8"/>
    <w:pPr>
      <w:widowControl/>
      <w:spacing w:before="100" w:beforeAutospacing="1" w:after="100" w:afterAutospacing="1"/>
      <w:jc w:val="left"/>
      <w:outlineLvl w:val="4"/>
    </w:pPr>
    <w:rPr>
      <w:rFonts w:ascii="宋体" w:eastAsia="宋体" w:hAnsi="宋体" w:cs="宋体"/>
      <w:b/>
      <w:b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731E8"/>
    <w:rPr>
      <w:rFonts w:ascii="宋体" w:eastAsia="宋体" w:hAnsi="宋体" w:cs="宋体"/>
      <w:sz w:val="24"/>
      <w:szCs w:val="24"/>
      <w:lang w:val="zh-CN" w:bidi="zh-CN"/>
    </w:rPr>
  </w:style>
  <w:style w:type="paragraph" w:styleId="a4">
    <w:name w:val="Balloon Text"/>
    <w:basedOn w:val="a"/>
    <w:link w:val="Char"/>
    <w:uiPriority w:val="99"/>
    <w:semiHidden/>
    <w:unhideWhenUsed/>
    <w:qFormat/>
    <w:rsid w:val="001731E8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rsid w:val="001731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rsid w:val="001731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731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Title"/>
    <w:basedOn w:val="a"/>
    <w:next w:val="a"/>
    <w:uiPriority w:val="10"/>
    <w:qFormat/>
    <w:rsid w:val="001731E8"/>
    <w:pPr>
      <w:spacing w:before="240" w:after="60"/>
      <w:jc w:val="center"/>
      <w:outlineLvl w:val="0"/>
    </w:pPr>
    <w:rPr>
      <w:rFonts w:asciiTheme="majorHAnsi" w:eastAsia="黑体" w:hAnsiTheme="majorHAnsi" w:cstheme="majorBidi"/>
      <w:b/>
      <w:bCs/>
      <w:sz w:val="32"/>
      <w:szCs w:val="32"/>
    </w:rPr>
  </w:style>
  <w:style w:type="table" w:styleId="a9">
    <w:name w:val="Table Grid"/>
    <w:basedOn w:val="a1"/>
    <w:uiPriority w:val="59"/>
    <w:qFormat/>
    <w:rsid w:val="001731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sid w:val="001731E8"/>
    <w:rPr>
      <w:color w:val="800080"/>
      <w:u w:val="single"/>
    </w:rPr>
  </w:style>
  <w:style w:type="character" w:styleId="ab">
    <w:name w:val="Hyperlink"/>
    <w:basedOn w:val="a0"/>
    <w:uiPriority w:val="99"/>
    <w:semiHidden/>
    <w:unhideWhenUsed/>
    <w:qFormat/>
    <w:rsid w:val="001731E8"/>
    <w:rPr>
      <w:color w:val="0000FF"/>
      <w:u w:val="single"/>
    </w:rPr>
  </w:style>
  <w:style w:type="character" w:customStyle="1" w:styleId="Char1">
    <w:name w:val="页眉 Char"/>
    <w:basedOn w:val="a0"/>
    <w:link w:val="a6"/>
    <w:uiPriority w:val="99"/>
    <w:qFormat/>
    <w:rsid w:val="001731E8"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sid w:val="001731E8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qFormat/>
    <w:rsid w:val="001731E8"/>
    <w:rPr>
      <w:sz w:val="18"/>
      <w:szCs w:val="18"/>
    </w:rPr>
  </w:style>
  <w:style w:type="character" w:customStyle="1" w:styleId="5Char">
    <w:name w:val="标题 5 Char"/>
    <w:basedOn w:val="a0"/>
    <w:link w:val="5"/>
    <w:uiPriority w:val="9"/>
    <w:qFormat/>
    <w:rsid w:val="001731E8"/>
    <w:rPr>
      <w:rFonts w:ascii="宋体" w:hAnsi="宋体" w:cs="宋体"/>
      <w:b/>
      <w:bCs/>
    </w:rPr>
  </w:style>
  <w:style w:type="paragraph" w:styleId="ac">
    <w:name w:val="List Paragraph"/>
    <w:basedOn w:val="a"/>
    <w:uiPriority w:val="99"/>
    <w:unhideWhenUsed/>
    <w:qFormat/>
    <w:rsid w:val="001731E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850</Characters>
  <Application>Microsoft Office Word</Application>
  <DocSecurity>4</DocSecurity>
  <Lines>7</Lines>
  <Paragraphs>1</Paragraphs>
  <ScaleCrop>false</ScaleCrop>
  <Company>CNSTOCK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邹学惠</dc:creator>
  <cp:lastModifiedBy>ZHONGM</cp:lastModifiedBy>
  <cp:revision>2</cp:revision>
  <cp:lastPrinted>2020-05-21T08:33:00Z</cp:lastPrinted>
  <dcterms:created xsi:type="dcterms:W3CDTF">2023-06-29T16:01:00Z</dcterms:created>
  <dcterms:modified xsi:type="dcterms:W3CDTF">2023-06-29T16:01:00Z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E8EFC12ED4F343349D2ECEF12F5E45FD</vt:lpwstr>
  </property>
</Properties>
</file>