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Cs w:val="21"/>
        </w:rPr>
      </w:pPr>
      <w:bookmarkStart w:id="0" w:name="_Toc361324840"/>
    </w:p>
    <w:p>
      <w:pPr>
        <w:spacing w:line="360" w:lineRule="auto"/>
        <w:jc w:val="center"/>
        <w:rPr>
          <w:rFonts w:ascii="宋体" w:hAnsi="宋体"/>
          <w:b/>
          <w:szCs w:val="21"/>
        </w:rPr>
      </w:pPr>
    </w:p>
    <w:bookmarkEnd w:id="0"/>
    <w:p>
      <w:pPr>
        <w:spacing w:line="360" w:lineRule="auto"/>
        <w:jc w:val="center"/>
        <w:rPr>
          <w:rFonts w:ascii="宋体" w:hAnsi="宋体"/>
          <w:b/>
          <w:sz w:val="52"/>
          <w:szCs w:val="52"/>
        </w:rPr>
      </w:pPr>
      <w:bookmarkStart w:id="1" w:name="_Toc361324841"/>
      <w:r>
        <w:rPr>
          <w:rFonts w:hint="eastAsia" w:ascii="宋体" w:hAnsi="宋体"/>
          <w:b/>
          <w:sz w:val="52"/>
          <w:szCs w:val="52"/>
        </w:rPr>
        <w:t>博时恒荣一年持有期混合型证券投资基金基金清算报告</w:t>
      </w:r>
      <w:bookmarkEnd w:id="1"/>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spacing w:line="360" w:lineRule="auto"/>
        <w:jc w:val="center"/>
        <w:rPr>
          <w:rFonts w:ascii="宋体" w:hAnsi="宋体"/>
          <w:b/>
          <w:color w:val="000000"/>
          <w:sz w:val="36"/>
          <w:szCs w:val="36"/>
        </w:rPr>
      </w:pPr>
      <w:r>
        <w:rPr>
          <w:rFonts w:ascii="宋体" w:hAnsi="宋体"/>
          <w:b/>
          <w:color w:val="000000"/>
          <w:sz w:val="36"/>
          <w:szCs w:val="36"/>
        </w:rPr>
        <w:t>基金管理人：博时基金管理有限公司</w:t>
      </w:r>
    </w:p>
    <w:p>
      <w:pPr>
        <w:spacing w:line="360" w:lineRule="auto"/>
        <w:jc w:val="center"/>
        <w:rPr>
          <w:rFonts w:ascii="宋体" w:hAnsi="宋体"/>
          <w:b/>
          <w:color w:val="000000"/>
          <w:sz w:val="36"/>
          <w:szCs w:val="36"/>
        </w:rPr>
      </w:pPr>
      <w:r>
        <w:rPr>
          <w:rFonts w:ascii="宋体" w:hAnsi="宋体"/>
          <w:b/>
          <w:color w:val="000000"/>
          <w:sz w:val="36"/>
          <w:szCs w:val="36"/>
        </w:rPr>
        <w:t>基金托管人：</w:t>
      </w:r>
      <w:r>
        <w:rPr>
          <w:rFonts w:hint="eastAsia" w:ascii="宋体" w:hAnsi="宋体"/>
          <w:b/>
          <w:color w:val="000000"/>
          <w:sz w:val="36"/>
          <w:szCs w:val="36"/>
        </w:rPr>
        <w:t>中国建设银行股份有限公司</w:t>
      </w:r>
    </w:p>
    <w:p>
      <w:pPr>
        <w:spacing w:line="360" w:lineRule="auto"/>
        <w:jc w:val="center"/>
        <w:rPr>
          <w:rFonts w:ascii="宋体" w:hAnsi="宋体"/>
          <w:b/>
          <w:color w:val="000000"/>
          <w:sz w:val="36"/>
          <w:szCs w:val="36"/>
        </w:rPr>
      </w:pPr>
      <w:r>
        <w:rPr>
          <w:rFonts w:ascii="宋体" w:hAnsi="宋体"/>
          <w:b/>
          <w:color w:val="000000"/>
          <w:sz w:val="36"/>
          <w:szCs w:val="36"/>
        </w:rPr>
        <w:t>报告</w:t>
      </w:r>
      <w:r>
        <w:rPr>
          <w:rFonts w:hint="eastAsia" w:ascii="宋体" w:hAnsi="宋体"/>
          <w:b/>
          <w:color w:val="000000"/>
          <w:sz w:val="36"/>
          <w:szCs w:val="36"/>
        </w:rPr>
        <w:t>出具</w:t>
      </w:r>
      <w:r>
        <w:rPr>
          <w:rFonts w:ascii="宋体" w:hAnsi="宋体"/>
          <w:b/>
          <w:color w:val="000000"/>
          <w:sz w:val="36"/>
          <w:szCs w:val="36"/>
        </w:rPr>
        <w:t>日期：二〇</w:t>
      </w:r>
      <w:r>
        <w:rPr>
          <w:rFonts w:hint="eastAsia" w:ascii="宋体" w:hAnsi="宋体"/>
          <w:b/>
          <w:color w:val="000000"/>
          <w:sz w:val="36"/>
          <w:szCs w:val="36"/>
        </w:rPr>
        <w:t>二</w:t>
      </w:r>
      <w:r>
        <w:rPr>
          <w:rFonts w:hint="eastAsia" w:ascii="宋体" w:hAnsi="宋体"/>
          <w:b/>
          <w:color w:val="000000"/>
          <w:sz w:val="36"/>
          <w:szCs w:val="36"/>
          <w:lang w:val="en-US" w:eastAsia="zh-CN"/>
        </w:rPr>
        <w:t>三</w:t>
      </w:r>
      <w:r>
        <w:rPr>
          <w:rFonts w:ascii="宋体" w:hAnsi="宋体"/>
          <w:b/>
          <w:color w:val="000000"/>
          <w:sz w:val="36"/>
          <w:szCs w:val="36"/>
        </w:rPr>
        <w:t>年</w:t>
      </w:r>
      <w:r>
        <w:rPr>
          <w:rFonts w:hint="eastAsia" w:ascii="宋体" w:hAnsi="宋体"/>
          <w:b/>
          <w:color w:val="000000"/>
          <w:sz w:val="36"/>
          <w:szCs w:val="36"/>
        </w:rPr>
        <w:t>六</w:t>
      </w:r>
      <w:r>
        <w:rPr>
          <w:rFonts w:ascii="宋体" w:hAnsi="宋体"/>
          <w:b/>
          <w:color w:val="000000"/>
          <w:sz w:val="36"/>
          <w:szCs w:val="36"/>
        </w:rPr>
        <w:t>月</w:t>
      </w:r>
      <w:r>
        <w:rPr>
          <w:rFonts w:hint="eastAsia" w:ascii="宋体" w:hAnsi="宋体"/>
          <w:b/>
          <w:color w:val="000000"/>
          <w:sz w:val="36"/>
          <w:szCs w:val="36"/>
          <w:lang w:val="en-US" w:eastAsia="zh-CN"/>
        </w:rPr>
        <w:t>十五</w:t>
      </w:r>
      <w:r>
        <w:rPr>
          <w:rFonts w:hint="eastAsia" w:ascii="宋体" w:hAnsi="宋体"/>
          <w:b/>
          <w:color w:val="000000"/>
          <w:sz w:val="36"/>
          <w:szCs w:val="36"/>
        </w:rPr>
        <w:t>日</w:t>
      </w:r>
    </w:p>
    <w:p>
      <w:pPr>
        <w:spacing w:line="360" w:lineRule="auto"/>
        <w:jc w:val="center"/>
        <w:rPr>
          <w:rFonts w:ascii="宋体" w:hAnsi="宋体"/>
          <w:b/>
          <w:color w:val="000000"/>
          <w:sz w:val="36"/>
          <w:szCs w:val="36"/>
        </w:rPr>
      </w:pPr>
      <w:r>
        <w:rPr>
          <w:rFonts w:hint="eastAsia" w:ascii="宋体" w:hAnsi="宋体"/>
          <w:b/>
          <w:color w:val="000000"/>
          <w:sz w:val="36"/>
          <w:szCs w:val="36"/>
        </w:rPr>
        <w:t>报告公告日期：二〇二</w:t>
      </w:r>
      <w:r>
        <w:rPr>
          <w:rFonts w:hint="eastAsia" w:ascii="宋体" w:hAnsi="宋体"/>
          <w:b/>
          <w:color w:val="000000"/>
          <w:sz w:val="36"/>
          <w:szCs w:val="36"/>
          <w:lang w:val="en-US" w:eastAsia="zh-CN"/>
        </w:rPr>
        <w:t>三</w:t>
      </w:r>
      <w:r>
        <w:rPr>
          <w:rFonts w:hint="eastAsia" w:ascii="宋体" w:hAnsi="宋体"/>
          <w:b/>
          <w:color w:val="000000"/>
          <w:sz w:val="36"/>
          <w:szCs w:val="36"/>
        </w:rPr>
        <w:t>年六月</w:t>
      </w:r>
      <w:r>
        <w:rPr>
          <w:rFonts w:hint="eastAsia" w:ascii="宋体" w:hAnsi="宋体"/>
          <w:b/>
          <w:color w:val="000000"/>
          <w:sz w:val="36"/>
          <w:szCs w:val="36"/>
          <w:lang w:val="en-US" w:eastAsia="zh-CN"/>
        </w:rPr>
        <w:t>二十九</w:t>
      </w:r>
      <w:r>
        <w:rPr>
          <w:rFonts w:hint="eastAsia" w:ascii="宋体" w:hAnsi="宋体"/>
          <w:b/>
          <w:color w:val="000000"/>
          <w:sz w:val="36"/>
          <w:szCs w:val="36"/>
        </w:rPr>
        <w:t>日</w:t>
      </w:r>
    </w:p>
    <w:p>
      <w:pPr>
        <w:spacing w:line="360" w:lineRule="auto"/>
        <w:jc w:val="center"/>
        <w:rPr>
          <w:rFonts w:ascii="宋体" w:hAnsi="宋体"/>
          <w:b/>
          <w:color w:val="000000"/>
          <w:sz w:val="36"/>
          <w:szCs w:val="36"/>
        </w:rPr>
      </w:pPr>
    </w:p>
    <w:p>
      <w:pPr>
        <w:spacing w:line="360" w:lineRule="auto"/>
        <w:ind w:firstLine="1265" w:firstLineChars="350"/>
        <w:rPr>
          <w:rFonts w:ascii="宋体" w:hAnsi="宋体"/>
          <w:b/>
          <w:color w:val="000000"/>
          <w:sz w:val="36"/>
          <w:szCs w:val="36"/>
        </w:rPr>
        <w:sectPr>
          <w:headerReference r:id="rId3" w:type="default"/>
          <w:footerReference r:id="rId4" w:type="default"/>
          <w:pgSz w:w="11926" w:h="15840"/>
          <w:pgMar w:top="1418" w:right="1418" w:bottom="851" w:left="1418" w:header="851" w:footer="992" w:gutter="0"/>
          <w:pgNumType w:start="1"/>
          <w:cols w:space="720" w:num="1"/>
          <w:titlePg/>
          <w:docGrid w:linePitch="286" w:charSpace="0"/>
        </w:sectPr>
      </w:pPr>
    </w:p>
    <w:sdt>
      <w:sdtPr>
        <w:rPr>
          <w:rFonts w:ascii="Times New Roman" w:hAnsi="Times New Roman" w:eastAsia="宋体" w:cs="Times New Roman"/>
          <w:b w:val="0"/>
          <w:bCs w:val="0"/>
          <w:color w:val="auto"/>
          <w:kern w:val="2"/>
          <w:sz w:val="21"/>
          <w:szCs w:val="24"/>
          <w:lang w:val="zh-CN"/>
        </w:rPr>
        <w:id w:val="542722309"/>
        <w:docPartObj>
          <w:docPartGallery w:val="Table of Contents"/>
          <w:docPartUnique/>
        </w:docPartObj>
      </w:sdtPr>
      <w:sdtEndPr>
        <w:rPr>
          <w:rFonts w:ascii="Times New Roman" w:hAnsi="Times New Roman" w:eastAsia="宋体" w:cs="Times New Roman"/>
          <w:b w:val="0"/>
          <w:bCs w:val="0"/>
          <w:color w:val="auto"/>
          <w:kern w:val="2"/>
          <w:sz w:val="21"/>
          <w:szCs w:val="24"/>
          <w:lang w:val="zh-CN"/>
        </w:rPr>
      </w:sdtEndPr>
      <w:sdtContent>
        <w:p>
          <w:pPr>
            <w:pStyle w:val="32"/>
            <w:jc w:val="center"/>
          </w:pPr>
          <w:bookmarkStart w:id="2" w:name="_Toc484769794"/>
          <w:r>
            <w:rPr>
              <w:lang w:val="zh-CN"/>
            </w:rPr>
            <w:t>目录</w:t>
          </w:r>
        </w:p>
        <w:p>
          <w:pPr>
            <w:pStyle w:val="9"/>
            <w:tabs>
              <w:tab w:val="right" w:leader="dot" w:pos="8296"/>
            </w:tabs>
            <w:rPr>
              <w:rFonts w:asciiTheme="minorHAnsi" w:hAnsiTheme="minorHAnsi" w:eastAsiaTheme="minorEastAsia" w:cstheme="minorBidi"/>
              <w:szCs w:val="22"/>
            </w:rPr>
          </w:pPr>
          <w:r>
            <w:fldChar w:fldCharType="begin"/>
          </w:r>
          <w:r>
            <w:instrText xml:space="preserve"> TOC \o "1-3" \h \z \u </w:instrText>
          </w:r>
          <w:r>
            <w:fldChar w:fldCharType="separate"/>
          </w:r>
          <w:r>
            <w:fldChar w:fldCharType="begin"/>
          </w:r>
          <w:r>
            <w:instrText xml:space="preserve"> HYPERLINK \l "_Toc491963077" </w:instrText>
          </w:r>
          <w:r>
            <w:fldChar w:fldCharType="separate"/>
          </w:r>
          <w:r>
            <w:rPr>
              <w:rStyle w:val="15"/>
              <w:rFonts w:ascii="宋体" w:hAnsi="宋体"/>
              <w:b/>
            </w:rPr>
            <w:t>1</w:t>
          </w:r>
          <w:r>
            <w:rPr>
              <w:rStyle w:val="15"/>
              <w:rFonts w:hint="eastAsia" w:ascii="宋体" w:hAnsi="宋体"/>
              <w:b/>
            </w:rPr>
            <w:t>、重要提示</w:t>
          </w:r>
          <w:r>
            <w:tab/>
          </w:r>
          <w:r>
            <w:fldChar w:fldCharType="begin"/>
          </w:r>
          <w:r>
            <w:instrText xml:space="preserve"> PAGEREF _Toc491963077 \h </w:instrText>
          </w:r>
          <w:r>
            <w:fldChar w:fldCharType="separate"/>
          </w:r>
          <w:r>
            <w:t>1</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"_Toc491963078" </w:instrText>
          </w:r>
          <w:r>
            <w:fldChar w:fldCharType="separate"/>
          </w:r>
          <w:r>
            <w:rPr>
              <w:rStyle w:val="15"/>
              <w:rFonts w:ascii="宋体" w:hAnsi="宋体"/>
              <w:kern w:val="0"/>
            </w:rPr>
            <w:t xml:space="preserve">1.1 </w:t>
          </w:r>
          <w:r>
            <w:rPr>
              <w:rStyle w:val="15"/>
              <w:rFonts w:hint="eastAsia" w:ascii="宋体" w:hAnsi="宋体"/>
              <w:kern w:val="0"/>
            </w:rPr>
            <w:t>重要提示</w:t>
          </w:r>
          <w:r>
            <w:tab/>
          </w:r>
          <w:r>
            <w:fldChar w:fldCharType="begin"/>
          </w:r>
          <w:r>
            <w:instrText xml:space="preserve"> PAGEREF _Toc491963078 \h </w:instrText>
          </w:r>
          <w:r>
            <w:fldChar w:fldCharType="separate"/>
          </w:r>
          <w:r>
            <w:t>1</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"_Toc491963079" </w:instrText>
          </w:r>
          <w:r>
            <w:fldChar w:fldCharType="separate"/>
          </w:r>
          <w:r>
            <w:rPr>
              <w:rStyle w:val="15"/>
              <w:rFonts w:ascii="宋体" w:hAnsi="宋体"/>
              <w:b/>
            </w:rPr>
            <w:t>2</w:t>
          </w:r>
          <w:r>
            <w:rPr>
              <w:rStyle w:val="15"/>
              <w:rFonts w:hint="eastAsia" w:ascii="宋体" w:hAnsi="宋体"/>
              <w:b/>
            </w:rPr>
            <w:t>、基金概况</w:t>
          </w:r>
          <w:r>
            <w:tab/>
          </w:r>
          <w:r>
            <w:fldChar w:fldCharType="begin"/>
          </w:r>
          <w:r>
            <w:instrText xml:space="preserve"> PAGEREF _Toc491963079 \h </w:instrText>
          </w:r>
          <w:r>
            <w:fldChar w:fldCharType="separate"/>
          </w:r>
          <w:r>
            <w:t>1</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"_Toc491963080" </w:instrText>
          </w:r>
          <w:r>
            <w:fldChar w:fldCharType="separate"/>
          </w:r>
          <w:r>
            <w:rPr>
              <w:rStyle w:val="15"/>
              <w:rFonts w:ascii="宋体" w:hAnsi="宋体"/>
              <w:kern w:val="0"/>
            </w:rPr>
            <w:t xml:space="preserve">2.1 </w:t>
          </w:r>
          <w:r>
            <w:rPr>
              <w:rStyle w:val="15"/>
              <w:rFonts w:hint="eastAsia" w:ascii="宋体" w:hAnsi="宋体"/>
              <w:kern w:val="0"/>
            </w:rPr>
            <w:t>基金基本情况</w:t>
          </w:r>
          <w:r>
            <w:tab/>
          </w:r>
          <w:r>
            <w:fldChar w:fldCharType="begin"/>
          </w:r>
          <w:r>
            <w:instrText xml:space="preserve"> PAGEREF _Toc491963080 \h </w:instrText>
          </w:r>
          <w:r>
            <w:fldChar w:fldCharType="separate"/>
          </w:r>
          <w:r>
            <w:t>1</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"_Toc491963081" </w:instrText>
          </w:r>
          <w:r>
            <w:fldChar w:fldCharType="separate"/>
          </w:r>
          <w:r>
            <w:rPr>
              <w:rStyle w:val="15"/>
              <w:rFonts w:ascii="宋体" w:hAnsi="宋体"/>
            </w:rPr>
            <w:t xml:space="preserve">2.2 </w:t>
          </w:r>
          <w:r>
            <w:rPr>
              <w:rStyle w:val="15"/>
              <w:rFonts w:hint="eastAsia" w:ascii="宋体" w:hAnsi="宋体"/>
            </w:rPr>
            <w:t>基金产品说明</w:t>
          </w:r>
          <w:r>
            <w:tab/>
          </w:r>
          <w:r>
            <w:fldChar w:fldCharType="begin"/>
          </w:r>
          <w:r>
            <w:instrText xml:space="preserve"> PAGEREF _Toc491963081 \h </w:instrText>
          </w:r>
          <w:r>
            <w:fldChar w:fldCharType="separate"/>
          </w:r>
          <w:r>
            <w:t>1</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"_Toc491963082" </w:instrText>
          </w:r>
          <w:r>
            <w:fldChar w:fldCharType="separate"/>
          </w:r>
          <w:r>
            <w:rPr>
              <w:rStyle w:val="15"/>
              <w:rFonts w:ascii="宋体" w:hAnsi="宋体"/>
              <w:b/>
            </w:rPr>
            <w:t>3</w:t>
          </w:r>
          <w:r>
            <w:rPr>
              <w:rStyle w:val="15"/>
              <w:rFonts w:hint="eastAsia" w:ascii="宋体" w:hAnsi="宋体"/>
              <w:b/>
            </w:rPr>
            <w:t>、基金运作情况说明</w:t>
          </w:r>
          <w:r>
            <w:tab/>
          </w:r>
          <w:r>
            <w:fldChar w:fldCharType="begin"/>
          </w:r>
          <w:r>
            <w:instrText xml:space="preserve"> PAGEREF _Toc491963082 \h </w:instrText>
          </w:r>
          <w:r>
            <w:fldChar w:fldCharType="separate"/>
          </w:r>
          <w:r>
            <w:t>2</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"_Toc491963083" </w:instrText>
          </w:r>
          <w:r>
            <w:fldChar w:fldCharType="separate"/>
          </w:r>
          <w:r>
            <w:rPr>
              <w:rStyle w:val="15"/>
              <w:rFonts w:ascii="宋体" w:hAnsi="宋体"/>
              <w:b/>
            </w:rPr>
            <w:t>4</w:t>
          </w:r>
          <w:r>
            <w:rPr>
              <w:rStyle w:val="15"/>
              <w:rFonts w:hint="eastAsia" w:ascii="宋体" w:hAnsi="宋体"/>
              <w:b/>
            </w:rPr>
            <w:t>、财务报告</w:t>
          </w:r>
          <w:r>
            <w:tab/>
          </w:r>
          <w:r>
            <w:fldChar w:fldCharType="begin"/>
          </w:r>
          <w:r>
            <w:instrText xml:space="preserve"> PAGEREF _Toc491963083 \h </w:instrText>
          </w:r>
          <w:r>
            <w:fldChar w:fldCharType="separate"/>
          </w:r>
          <w:r>
            <w:t>3</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"_Toc491963084" </w:instrText>
          </w:r>
          <w:r>
            <w:fldChar w:fldCharType="separate"/>
          </w:r>
          <w:r>
            <w:rPr>
              <w:rStyle w:val="15"/>
              <w:rFonts w:ascii="宋体" w:hAnsi="宋体"/>
              <w:kern w:val="0"/>
            </w:rPr>
            <w:t xml:space="preserve">4.1 </w:t>
          </w:r>
          <w:r>
            <w:rPr>
              <w:rStyle w:val="15"/>
              <w:rFonts w:hint="eastAsia" w:ascii="宋体" w:hAnsi="宋体"/>
              <w:kern w:val="0"/>
            </w:rPr>
            <w:t>资产负债表</w:t>
          </w:r>
          <w:r>
            <w:tab/>
          </w:r>
          <w:r>
            <w:fldChar w:fldCharType="begin"/>
          </w:r>
          <w:r>
            <w:instrText xml:space="preserve"> PAGEREF _Toc491963084 \h </w:instrText>
          </w:r>
          <w:r>
            <w:fldChar w:fldCharType="separate"/>
          </w:r>
          <w:r>
            <w:t>3</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"_Toc491963085" </w:instrText>
          </w:r>
          <w:r>
            <w:fldChar w:fldCharType="separate"/>
          </w:r>
          <w:r>
            <w:rPr>
              <w:rStyle w:val="15"/>
              <w:rFonts w:ascii="宋体" w:hAnsi="宋体"/>
              <w:kern w:val="0"/>
            </w:rPr>
            <w:t xml:space="preserve">4.2 </w:t>
          </w:r>
          <w:r>
            <w:rPr>
              <w:rStyle w:val="15"/>
              <w:rFonts w:hint="eastAsia" w:ascii="宋体" w:hAnsi="宋体"/>
              <w:kern w:val="0"/>
            </w:rPr>
            <w:t>清算损益表</w:t>
          </w:r>
          <w:r>
            <w:tab/>
          </w:r>
          <w:r>
            <w:fldChar w:fldCharType="begin"/>
          </w:r>
          <w:r>
            <w:instrText xml:space="preserve"> PAGEREF _Toc491963085 \h </w:instrText>
          </w:r>
          <w:r>
            <w:fldChar w:fldCharType="separate"/>
          </w:r>
          <w:r>
            <w:t>4</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"_Toc491963086" </w:instrText>
          </w:r>
          <w:r>
            <w:fldChar w:fldCharType="separate"/>
          </w:r>
          <w:r>
            <w:rPr>
              <w:rStyle w:val="15"/>
              <w:rFonts w:ascii="宋体" w:hAnsi="宋体"/>
              <w:kern w:val="0"/>
            </w:rPr>
            <w:t xml:space="preserve">4.3 </w:t>
          </w:r>
          <w:r>
            <w:rPr>
              <w:rStyle w:val="15"/>
              <w:rFonts w:hint="eastAsia" w:ascii="宋体" w:hAnsi="宋体"/>
              <w:kern w:val="0"/>
            </w:rPr>
            <w:t>报表附注</w:t>
          </w:r>
          <w:r>
            <w:tab/>
          </w:r>
          <w:r>
            <w:fldChar w:fldCharType="begin"/>
          </w:r>
          <w:r>
            <w:instrText xml:space="preserve"> PAGEREF _Toc491963086 \h </w:instrText>
          </w:r>
          <w:r>
            <w:fldChar w:fldCharType="separate"/>
          </w:r>
          <w:r>
            <w:t>5</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"_Toc491963087" </w:instrText>
          </w:r>
          <w:r>
            <w:fldChar w:fldCharType="separate"/>
          </w:r>
          <w:r>
            <w:rPr>
              <w:rStyle w:val="15"/>
              <w:rFonts w:ascii="宋体" w:hAnsi="宋体"/>
              <w:b/>
            </w:rPr>
            <w:t>5</w:t>
          </w:r>
          <w:r>
            <w:rPr>
              <w:rStyle w:val="15"/>
              <w:rFonts w:hint="eastAsia" w:ascii="宋体" w:hAnsi="宋体"/>
              <w:b/>
            </w:rPr>
            <w:t>、清算情况</w:t>
          </w:r>
          <w:r>
            <w:tab/>
          </w:r>
          <w:r>
            <w:fldChar w:fldCharType="begin"/>
          </w:r>
          <w:r>
            <w:instrText xml:space="preserve"> PAGEREF _Toc491963087 \h </w:instrText>
          </w:r>
          <w:r>
            <w:fldChar w:fldCharType="separate"/>
          </w:r>
          <w:r>
            <w:t>8</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"_Toc491963088" </w:instrText>
          </w:r>
          <w:r>
            <w:fldChar w:fldCharType="separate"/>
          </w:r>
          <w:r>
            <w:rPr>
              <w:rStyle w:val="15"/>
              <w:rFonts w:ascii="宋体" w:hAnsi="宋体"/>
              <w:kern w:val="0"/>
            </w:rPr>
            <w:t xml:space="preserve">5.1 </w:t>
          </w:r>
          <w:r>
            <w:rPr>
              <w:rStyle w:val="15"/>
              <w:rFonts w:hint="eastAsia" w:ascii="宋体" w:hAnsi="宋体"/>
              <w:kern w:val="0"/>
            </w:rPr>
            <w:t>资产负债清算情况</w:t>
          </w:r>
          <w:r>
            <w:tab/>
          </w:r>
          <w:r>
            <w:fldChar w:fldCharType="begin"/>
          </w:r>
          <w:r>
            <w:instrText xml:space="preserve"> PAGEREF _Toc491963088 \h </w:instrText>
          </w:r>
          <w:r>
            <w:fldChar w:fldCharType="separate"/>
          </w:r>
          <w:r>
            <w:t>8</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"_Toc491963089" </w:instrText>
          </w:r>
          <w:r>
            <w:fldChar w:fldCharType="separate"/>
          </w:r>
          <w:r>
            <w:rPr>
              <w:rStyle w:val="15"/>
              <w:rFonts w:ascii="宋体" w:hAnsi="宋体"/>
              <w:kern w:val="0"/>
            </w:rPr>
            <w:t xml:space="preserve">5.2 </w:t>
          </w:r>
          <w:r>
            <w:rPr>
              <w:rStyle w:val="15"/>
              <w:rFonts w:hint="eastAsia" w:ascii="宋体" w:hAnsi="宋体"/>
              <w:kern w:val="0"/>
            </w:rPr>
            <w:t>截至本次清算期结束日的剩余财产情况及剩余财产分配安排</w:t>
          </w:r>
          <w:r>
            <w:tab/>
          </w:r>
          <w:r>
            <w:fldChar w:fldCharType="begin"/>
          </w:r>
          <w:r>
            <w:instrText xml:space="preserve"> PAGEREF _Toc491963089 \h </w:instrText>
          </w:r>
          <w:r>
            <w:fldChar w:fldCharType="separate"/>
          </w:r>
          <w:r>
            <w:t>10</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"_Toc491963090" </w:instrText>
          </w:r>
          <w:r>
            <w:fldChar w:fldCharType="separate"/>
          </w:r>
          <w:r>
            <w:rPr>
              <w:rStyle w:val="15"/>
              <w:rFonts w:ascii="宋体" w:hAnsi="宋体"/>
              <w:b/>
            </w:rPr>
            <w:t>6</w:t>
          </w:r>
          <w:r>
            <w:rPr>
              <w:rStyle w:val="15"/>
              <w:rFonts w:hint="eastAsia" w:ascii="宋体" w:hAnsi="宋体"/>
              <w:b/>
            </w:rPr>
            <w:t>、备查文件目录</w:t>
          </w:r>
          <w:r>
            <w:tab/>
          </w:r>
          <w:r>
            <w:fldChar w:fldCharType="begin"/>
          </w:r>
          <w:r>
            <w:instrText xml:space="preserve"> PAGEREF _Toc491963090 \h </w:instrText>
          </w:r>
          <w:r>
            <w:fldChar w:fldCharType="separate"/>
          </w:r>
          <w:r>
            <w:t>10</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"_Toc491963091" </w:instrText>
          </w:r>
          <w:r>
            <w:fldChar w:fldCharType="separate"/>
          </w:r>
          <w:r>
            <w:rPr>
              <w:rStyle w:val="15"/>
              <w:rFonts w:ascii="宋体" w:hAnsi="宋体"/>
              <w:kern w:val="0"/>
            </w:rPr>
            <w:t xml:space="preserve">6.1 </w:t>
          </w:r>
          <w:r>
            <w:rPr>
              <w:rStyle w:val="15"/>
              <w:rFonts w:hint="eastAsia" w:ascii="宋体" w:hAnsi="宋体"/>
              <w:kern w:val="0"/>
            </w:rPr>
            <w:t>备查文件目录</w:t>
          </w:r>
          <w:r>
            <w:tab/>
          </w:r>
          <w:r>
            <w:fldChar w:fldCharType="begin"/>
          </w:r>
          <w:r>
            <w:instrText xml:space="preserve"> PAGEREF _Toc491963091 \h </w:instrText>
          </w:r>
          <w:r>
            <w:fldChar w:fldCharType="separate"/>
          </w:r>
          <w:r>
            <w:t>10</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"_Toc491963092" </w:instrText>
          </w:r>
          <w:r>
            <w:fldChar w:fldCharType="separate"/>
          </w:r>
          <w:r>
            <w:rPr>
              <w:rStyle w:val="15"/>
              <w:rFonts w:ascii="宋体" w:hAnsi="宋体"/>
              <w:kern w:val="0"/>
            </w:rPr>
            <w:t xml:space="preserve">6.2 </w:t>
          </w:r>
          <w:r>
            <w:rPr>
              <w:rStyle w:val="15"/>
              <w:rFonts w:hint="eastAsia" w:ascii="宋体" w:hAnsi="宋体"/>
              <w:kern w:val="0"/>
            </w:rPr>
            <w:t>存放地点</w:t>
          </w:r>
          <w:r>
            <w:tab/>
          </w:r>
          <w:r>
            <w:fldChar w:fldCharType="begin"/>
          </w:r>
          <w:r>
            <w:instrText xml:space="preserve"> PAGEREF _Toc491963092 \h </w:instrText>
          </w:r>
          <w:r>
            <w:fldChar w:fldCharType="separate"/>
          </w:r>
          <w:r>
            <w:t>10</w:t>
          </w:r>
          <w:r>
            <w:fldChar w:fldCharType="end"/>
          </w:r>
          <w:r>
            <w:fldChar w:fldCharType="end"/>
          </w:r>
        </w:p>
        <w:p>
          <w:pPr>
            <w:pStyle w:val="10"/>
            <w:tabs>
              <w:tab w:val="right" w:leader="dot" w:pos="8296"/>
            </w:tabs>
            <w:rPr>
              <w:rFonts w:asciiTheme="minorHAnsi" w:hAnsiTheme="minorHAnsi" w:eastAsiaTheme="minorEastAsia" w:cstheme="minorBidi"/>
              <w:szCs w:val="22"/>
            </w:rPr>
          </w:pPr>
          <w:r>
            <w:fldChar w:fldCharType="begin"/>
          </w:r>
          <w:r>
            <w:instrText xml:space="preserve"> HYPERLINK \l "_Toc491963093" </w:instrText>
          </w:r>
          <w:r>
            <w:fldChar w:fldCharType="separate"/>
          </w:r>
          <w:r>
            <w:rPr>
              <w:rStyle w:val="15"/>
              <w:rFonts w:ascii="宋体" w:hAnsi="宋体"/>
              <w:kern w:val="0"/>
            </w:rPr>
            <w:t xml:space="preserve">6.3 </w:t>
          </w:r>
          <w:r>
            <w:rPr>
              <w:rStyle w:val="15"/>
              <w:rFonts w:hint="eastAsia" w:ascii="宋体" w:hAnsi="宋体"/>
              <w:kern w:val="0"/>
            </w:rPr>
            <w:t>查阅方式</w:t>
          </w:r>
          <w:r>
            <w:tab/>
          </w:r>
          <w:r>
            <w:fldChar w:fldCharType="begin"/>
          </w:r>
          <w:r>
            <w:instrText xml:space="preserve"> PAGEREF _Toc491963093 \h </w:instrText>
          </w:r>
          <w:r>
            <w:fldChar w:fldCharType="separate"/>
          </w:r>
          <w:r>
            <w:t>11</w:t>
          </w:r>
          <w:r>
            <w:fldChar w:fldCharType="end"/>
          </w:r>
          <w:r>
            <w:fldChar w:fldCharType="end"/>
          </w:r>
        </w:p>
        <w:p>
          <w:r>
            <w:rPr>
              <w:b/>
              <w:bCs/>
              <w:lang w:val="zh-CN"/>
            </w:rPr>
            <w:fldChar w:fldCharType="end"/>
          </w:r>
        </w:p>
      </w:sdtContent>
    </w:sdt>
    <w:p>
      <w:pPr>
        <w:widowControl/>
        <w:jc w:val="left"/>
        <w:rPr>
          <w:rStyle w:val="20"/>
          <w:rFonts w:ascii="宋体" w:hAnsi="宋体"/>
        </w:rPr>
      </w:pPr>
      <w:bookmarkStart w:id="3" w:name="_Toc491963077"/>
      <w:r>
        <w:rPr>
          <w:rStyle w:val="20"/>
          <w:rFonts w:ascii="宋体" w:hAnsi="宋体"/>
        </w:rPr>
        <w:br w:type="page"/>
      </w:r>
    </w:p>
    <w:p>
      <w:pPr>
        <w:widowControl/>
        <w:jc w:val="center"/>
        <w:rPr>
          <w:rStyle w:val="20"/>
          <w:rFonts w:ascii="宋体" w:hAnsi="宋体"/>
        </w:rPr>
        <w:sectPr>
          <w:headerReference r:id="rId5" w:type="default"/>
          <w:pgSz w:w="11906" w:h="16838"/>
          <w:pgMar w:top="1440" w:right="1800" w:bottom="1440" w:left="1800" w:header="851" w:footer="992" w:gutter="0"/>
          <w:pgNumType w:start="1"/>
          <w:cols w:space="425" w:num="1"/>
          <w:docGrid w:type="lines" w:linePitch="312" w:charSpace="0"/>
        </w:sectPr>
      </w:pPr>
    </w:p>
    <w:p>
      <w:pPr>
        <w:widowControl/>
        <w:jc w:val="center"/>
        <w:rPr>
          <w:rStyle w:val="20"/>
          <w:rFonts w:ascii="宋体" w:hAnsi="宋体"/>
        </w:rPr>
      </w:pPr>
      <w:r>
        <w:rPr>
          <w:rStyle w:val="20"/>
          <w:rFonts w:hint="eastAsia" w:ascii="宋体" w:hAnsi="宋体"/>
        </w:rPr>
        <w:t>1、重要提示</w:t>
      </w:r>
      <w:bookmarkEnd w:id="2"/>
      <w:bookmarkEnd w:id="3"/>
    </w:p>
    <w:p>
      <w:pPr>
        <w:pStyle w:val="3"/>
        <w:spacing w:before="0" w:after="0"/>
        <w:rPr>
          <w:rFonts w:ascii="宋体" w:hAnsi="宋体" w:eastAsia="宋体"/>
          <w:kern w:val="0"/>
          <w:sz w:val="21"/>
          <w:szCs w:val="21"/>
        </w:rPr>
      </w:pPr>
      <w:bookmarkStart w:id="4" w:name="_Toc491963078"/>
      <w:bookmarkStart w:id="5" w:name="_Toc484607300"/>
      <w:bookmarkStart w:id="6" w:name="_Toc483396827"/>
      <w:bookmarkStart w:id="7" w:name="_Toc484769795"/>
      <w:r>
        <w:rPr>
          <w:rFonts w:hint="eastAsia" w:ascii="宋体" w:hAnsi="宋体" w:eastAsia="宋体"/>
          <w:kern w:val="0"/>
          <w:sz w:val="21"/>
          <w:szCs w:val="21"/>
        </w:rPr>
        <w:t>1</w:t>
      </w:r>
      <w:r>
        <w:rPr>
          <w:rFonts w:ascii="宋体" w:hAnsi="宋体" w:eastAsia="宋体"/>
          <w:kern w:val="0"/>
          <w:sz w:val="21"/>
          <w:szCs w:val="21"/>
        </w:rPr>
        <w:t>.1</w:t>
      </w:r>
      <w:r>
        <w:rPr>
          <w:rFonts w:hint="eastAsia" w:ascii="宋体" w:hAnsi="宋体" w:eastAsia="宋体"/>
          <w:kern w:val="0"/>
          <w:sz w:val="21"/>
          <w:szCs w:val="21"/>
        </w:rPr>
        <w:t xml:space="preserve"> 重要提示</w:t>
      </w:r>
      <w:bookmarkEnd w:id="4"/>
      <w:bookmarkEnd w:id="5"/>
      <w:bookmarkEnd w:id="6"/>
      <w:bookmarkEnd w:id="7"/>
    </w:p>
    <w:p>
      <w:pPr>
        <w:spacing w:line="360" w:lineRule="auto"/>
        <w:ind w:firstLine="420" w:firstLineChars="200"/>
        <w:rPr>
          <w:rFonts w:eastAsiaTheme="minorEastAsia"/>
        </w:rPr>
      </w:pPr>
      <w:r>
        <w:rPr>
          <w:rFonts w:hint="eastAsia" w:eastAsiaTheme="minorEastAsia"/>
        </w:rPr>
        <w:t xml:space="preserve">博时恒荣一年持有期混合型证券投资基金(以下简称“本基金”)经中国证券监督管理委员会(以下简称“中国证监会”)证监许可[2020]1501号《关于准予博时恒荣一年持有期混合型证券投资基金注册的批复》注册，于2020年9月27日正式生效。 </w:t>
      </w:r>
    </w:p>
    <w:p>
      <w:pPr>
        <w:spacing w:line="360" w:lineRule="auto"/>
        <w:ind w:firstLine="420" w:firstLineChars="200"/>
        <w:rPr>
          <w:rFonts w:ascii="Arial" w:hAnsi="Arial" w:cs="Arial"/>
          <w:color w:val="000000"/>
          <w:szCs w:val="21"/>
        </w:rPr>
      </w:pPr>
      <w:r>
        <w:rPr>
          <w:rFonts w:hint="eastAsia" w:ascii="Arial" w:hAnsi="Arial" w:cs="Arial"/>
          <w:color w:val="000000"/>
          <w:szCs w:val="21"/>
        </w:rPr>
        <w:t>根据《博时恒荣一年持有期混合型证券投资基金基金合同》（以下简称“《基金合同》”）“第五部分 基金备案”中“三、基金存续期内的基金份额持有人数量和资产规模”的约定：</w:t>
      </w:r>
    </w:p>
    <w:p>
      <w:pPr>
        <w:spacing w:line="360" w:lineRule="auto"/>
        <w:ind w:firstLine="420" w:firstLineChars="200"/>
        <w:rPr>
          <w:rFonts w:hint="eastAsia" w:ascii="Arial" w:hAnsi="Arial" w:cs="Arial"/>
          <w:bCs w:val="0"/>
          <w:color w:val="000000"/>
          <w:sz w:val="21"/>
          <w:szCs w:val="21"/>
        </w:rPr>
      </w:pPr>
      <w:r>
        <w:rPr>
          <w:rFonts w:hint="eastAsia" w:ascii="Arial" w:hAnsi="Arial" w:cs="Arial"/>
          <w:color w:val="000000"/>
          <w:szCs w:val="21"/>
        </w:rPr>
        <w:t>“</w:t>
      </w:r>
      <w:r>
        <w:rPr>
          <w:rFonts w:hint="eastAsia" w:ascii="Arial" w:hAnsi="Arial" w:cs="Arial"/>
          <w:bCs w:val="0"/>
          <w:color w:val="000000"/>
          <w:sz w:val="21"/>
          <w:szCs w:val="21"/>
        </w:rPr>
        <w:t>《基金合同》生效后，连续20个工作日出现基金份额持有人数量不满200人或者基金资产净值低于5000万元情形的，基金管理人应当在定期报告中予以披露；连续50个工作日出现前述情形的，本基金将根据基金合同的约定进行基金财产清算并终止，且无需召开基金份额持有人大会，同时基金管理人应履行相关的监管报告和信息披露程序。</w:t>
      </w:r>
    </w:p>
    <w:p>
      <w:pPr>
        <w:spacing w:line="360" w:lineRule="auto"/>
        <w:ind w:firstLine="420" w:firstLineChars="200"/>
        <w:rPr>
          <w:rFonts w:ascii="Arial" w:hAnsi="Arial" w:cs="Arial"/>
          <w:color w:val="000000"/>
          <w:szCs w:val="21"/>
        </w:rPr>
      </w:pPr>
      <w:r>
        <w:rPr>
          <w:rFonts w:hint="eastAsia" w:ascii="Arial" w:hAnsi="Arial" w:cs="Arial"/>
          <w:color w:val="000000"/>
          <w:szCs w:val="21"/>
        </w:rPr>
        <w:t>法律法规或中国证监会另有规定时，从其规定。”</w:t>
      </w:r>
    </w:p>
    <w:p>
      <w:pPr>
        <w:spacing w:line="360" w:lineRule="auto"/>
        <w:ind w:firstLine="420" w:firstLineChars="200"/>
        <w:rPr>
          <w:rFonts w:ascii="宋体" w:hAnsi="宋体" w:cs="Arial"/>
          <w:color w:val="000000"/>
          <w:szCs w:val="21"/>
        </w:rPr>
      </w:pPr>
      <w:r>
        <w:rPr>
          <w:rFonts w:hint="eastAsia" w:ascii="Arial" w:hAnsi="Arial" w:cs="Arial"/>
          <w:color w:val="000000"/>
          <w:szCs w:val="21"/>
        </w:rPr>
        <w:t>截至20</w:t>
      </w:r>
      <w:r>
        <w:rPr>
          <w:rFonts w:hint="eastAsia" w:ascii="Arial" w:hAnsi="Arial" w:cs="Arial"/>
          <w:color w:val="000000"/>
          <w:szCs w:val="21"/>
          <w:lang w:val="en-US" w:eastAsia="zh-CN"/>
        </w:rPr>
        <w:t>23</w:t>
      </w:r>
      <w:r>
        <w:rPr>
          <w:rFonts w:hint="eastAsia" w:ascii="Arial" w:hAnsi="Arial" w:cs="Arial"/>
          <w:color w:val="000000"/>
          <w:szCs w:val="21"/>
        </w:rPr>
        <w:t>年</w:t>
      </w:r>
      <w:r>
        <w:rPr>
          <w:rFonts w:hint="eastAsia" w:ascii="Arial" w:hAnsi="Arial" w:cs="Arial"/>
          <w:color w:val="000000"/>
          <w:szCs w:val="21"/>
          <w:lang w:val="en-US" w:eastAsia="zh-CN"/>
        </w:rPr>
        <w:t>5</w:t>
      </w:r>
      <w:r>
        <w:rPr>
          <w:rFonts w:hint="eastAsia" w:ascii="Arial" w:hAnsi="Arial" w:cs="Arial"/>
          <w:color w:val="000000"/>
          <w:szCs w:val="21"/>
        </w:rPr>
        <w:t>月</w:t>
      </w:r>
      <w:r>
        <w:rPr>
          <w:rFonts w:hint="eastAsia" w:ascii="Arial" w:hAnsi="Arial" w:cs="Arial"/>
          <w:color w:val="000000"/>
          <w:szCs w:val="21"/>
          <w:lang w:val="en-US" w:eastAsia="zh-CN"/>
        </w:rPr>
        <w:t>19</w:t>
      </w:r>
      <w:r>
        <w:rPr>
          <w:rFonts w:hint="eastAsia" w:ascii="Arial" w:hAnsi="Arial" w:cs="Arial"/>
          <w:color w:val="000000"/>
          <w:szCs w:val="21"/>
        </w:rPr>
        <w:t>日，本基金已出现连续</w:t>
      </w:r>
      <w:r>
        <w:rPr>
          <w:rFonts w:hint="eastAsia" w:ascii="Arial" w:hAnsi="Arial" w:cs="Arial"/>
          <w:color w:val="000000"/>
          <w:szCs w:val="21"/>
          <w:lang w:val="en-US" w:eastAsia="zh-CN"/>
        </w:rPr>
        <w:t>50</w:t>
      </w:r>
      <w:r>
        <w:rPr>
          <w:rFonts w:hint="eastAsia" w:ascii="Arial" w:hAnsi="Arial" w:cs="Arial"/>
          <w:color w:val="000000"/>
          <w:szCs w:val="21"/>
        </w:rPr>
        <w:t>个工作日基金资产净值低于5000万元的情形，已触发基金合同中约定的基金终止条款。根据基金合同有关约定，本基金将根据《基金合同》约定进入清算程序并终止，且无需召开基金份额持有人大会。</w:t>
      </w:r>
      <w:r>
        <w:rPr>
          <w:rFonts w:hint="eastAsia" w:asciiTheme="minorEastAsia" w:hAnsiTheme="minorEastAsia" w:eastAsiaTheme="minorEastAsia"/>
          <w:szCs w:val="21"/>
        </w:rPr>
        <w:t>本基金的最后运作日定为20</w:t>
      </w:r>
      <w:r>
        <w:rPr>
          <w:rFonts w:asciiTheme="minorEastAsia" w:hAnsiTheme="minorEastAsia" w:eastAsiaTheme="minorEastAsia"/>
          <w:szCs w:val="21"/>
        </w:rPr>
        <w:t>2</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年5月</w:t>
      </w: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9</w:t>
      </w:r>
      <w:r>
        <w:rPr>
          <w:rFonts w:hint="eastAsia" w:asciiTheme="minorEastAsia" w:hAnsiTheme="minorEastAsia" w:eastAsiaTheme="minorEastAsia"/>
          <w:szCs w:val="21"/>
        </w:rPr>
        <w:t>日，并于</w:t>
      </w:r>
      <w:r>
        <w:rPr>
          <w:rFonts w:hint="eastAsia" w:asciiTheme="majorEastAsia" w:hAnsiTheme="majorEastAsia" w:eastAsiaTheme="majorEastAsia"/>
          <w:szCs w:val="21"/>
        </w:rPr>
        <w:t>202</w:t>
      </w:r>
      <w:r>
        <w:rPr>
          <w:rFonts w:hint="eastAsia" w:asciiTheme="majorEastAsia" w:hAnsiTheme="majorEastAsia" w:eastAsiaTheme="majorEastAsia"/>
          <w:szCs w:val="21"/>
          <w:lang w:val="en-US" w:eastAsia="zh-CN"/>
        </w:rPr>
        <w:t>3</w:t>
      </w:r>
      <w:r>
        <w:rPr>
          <w:rFonts w:hint="eastAsia" w:asciiTheme="majorEastAsia" w:hAnsiTheme="majorEastAsia" w:eastAsiaTheme="majorEastAsia"/>
          <w:szCs w:val="21"/>
        </w:rPr>
        <w:t>年5月</w:t>
      </w:r>
      <w:r>
        <w:rPr>
          <w:rFonts w:hint="eastAsia" w:asciiTheme="majorEastAsia" w:hAnsiTheme="majorEastAsia" w:eastAsiaTheme="majorEastAsia"/>
          <w:szCs w:val="21"/>
          <w:lang w:val="en-US" w:eastAsia="zh-CN"/>
        </w:rPr>
        <w:t>22</w:t>
      </w:r>
      <w:r>
        <w:rPr>
          <w:rFonts w:hint="eastAsia" w:asciiTheme="majorEastAsia" w:hAnsiTheme="majorEastAsia" w:eastAsiaTheme="majorEastAsia"/>
          <w:szCs w:val="21"/>
        </w:rPr>
        <w:t>日</w:t>
      </w:r>
      <w:r>
        <w:rPr>
          <w:rFonts w:hint="eastAsia" w:asciiTheme="minorEastAsia" w:hAnsiTheme="minorEastAsia" w:eastAsiaTheme="minorEastAsia"/>
          <w:szCs w:val="21"/>
        </w:rPr>
        <w:t>进入财产清算期。</w:t>
      </w:r>
    </w:p>
    <w:p>
      <w:pPr>
        <w:spacing w:line="360" w:lineRule="auto"/>
        <w:ind w:firstLine="420" w:firstLineChars="200"/>
        <w:rPr>
          <w:rFonts w:ascii="宋体" w:hAnsi="宋体" w:cs="Arial"/>
          <w:color w:val="000000"/>
          <w:szCs w:val="21"/>
        </w:rPr>
      </w:pPr>
      <w:r>
        <w:rPr>
          <w:rFonts w:ascii="宋体" w:hAnsi="宋体" w:cs="Arial"/>
          <w:color w:val="000000"/>
          <w:szCs w:val="21"/>
        </w:rPr>
        <w:t>202</w:t>
      </w:r>
      <w:r>
        <w:rPr>
          <w:rFonts w:hint="eastAsia" w:ascii="宋体" w:hAnsi="宋体" w:cs="Arial"/>
          <w:color w:val="000000"/>
          <w:szCs w:val="21"/>
          <w:lang w:val="en-US" w:eastAsia="zh-CN"/>
        </w:rPr>
        <w:t>3</w:t>
      </w:r>
      <w:r>
        <w:rPr>
          <w:rFonts w:hint="eastAsia" w:ascii="宋体" w:hAnsi="宋体" w:cs="Arial"/>
          <w:color w:val="000000"/>
          <w:szCs w:val="21"/>
        </w:rPr>
        <w:t>年5月</w:t>
      </w:r>
      <w:r>
        <w:rPr>
          <w:rFonts w:ascii="宋体" w:hAnsi="宋体" w:cs="Arial"/>
          <w:color w:val="000000"/>
          <w:szCs w:val="21"/>
        </w:rPr>
        <w:t>1</w:t>
      </w:r>
      <w:r>
        <w:rPr>
          <w:rFonts w:hint="eastAsia" w:ascii="宋体" w:hAnsi="宋体" w:cs="Arial"/>
          <w:color w:val="000000"/>
          <w:szCs w:val="21"/>
          <w:lang w:val="en-US" w:eastAsia="zh-CN"/>
        </w:rPr>
        <w:t>9</w:t>
      </w:r>
      <w:r>
        <w:rPr>
          <w:rFonts w:hint="eastAsia" w:ascii="宋体" w:hAnsi="宋体" w:cs="Arial"/>
          <w:color w:val="000000"/>
          <w:szCs w:val="21"/>
        </w:rPr>
        <w:t>日为本基金运作的最后一日，由本基金管理人博时基金管理有限公司、基金托管人中国建设银行股份有限公司、普华永道中天会计师事务所（特殊普通合伙）和上海市通力律师事务所组成基金财产清算小组履行基金财产清算程序，并由普华永道中天会计师事务所（特殊普通合伙）对本基金进行清算审计，上海市通力律师事务所对清算报告出具法律意见。</w:t>
      </w:r>
    </w:p>
    <w:p>
      <w:pPr>
        <w:pStyle w:val="2"/>
        <w:keepNext/>
        <w:keepLines/>
        <w:widowControl w:val="0"/>
        <w:spacing w:before="312" w:beforeLines="100" w:after="312" w:afterLines="100" w:line="360" w:lineRule="auto"/>
        <w:jc w:val="center"/>
        <w:rPr>
          <w:rStyle w:val="20"/>
          <w:rFonts w:ascii="宋体" w:hAnsi="宋体"/>
        </w:rPr>
      </w:pPr>
      <w:bookmarkStart w:id="8" w:name="_Toc491963079"/>
      <w:bookmarkStart w:id="9" w:name="_Toc484769796"/>
      <w:r>
        <w:rPr>
          <w:rStyle w:val="20"/>
          <w:rFonts w:ascii="宋体" w:hAnsi="宋体"/>
        </w:rPr>
        <w:t>2</w:t>
      </w:r>
      <w:r>
        <w:rPr>
          <w:rStyle w:val="20"/>
          <w:rFonts w:hint="eastAsia" w:ascii="宋体" w:hAnsi="宋体"/>
        </w:rPr>
        <w:t>、</w:t>
      </w:r>
      <w:r>
        <w:rPr>
          <w:rStyle w:val="20"/>
          <w:rFonts w:ascii="宋体" w:hAnsi="宋体"/>
        </w:rPr>
        <w:t>基金</w:t>
      </w:r>
      <w:r>
        <w:rPr>
          <w:rStyle w:val="20"/>
          <w:rFonts w:hint="eastAsia" w:ascii="宋体" w:hAnsi="宋体"/>
        </w:rPr>
        <w:t>概况</w:t>
      </w:r>
      <w:bookmarkEnd w:id="8"/>
      <w:bookmarkEnd w:id="9"/>
    </w:p>
    <w:p>
      <w:pPr>
        <w:pStyle w:val="3"/>
        <w:spacing w:before="0" w:after="0"/>
        <w:rPr>
          <w:rFonts w:ascii="宋体" w:hAnsi="宋体"/>
          <w:sz w:val="21"/>
          <w:szCs w:val="21"/>
        </w:rPr>
      </w:pPr>
      <w:bookmarkStart w:id="10" w:name="_Toc476577246"/>
      <w:bookmarkStart w:id="11" w:name="_Toc409100407"/>
      <w:bookmarkStart w:id="12" w:name="_Toc409100044"/>
      <w:bookmarkStart w:id="13" w:name="_Toc484769797"/>
      <w:bookmarkStart w:id="14" w:name="_Toc484607302"/>
      <w:bookmarkStart w:id="15" w:name="_Toc483396829"/>
      <w:bookmarkStart w:id="16" w:name="_Toc491963080"/>
      <w:bookmarkStart w:id="17" w:name="_Toc361324845"/>
      <w:r>
        <w:rPr>
          <w:rFonts w:ascii="宋体" w:hAnsi="宋体" w:eastAsia="宋体"/>
          <w:kern w:val="0"/>
          <w:sz w:val="21"/>
          <w:szCs w:val="21"/>
        </w:rPr>
        <w:t>2.1</w:t>
      </w:r>
      <w:r>
        <w:rPr>
          <w:rFonts w:hint="eastAsia" w:ascii="宋体" w:hAnsi="宋体" w:eastAsia="宋体"/>
          <w:kern w:val="0"/>
          <w:sz w:val="21"/>
          <w:szCs w:val="21"/>
        </w:rPr>
        <w:t xml:space="preserve"> </w:t>
      </w:r>
      <w:r>
        <w:rPr>
          <w:rFonts w:ascii="宋体" w:hAnsi="宋体" w:eastAsia="宋体"/>
          <w:kern w:val="0"/>
          <w:sz w:val="21"/>
          <w:szCs w:val="21"/>
        </w:rPr>
        <w:t>基金基本情况</w:t>
      </w:r>
      <w:bookmarkEnd w:id="10"/>
      <w:bookmarkEnd w:id="11"/>
      <w:bookmarkEnd w:id="12"/>
      <w:bookmarkEnd w:id="13"/>
      <w:bookmarkEnd w:id="14"/>
      <w:bookmarkEnd w:id="15"/>
      <w:bookmarkEnd w:id="16"/>
      <w:bookmarkEnd w:id="17"/>
      <w:bookmarkStart w:id="18" w:name="_Toc482092221"/>
      <w:bookmarkStart w:id="19" w:name="_Toc491963081"/>
      <w:bookmarkStart w:id="20" w:name="_Toc390421230"/>
      <w:bookmarkStart w:id="21" w:name="_Toc491184118"/>
    </w:p>
    <w:tbl>
      <w:tblPr>
        <w:tblStyle w:val="1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93"/>
        <w:gridCol w:w="2715"/>
        <w:gridCol w:w="27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70" w:type="dxa"/>
            <w:vAlign w:val="center"/>
          </w:tcPr>
          <w:p>
            <w:pPr>
              <w:pStyle w:val="36"/>
              <w:rPr>
                <w:rFonts w:ascii="Times New Roman" w:hAnsi="Times New Roman" w:eastAsiaTheme="minorEastAsia"/>
              </w:rPr>
            </w:pPr>
            <w:r>
              <w:rPr>
                <w:rFonts w:ascii="Times New Roman" w:hAnsi="Times New Roman" w:eastAsiaTheme="minorEastAsia"/>
              </w:rPr>
              <w:t>基金名称</w:t>
            </w:r>
          </w:p>
        </w:tc>
        <w:tc>
          <w:tcPr>
            <w:tcW w:w="5916" w:type="dxa"/>
            <w:gridSpan w:val="2"/>
            <w:vAlign w:val="center"/>
          </w:tcPr>
          <w:p>
            <w:pPr>
              <w:pStyle w:val="36"/>
              <w:rPr>
                <w:rFonts w:ascii="Times New Roman" w:hAnsi="Times New Roman" w:eastAsiaTheme="minorEastAsia"/>
              </w:rPr>
            </w:pPr>
            <w:r>
              <w:rPr>
                <w:rFonts w:ascii="Times New Roman" w:hAnsi="Times New Roman" w:eastAsiaTheme="minorEastAsia"/>
              </w:rPr>
              <w:t>博时恒荣一年持有期混合型证券投资基金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70" w:type="dxa"/>
            <w:vAlign w:val="center"/>
          </w:tcPr>
          <w:p>
            <w:pPr>
              <w:pStyle w:val="36"/>
              <w:rPr>
                <w:rFonts w:ascii="Times New Roman" w:hAnsi="Times New Roman" w:eastAsiaTheme="minorEastAsia"/>
              </w:rPr>
            </w:pPr>
            <w:r>
              <w:rPr>
                <w:rFonts w:ascii="Times New Roman" w:hAnsi="Times New Roman" w:eastAsiaTheme="minorEastAsia"/>
              </w:rPr>
              <w:t>基金简称</w:t>
            </w:r>
          </w:p>
        </w:tc>
        <w:tc>
          <w:tcPr>
            <w:tcW w:w="5916" w:type="dxa"/>
            <w:gridSpan w:val="2"/>
            <w:vAlign w:val="center"/>
          </w:tcPr>
          <w:p>
            <w:pPr>
              <w:pStyle w:val="36"/>
              <w:rPr>
                <w:rFonts w:ascii="Times New Roman" w:hAnsi="Times New Roman" w:eastAsiaTheme="minorEastAsia"/>
              </w:rPr>
            </w:pPr>
            <w:r>
              <w:rPr>
                <w:rFonts w:ascii="Times New Roman" w:hAnsi="Times New Roman" w:eastAsiaTheme="minorEastAsia"/>
              </w:rPr>
              <w:t>博时恒荣一年混合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70" w:type="dxa"/>
            <w:vAlign w:val="center"/>
          </w:tcPr>
          <w:p>
            <w:pPr>
              <w:pStyle w:val="36"/>
              <w:rPr>
                <w:rFonts w:ascii="Times New Roman" w:hAnsi="Times New Roman" w:eastAsiaTheme="minorEastAsia"/>
              </w:rPr>
            </w:pPr>
            <w:r>
              <w:rPr>
                <w:rFonts w:ascii="Times New Roman" w:hAnsi="Times New Roman" w:eastAsiaTheme="minorEastAsia"/>
              </w:rPr>
              <w:t>基金主代码</w:t>
            </w:r>
          </w:p>
        </w:tc>
        <w:tc>
          <w:tcPr>
            <w:tcW w:w="5916" w:type="dxa"/>
            <w:gridSpan w:val="2"/>
            <w:vAlign w:val="center"/>
          </w:tcPr>
          <w:p>
            <w:pPr>
              <w:pStyle w:val="36"/>
              <w:rPr>
                <w:rFonts w:ascii="Times New Roman" w:hAnsi="Times New Roman" w:eastAsiaTheme="minorEastAsia"/>
              </w:rPr>
            </w:pPr>
            <w:r>
              <w:rPr>
                <w:rFonts w:ascii="Times New Roman" w:hAnsi="Times New Roman" w:eastAsiaTheme="minorEastAsia"/>
              </w:rPr>
              <w:t>010078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70" w:type="dxa"/>
            <w:vAlign w:val="center"/>
          </w:tcPr>
          <w:p>
            <w:pPr>
              <w:pStyle w:val="36"/>
              <w:rPr>
                <w:rFonts w:ascii="Times New Roman" w:hAnsi="Times New Roman" w:eastAsiaTheme="minorEastAsia"/>
              </w:rPr>
            </w:pPr>
            <w:r>
              <w:rPr>
                <w:rFonts w:ascii="Times New Roman" w:hAnsi="Times New Roman" w:eastAsiaTheme="minorEastAsia"/>
              </w:rPr>
              <w:t>交易代码</w:t>
            </w:r>
          </w:p>
        </w:tc>
        <w:tc>
          <w:tcPr>
            <w:tcW w:w="5916" w:type="dxa"/>
            <w:gridSpan w:val="2"/>
            <w:vAlign w:val="center"/>
          </w:tcPr>
          <w:p>
            <w:pPr>
              <w:pStyle w:val="36"/>
              <w:rPr>
                <w:rFonts w:ascii="Times New Roman" w:hAnsi="Times New Roman" w:eastAsiaTheme="minorEastAsia"/>
              </w:rPr>
            </w:pPr>
            <w:r>
              <w:rPr>
                <w:rFonts w:ascii="Times New Roman" w:hAnsi="Times New Roman" w:eastAsiaTheme="minorEastAsia"/>
              </w:rPr>
              <w:t>010078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70" w:type="dxa"/>
            <w:vAlign w:val="center"/>
          </w:tcPr>
          <w:p>
            <w:pPr>
              <w:pStyle w:val="36"/>
              <w:rPr>
                <w:rFonts w:ascii="Times New Roman" w:hAnsi="Times New Roman" w:eastAsiaTheme="minorEastAsia"/>
              </w:rPr>
            </w:pPr>
            <w:r>
              <w:rPr>
                <w:rFonts w:ascii="Times New Roman" w:hAnsi="Times New Roman" w:eastAsiaTheme="minorEastAsia"/>
              </w:rPr>
              <w:t>基金运作方式</w:t>
            </w:r>
          </w:p>
        </w:tc>
        <w:tc>
          <w:tcPr>
            <w:tcW w:w="5916" w:type="dxa"/>
            <w:gridSpan w:val="2"/>
            <w:vAlign w:val="center"/>
          </w:tcPr>
          <w:p>
            <w:pPr>
              <w:pStyle w:val="36"/>
              <w:rPr>
                <w:rFonts w:ascii="Times New Roman" w:hAnsi="Times New Roman" w:eastAsiaTheme="minorEastAsia"/>
              </w:rPr>
            </w:pPr>
            <w:r>
              <w:rPr>
                <w:rFonts w:ascii="Times New Roman" w:hAnsi="Times New Roman" w:eastAsiaTheme="minorEastAsia"/>
              </w:rPr>
              <w:t>契约型开放式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70" w:type="dxa"/>
            <w:vAlign w:val="center"/>
          </w:tcPr>
          <w:p>
            <w:pPr>
              <w:pStyle w:val="36"/>
              <w:rPr>
                <w:rFonts w:ascii="Times New Roman" w:hAnsi="Times New Roman" w:eastAsiaTheme="minorEastAsia"/>
              </w:rPr>
            </w:pPr>
            <w:r>
              <w:rPr>
                <w:rFonts w:ascii="Times New Roman" w:hAnsi="Times New Roman" w:eastAsiaTheme="minorEastAsia"/>
              </w:rPr>
              <w:t>基金合同生效日</w:t>
            </w:r>
          </w:p>
        </w:tc>
        <w:tc>
          <w:tcPr>
            <w:tcW w:w="5916" w:type="dxa"/>
            <w:gridSpan w:val="2"/>
            <w:vAlign w:val="center"/>
          </w:tcPr>
          <w:p>
            <w:pPr>
              <w:pStyle w:val="36"/>
              <w:rPr>
                <w:rFonts w:ascii="Times New Roman" w:hAnsi="Times New Roman" w:eastAsiaTheme="minorEastAsia"/>
              </w:rPr>
            </w:pPr>
            <w:r>
              <w:rPr>
                <w:rFonts w:ascii="Times New Roman" w:hAnsi="Times New Roman" w:eastAsiaTheme="minorEastAsia"/>
              </w:rPr>
              <w:t>2020年9月27日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70" w:type="dxa"/>
            <w:vAlign w:val="center"/>
          </w:tcPr>
          <w:p>
            <w:pPr>
              <w:pStyle w:val="36"/>
              <w:rPr>
                <w:rFonts w:ascii="Times New Roman" w:hAnsi="Times New Roman" w:eastAsiaTheme="minorEastAsia"/>
              </w:rPr>
            </w:pPr>
            <w:r>
              <w:rPr>
                <w:rFonts w:ascii="Times New Roman" w:hAnsi="Times New Roman" w:eastAsiaTheme="minorEastAsia"/>
              </w:rPr>
              <w:t>基金管理人</w:t>
            </w:r>
          </w:p>
        </w:tc>
        <w:tc>
          <w:tcPr>
            <w:tcW w:w="5916" w:type="dxa"/>
            <w:gridSpan w:val="2"/>
            <w:vAlign w:val="center"/>
          </w:tcPr>
          <w:p>
            <w:pPr>
              <w:pStyle w:val="36"/>
              <w:rPr>
                <w:rFonts w:ascii="Times New Roman" w:hAnsi="Times New Roman" w:eastAsiaTheme="minorEastAsia"/>
              </w:rPr>
            </w:pPr>
            <w:r>
              <w:rPr>
                <w:rFonts w:ascii="Times New Roman" w:hAnsi="Times New Roman" w:eastAsiaTheme="minorEastAsia"/>
              </w:rPr>
              <w:t>博时基金管理有限公司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70" w:type="dxa"/>
            <w:vAlign w:val="center"/>
          </w:tcPr>
          <w:p>
            <w:pPr>
              <w:pStyle w:val="36"/>
              <w:rPr>
                <w:rFonts w:ascii="Times New Roman" w:hAnsi="Times New Roman" w:eastAsiaTheme="minorEastAsia"/>
              </w:rPr>
            </w:pPr>
            <w:r>
              <w:rPr>
                <w:rFonts w:ascii="Times New Roman" w:hAnsi="Times New Roman" w:eastAsiaTheme="minorEastAsia"/>
              </w:rPr>
              <w:t>基金托管人</w:t>
            </w:r>
          </w:p>
        </w:tc>
        <w:tc>
          <w:tcPr>
            <w:tcW w:w="5916" w:type="dxa"/>
            <w:gridSpan w:val="2"/>
            <w:vAlign w:val="center"/>
          </w:tcPr>
          <w:p>
            <w:pPr>
              <w:pStyle w:val="36"/>
              <w:rPr>
                <w:rFonts w:ascii="Times New Roman" w:hAnsi="Times New Roman" w:eastAsiaTheme="minorEastAsia"/>
              </w:rPr>
            </w:pPr>
            <w:r>
              <w:rPr>
                <w:rFonts w:ascii="Times New Roman" w:hAnsi="Times New Roman" w:eastAsiaTheme="minorEastAsia"/>
              </w:rPr>
              <w:t>中国建设银行股份有限公司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70" w:type="dxa"/>
            <w:vAlign w:val="center"/>
          </w:tcPr>
          <w:p>
            <w:pPr>
              <w:pStyle w:val="36"/>
              <w:rPr>
                <w:rFonts w:ascii="Times New Roman" w:hAnsi="Times New Roman" w:eastAsiaTheme="minorEastAsia"/>
              </w:rPr>
            </w:pPr>
            <w:r>
              <w:rPr>
                <w:rFonts w:hint="eastAsia" w:ascii="Times New Roman" w:hAnsi="Times New Roman" w:eastAsiaTheme="minorEastAsia"/>
                <w:lang w:val="en-US" w:eastAsia="zh-CN"/>
              </w:rPr>
              <w:t>运作期末</w:t>
            </w:r>
            <w:r>
              <w:rPr>
                <w:rFonts w:ascii="Times New Roman" w:hAnsi="Times New Roman" w:eastAsiaTheme="minorEastAsia"/>
              </w:rPr>
              <w:t>基金份额总额</w:t>
            </w:r>
          </w:p>
        </w:tc>
        <w:tc>
          <w:tcPr>
            <w:tcW w:w="5916" w:type="dxa"/>
            <w:gridSpan w:val="2"/>
            <w:vAlign w:val="center"/>
          </w:tcPr>
          <w:p>
            <w:pPr>
              <w:pStyle w:val="36"/>
              <w:rPr>
                <w:rFonts w:ascii="Times New Roman" w:hAnsi="Times New Roman" w:eastAsiaTheme="minorEastAsia"/>
              </w:rPr>
            </w:pPr>
            <w:r>
              <w:rPr>
                <w:rFonts w:hint="eastAsia" w:ascii="Times New Roman" w:hAnsi="Times New Roman" w:eastAsiaTheme="minorEastAsia"/>
              </w:rPr>
              <w:t>30,612,080.57</w:t>
            </w:r>
            <w:r>
              <w:rPr>
                <w:rFonts w:ascii="Times New Roman" w:hAnsi="Times New Roman" w:eastAsiaTheme="minorEastAsia"/>
              </w:rPr>
              <w:t>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70" w:type="dxa"/>
            <w:vAlign w:val="center"/>
          </w:tcPr>
          <w:p>
            <w:pPr>
              <w:pStyle w:val="36"/>
              <w:rPr>
                <w:rFonts w:ascii="Times New Roman" w:hAnsi="Times New Roman" w:eastAsiaTheme="minorEastAsia"/>
              </w:rPr>
            </w:pPr>
            <w:r>
              <w:rPr>
                <w:rFonts w:ascii="Times New Roman" w:hAnsi="Times New Roman" w:eastAsiaTheme="minorEastAsia"/>
              </w:rPr>
              <w:t>基金合同存续期</w:t>
            </w:r>
          </w:p>
        </w:tc>
        <w:tc>
          <w:tcPr>
            <w:tcW w:w="5916" w:type="dxa"/>
            <w:gridSpan w:val="2"/>
            <w:vAlign w:val="center"/>
          </w:tcPr>
          <w:p>
            <w:pPr>
              <w:pStyle w:val="36"/>
              <w:rPr>
                <w:rFonts w:ascii="Times New Roman" w:hAnsi="Times New Roman" w:eastAsiaTheme="minorEastAsia"/>
              </w:rPr>
            </w:pPr>
            <w:r>
              <w:rPr>
                <w:rFonts w:ascii="Times New Roman" w:hAnsi="Times New Roman" w:eastAsiaTheme="minorEastAsia"/>
              </w:rPr>
              <w:t>不定期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70" w:type="dxa"/>
            <w:vAlign w:val="center"/>
          </w:tcPr>
          <w:p>
            <w:pPr>
              <w:pStyle w:val="36"/>
              <w:rPr>
                <w:rFonts w:ascii="Times New Roman" w:hAnsi="Times New Roman" w:eastAsiaTheme="minorEastAsia"/>
              </w:rPr>
            </w:pPr>
            <w:r>
              <w:rPr>
                <w:rFonts w:ascii="Times New Roman" w:hAnsi="Times New Roman" w:eastAsiaTheme="minorEastAsia"/>
              </w:rPr>
              <w:t>下属分级基金的基金简称</w:t>
            </w:r>
          </w:p>
        </w:tc>
        <w:tc>
          <w:tcPr>
            <w:tcW w:w="2958" w:type="dxa"/>
            <w:vAlign w:val="center"/>
          </w:tcPr>
          <w:p>
            <w:pPr>
              <w:pStyle w:val="36"/>
              <w:rPr>
                <w:rFonts w:ascii="Times New Roman" w:hAnsi="Times New Roman" w:eastAsiaTheme="minorEastAsia"/>
              </w:rPr>
            </w:pPr>
            <w:r>
              <w:rPr>
                <w:rFonts w:ascii="Times New Roman" w:hAnsi="Times New Roman" w:eastAsiaTheme="minorEastAsia"/>
              </w:rPr>
              <w:t>博时恒荣一年混合A</w:t>
            </w:r>
          </w:p>
        </w:tc>
        <w:tc>
          <w:tcPr>
            <w:tcW w:w="2958" w:type="dxa"/>
            <w:vAlign w:val="center"/>
          </w:tcPr>
          <w:p>
            <w:pPr>
              <w:pStyle w:val="36"/>
              <w:rPr>
                <w:rFonts w:ascii="Times New Roman" w:hAnsi="Times New Roman" w:eastAsiaTheme="minorEastAsia"/>
              </w:rPr>
            </w:pPr>
            <w:r>
              <w:rPr>
                <w:rFonts w:ascii="Times New Roman" w:hAnsi="Times New Roman" w:eastAsiaTheme="minorEastAsia"/>
              </w:rPr>
              <w:t>博时恒荣一年混合C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70" w:type="dxa"/>
            <w:vAlign w:val="center"/>
          </w:tcPr>
          <w:p>
            <w:pPr>
              <w:pStyle w:val="36"/>
              <w:rPr>
                <w:rFonts w:ascii="Times New Roman" w:hAnsi="Times New Roman" w:eastAsiaTheme="minorEastAsia"/>
              </w:rPr>
            </w:pPr>
            <w:r>
              <w:rPr>
                <w:rFonts w:ascii="Times New Roman" w:hAnsi="Times New Roman" w:eastAsiaTheme="minorEastAsia"/>
              </w:rPr>
              <w:t>下属分级基金的交易代码</w:t>
            </w:r>
          </w:p>
        </w:tc>
        <w:tc>
          <w:tcPr>
            <w:tcW w:w="2958" w:type="dxa"/>
            <w:vAlign w:val="center"/>
          </w:tcPr>
          <w:p>
            <w:pPr>
              <w:pStyle w:val="36"/>
              <w:rPr>
                <w:rFonts w:ascii="Times New Roman" w:hAnsi="Times New Roman" w:eastAsiaTheme="minorEastAsia"/>
              </w:rPr>
            </w:pPr>
            <w:r>
              <w:rPr>
                <w:rFonts w:ascii="Times New Roman" w:hAnsi="Times New Roman" w:eastAsiaTheme="minorEastAsia"/>
              </w:rPr>
              <w:t>010078</w:t>
            </w:r>
          </w:p>
        </w:tc>
        <w:tc>
          <w:tcPr>
            <w:tcW w:w="2958" w:type="dxa"/>
            <w:vAlign w:val="center"/>
          </w:tcPr>
          <w:p>
            <w:pPr>
              <w:pStyle w:val="36"/>
              <w:rPr>
                <w:rFonts w:ascii="Times New Roman" w:hAnsi="Times New Roman" w:eastAsiaTheme="minorEastAsia"/>
              </w:rPr>
            </w:pPr>
            <w:r>
              <w:rPr>
                <w:rFonts w:ascii="Times New Roman" w:hAnsi="Times New Roman" w:eastAsiaTheme="minorEastAsia"/>
              </w:rPr>
              <w:t>010079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370" w:type="dxa"/>
            <w:vAlign w:val="center"/>
          </w:tcPr>
          <w:p>
            <w:pPr>
              <w:pStyle w:val="36"/>
              <w:rPr>
                <w:rFonts w:ascii="Times New Roman" w:hAnsi="Times New Roman" w:eastAsiaTheme="minorEastAsia"/>
              </w:rPr>
            </w:pPr>
            <w:r>
              <w:rPr>
                <w:rFonts w:hint="eastAsia" w:ascii="Times New Roman" w:hAnsi="Times New Roman" w:eastAsiaTheme="minorEastAsia"/>
                <w:lang w:val="en-US" w:eastAsia="zh-CN"/>
              </w:rPr>
              <w:t>运作期末</w:t>
            </w:r>
            <w:r>
              <w:rPr>
                <w:rFonts w:ascii="Times New Roman" w:hAnsi="Times New Roman" w:eastAsiaTheme="minorEastAsia"/>
              </w:rPr>
              <w:t>下属分级基金的份额总额</w:t>
            </w:r>
          </w:p>
        </w:tc>
        <w:tc>
          <w:tcPr>
            <w:tcW w:w="2958" w:type="dxa"/>
            <w:vAlign w:val="center"/>
          </w:tcPr>
          <w:p>
            <w:pPr>
              <w:pStyle w:val="36"/>
              <w:rPr>
                <w:rFonts w:ascii="Times New Roman" w:hAnsi="Times New Roman" w:eastAsiaTheme="minorEastAsia"/>
              </w:rPr>
            </w:pPr>
            <w:r>
              <w:rPr>
                <w:rFonts w:hint="eastAsia" w:ascii="Times New Roman" w:hAnsi="Times New Roman" w:eastAsiaTheme="minorEastAsia"/>
              </w:rPr>
              <w:t>26,058,194.86</w:t>
            </w:r>
            <w:r>
              <w:rPr>
                <w:rFonts w:ascii="Times New Roman" w:hAnsi="Times New Roman" w:eastAsiaTheme="minorEastAsia"/>
              </w:rPr>
              <w:t>份</w:t>
            </w:r>
          </w:p>
        </w:tc>
        <w:tc>
          <w:tcPr>
            <w:tcW w:w="2958" w:type="dxa"/>
            <w:vAlign w:val="center"/>
          </w:tcPr>
          <w:p>
            <w:pPr>
              <w:pStyle w:val="36"/>
              <w:rPr>
                <w:rFonts w:ascii="Times New Roman" w:hAnsi="Times New Roman" w:eastAsiaTheme="minorEastAsia"/>
              </w:rPr>
            </w:pPr>
            <w:r>
              <w:rPr>
                <w:rFonts w:hint="eastAsia" w:ascii="Times New Roman" w:hAnsi="Times New Roman" w:eastAsiaTheme="minorEastAsia"/>
              </w:rPr>
              <w:t>4,553,885.71</w:t>
            </w:r>
            <w:r>
              <w:rPr>
                <w:rFonts w:ascii="Times New Roman" w:hAnsi="Times New Roman" w:eastAsiaTheme="minorEastAsia"/>
              </w:rPr>
              <w:t>份</w:t>
            </w:r>
          </w:p>
        </w:tc>
      </w:tr>
    </w:tbl>
    <w:p>
      <w:pPr>
        <w:pStyle w:val="22"/>
        <w:rPr>
          <w:rFonts w:ascii="宋体" w:hAnsi="宋体"/>
          <w:sz w:val="21"/>
          <w:szCs w:val="21"/>
        </w:rPr>
      </w:pPr>
    </w:p>
    <w:p>
      <w:pPr>
        <w:pStyle w:val="22"/>
        <w:rPr>
          <w:rFonts w:ascii="宋体" w:hAnsi="宋体"/>
          <w:sz w:val="21"/>
          <w:szCs w:val="21"/>
        </w:rPr>
      </w:pPr>
      <w:r>
        <w:rPr>
          <w:rFonts w:ascii="宋体" w:hAnsi="宋体"/>
          <w:sz w:val="21"/>
          <w:szCs w:val="21"/>
        </w:rPr>
        <w:t>2.2 基金产品说明</w:t>
      </w:r>
      <w:bookmarkEnd w:id="18"/>
      <w:bookmarkEnd w:id="19"/>
      <w:bookmarkEnd w:id="20"/>
      <w:bookmarkEnd w:id="21"/>
    </w:p>
    <w:tbl>
      <w:tblPr>
        <w:tblStyle w:val="1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93"/>
        <w:gridCol w:w="5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70" w:type="dxa"/>
            <w:vAlign w:val="center"/>
          </w:tcPr>
          <w:p>
            <w:pPr>
              <w:pStyle w:val="36"/>
              <w:rPr>
                <w:rFonts w:ascii="Times New Roman" w:hAnsi="Times New Roman" w:eastAsiaTheme="minorEastAsia"/>
              </w:rPr>
            </w:pPr>
            <w:bookmarkStart w:id="22" w:name="_Toc361324850"/>
            <w:bookmarkStart w:id="23" w:name="_Toc409100412"/>
            <w:bookmarkStart w:id="24" w:name="_Toc225498250"/>
            <w:bookmarkStart w:id="25" w:name="_Toc409100049"/>
            <w:bookmarkStart w:id="26" w:name="_Toc484769799"/>
            <w:bookmarkStart w:id="27" w:name="_Toc491963082"/>
            <w:r>
              <w:rPr>
                <w:rFonts w:ascii="Times New Roman" w:hAnsi="Times New Roman" w:eastAsiaTheme="minorEastAsia"/>
              </w:rPr>
              <w:t>投资目标</w:t>
            </w:r>
          </w:p>
        </w:tc>
        <w:tc>
          <w:tcPr>
            <w:tcW w:w="5916" w:type="dxa"/>
            <w:vAlign w:val="center"/>
          </w:tcPr>
          <w:p>
            <w:pPr>
              <w:pStyle w:val="36"/>
              <w:rPr>
                <w:rFonts w:ascii="Times New Roman" w:hAnsi="Times New Roman" w:eastAsiaTheme="minorEastAsia"/>
              </w:rPr>
            </w:pPr>
            <w:r>
              <w:rPr>
                <w:rFonts w:ascii="Times New Roman" w:hAnsi="Times New Roman" w:eastAsiaTheme="minorEastAsia"/>
              </w:rPr>
              <w:t>本基金在控制风险的前提下，以获取绝对收益为核心投资目标，通过积极主动的投资管理，力争实现组合资产长期稳健的增值。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70" w:type="dxa"/>
            <w:vAlign w:val="center"/>
          </w:tcPr>
          <w:p>
            <w:pPr>
              <w:pStyle w:val="36"/>
              <w:rPr>
                <w:rFonts w:ascii="Times New Roman" w:hAnsi="Times New Roman" w:eastAsiaTheme="minorEastAsia"/>
              </w:rPr>
            </w:pPr>
            <w:r>
              <w:rPr>
                <w:rFonts w:ascii="Times New Roman" w:hAnsi="Times New Roman" w:eastAsiaTheme="minorEastAsia"/>
              </w:rPr>
              <w:t>投资策略</w:t>
            </w:r>
          </w:p>
        </w:tc>
        <w:tc>
          <w:tcPr>
            <w:tcW w:w="5916" w:type="dxa"/>
            <w:vAlign w:val="center"/>
          </w:tcPr>
          <w:p>
            <w:pPr>
              <w:pStyle w:val="36"/>
              <w:rPr>
                <w:rFonts w:ascii="Times New Roman" w:hAnsi="Times New Roman" w:eastAsiaTheme="minorEastAsia"/>
              </w:rPr>
            </w:pPr>
            <w:r>
              <w:rPr>
                <w:rFonts w:ascii="Times New Roman" w:hAnsi="Times New Roman" w:eastAsiaTheme="minorEastAsia"/>
              </w:rPr>
              <w:t>本基金的投资策略主要包括资产配置策略、股票投资策略、其他资产投资策略三个部分。其中，资产配置策略主要是通过自上而下和自下而上相结合、定性分析和定量分析互相补充的方法，在股票、债券和现金等资产类之间进行相对稳定的适度配置，强调通过自上而下的宏观分析与自下而上的市场趋势分析有机结合进行前瞻性的决策。本基金资产配置不仅考虑宏观基本面的影响因素同时考虑市场情绪、同业基金仓位水平的影响，并根据市场情况作出应对措施。资产配置层面重在对系统性风险的规避。本基金将基于既定的投资策略，充分衡量风险收益比后作出投资决策。股票投资策略方面，将以</w:t>
            </w:r>
            <w:r>
              <w:rPr>
                <w:rFonts w:hint="eastAsia" w:ascii="Times New Roman" w:hAnsi="Times New Roman" w:eastAsiaTheme="minorEastAsia"/>
              </w:rPr>
              <w:t>获取</w:t>
            </w:r>
            <w:r>
              <w:rPr>
                <w:rFonts w:ascii="Times New Roman" w:hAnsi="Times New Roman" w:eastAsiaTheme="minorEastAsia"/>
              </w:rPr>
              <w:t>绝对收益为</w:t>
            </w:r>
            <w:r>
              <w:rPr>
                <w:rFonts w:hint="eastAsia" w:ascii="Times New Roman" w:hAnsi="Times New Roman" w:eastAsiaTheme="minorEastAsia"/>
              </w:rPr>
              <w:t>核心投资</w:t>
            </w:r>
            <w:r>
              <w:rPr>
                <w:rFonts w:ascii="Times New Roman" w:hAnsi="Times New Roman" w:eastAsiaTheme="minorEastAsia"/>
              </w:rPr>
              <w:t>目标</w:t>
            </w:r>
            <w:r>
              <w:rPr>
                <w:rFonts w:hint="eastAsia" w:ascii="Times New Roman" w:hAnsi="Times New Roman" w:eastAsiaTheme="minorEastAsia"/>
                <w:lang w:eastAsia="zh-CN"/>
              </w:rPr>
              <w:t>，</w:t>
            </w:r>
            <w:r>
              <w:rPr>
                <w:rFonts w:ascii="Times New Roman" w:hAnsi="Times New Roman" w:eastAsiaTheme="minorEastAsia"/>
              </w:rPr>
              <w:t>结合定量、定性分析，考察和筛选未被充分定价的、具备增长潜力的个股，建立本基金的初选股票池。在股票投资上，本基金将在符合经济发展规律、有政策驱动的、推动经济结构转型的新的增长点和产业中，以自下而上的个股选择为主，重点关注公司以及所属产业的成长性与商业模式，主要涉及到一下几点，行业选择与配置、竞争力分析、管理层分析、财务指标分析、估值比较、交易策略、港股投资策略、存托凭证投资策略。其他资产投资策略有债券投资策略、衍生产品投资策略、流通受限证券投资策略、资产支持证券投资策略、融资投资策略，其中债券投资策略包括：期限结构策略、信用策略、互换策略、息差策略、可转换债券投资策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70" w:type="dxa"/>
            <w:vAlign w:val="center"/>
          </w:tcPr>
          <w:p>
            <w:pPr>
              <w:pStyle w:val="36"/>
              <w:rPr>
                <w:rFonts w:ascii="Times New Roman" w:hAnsi="Times New Roman" w:eastAsiaTheme="minorEastAsia"/>
              </w:rPr>
            </w:pPr>
            <w:r>
              <w:rPr>
                <w:rFonts w:ascii="Times New Roman" w:hAnsi="Times New Roman" w:eastAsiaTheme="minorEastAsia"/>
              </w:rPr>
              <w:t>业绩比较基准</w:t>
            </w:r>
          </w:p>
        </w:tc>
        <w:tc>
          <w:tcPr>
            <w:tcW w:w="5916" w:type="dxa"/>
            <w:vAlign w:val="center"/>
          </w:tcPr>
          <w:p>
            <w:pPr>
              <w:pStyle w:val="36"/>
              <w:rPr>
                <w:rFonts w:ascii="Times New Roman" w:hAnsi="Times New Roman" w:eastAsiaTheme="minorEastAsia"/>
              </w:rPr>
            </w:pPr>
            <w:r>
              <w:rPr>
                <w:rFonts w:ascii="Times New Roman" w:hAnsi="Times New Roman" w:eastAsiaTheme="minorEastAsia"/>
              </w:rPr>
              <w:t>沪深300指数收益率×15%＋恒生综合指数收益率×5%＋中债综合财富（总值）指数收益率×75%+银行活期存款利率（税后）×5%。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70" w:type="dxa"/>
            <w:vAlign w:val="center"/>
          </w:tcPr>
          <w:p>
            <w:pPr>
              <w:pStyle w:val="36"/>
              <w:rPr>
                <w:rFonts w:ascii="Times New Roman" w:hAnsi="Times New Roman" w:eastAsiaTheme="minorEastAsia"/>
              </w:rPr>
            </w:pPr>
            <w:r>
              <w:rPr>
                <w:rFonts w:ascii="Times New Roman" w:hAnsi="Times New Roman" w:eastAsiaTheme="minorEastAsia"/>
              </w:rPr>
              <w:t>风险收益特征</w:t>
            </w:r>
          </w:p>
        </w:tc>
        <w:tc>
          <w:tcPr>
            <w:tcW w:w="5916" w:type="dxa"/>
            <w:vAlign w:val="center"/>
          </w:tcPr>
          <w:p>
            <w:pPr>
              <w:pStyle w:val="36"/>
              <w:rPr>
                <w:rFonts w:ascii="Times New Roman" w:hAnsi="Times New Roman" w:eastAsiaTheme="minorEastAsia"/>
              </w:rPr>
            </w:pPr>
            <w:r>
              <w:rPr>
                <w:rFonts w:ascii="Times New Roman" w:hAnsi="Times New Roman" w:eastAsiaTheme="minorEastAsia"/>
              </w:rPr>
              <w:t>本基金是混合型证券投资基金，其预期收益和预期风险水平高于债券型基金产品和货币市场基金，低于股票型基金。本基金如果投资港股通标的股票，需承担汇率风险以及境外市场的风险。</w:t>
            </w:r>
          </w:p>
        </w:tc>
      </w:tr>
    </w:tbl>
    <w:p>
      <w:pPr>
        <w:pStyle w:val="2"/>
        <w:keepNext/>
        <w:keepLines/>
        <w:widowControl w:val="0"/>
        <w:spacing w:before="312" w:beforeLines="100" w:after="312" w:afterLines="100" w:line="360" w:lineRule="auto"/>
        <w:jc w:val="center"/>
        <w:rPr>
          <w:rStyle w:val="20"/>
          <w:rFonts w:ascii="宋体" w:hAnsi="宋体"/>
        </w:rPr>
      </w:pPr>
    </w:p>
    <w:p>
      <w:pPr>
        <w:pStyle w:val="2"/>
        <w:keepNext/>
        <w:keepLines/>
        <w:widowControl w:val="0"/>
        <w:spacing w:before="312" w:beforeLines="100" w:after="312" w:afterLines="100" w:line="360" w:lineRule="auto"/>
        <w:jc w:val="center"/>
        <w:rPr>
          <w:rStyle w:val="20"/>
          <w:rFonts w:ascii="宋体" w:hAnsi="宋体"/>
          <w:b w:val="0"/>
        </w:rPr>
      </w:pPr>
      <w:r>
        <w:rPr>
          <w:rStyle w:val="20"/>
          <w:rFonts w:ascii="宋体" w:hAnsi="宋体"/>
        </w:rPr>
        <w:t>3</w:t>
      </w:r>
      <w:bookmarkEnd w:id="22"/>
      <w:bookmarkEnd w:id="23"/>
      <w:bookmarkEnd w:id="24"/>
      <w:bookmarkEnd w:id="25"/>
      <w:r>
        <w:rPr>
          <w:rStyle w:val="20"/>
          <w:rFonts w:hint="eastAsia" w:ascii="宋体" w:hAnsi="宋体"/>
        </w:rPr>
        <w:t>、基金运作情况说明</w:t>
      </w:r>
      <w:bookmarkEnd w:id="26"/>
      <w:bookmarkEnd w:id="27"/>
    </w:p>
    <w:p>
      <w:pPr>
        <w:pStyle w:val="24"/>
      </w:pPr>
      <w:r>
        <w:rPr>
          <w:rFonts w:hint="eastAsia"/>
        </w:rPr>
        <w:t>本基金经中国证监会证监许可[2020]1501号《关于准予博时恒荣一年持有期混合型证券投资基金注册的批复》</w:t>
      </w:r>
      <w:r>
        <w:rPr>
          <w:rFonts w:hint="eastAsia" w:eastAsiaTheme="minorEastAsia"/>
        </w:rPr>
        <w:t>注册</w:t>
      </w:r>
      <w:r>
        <w:t>，</w:t>
      </w:r>
      <w:r>
        <w:rPr>
          <w:rFonts w:hint="eastAsia"/>
        </w:rPr>
        <w:t>由博时基金管理有限公司于</w:t>
      </w:r>
      <w:r>
        <w:t>自</w:t>
      </w:r>
      <w:bookmarkStart w:id="28" w:name="field_58_raisebegindate_1"/>
      <w:r>
        <w:rPr>
          <w:sz w:val="21"/>
          <w:szCs w:val="21"/>
        </w:rPr>
        <w:t>2020年9月10日</w:t>
      </w:r>
      <w:bookmarkEnd w:id="28"/>
      <w:r>
        <w:rPr>
          <w:rFonts w:hint="eastAsia"/>
          <w:sz w:val="21"/>
          <w:szCs w:val="21"/>
        </w:rPr>
        <w:t>至</w:t>
      </w:r>
      <w:bookmarkStart w:id="29" w:name="field_58_raiseenddate_1"/>
      <w:r>
        <w:rPr>
          <w:sz w:val="21"/>
          <w:szCs w:val="21"/>
        </w:rPr>
        <w:t>2020年9月23日</w:t>
      </w:r>
      <w:bookmarkEnd w:id="29"/>
      <w:r>
        <w:rPr>
          <w:rFonts w:hint="eastAsia"/>
        </w:rPr>
        <w:t>向社会公开发行募集，基金合同于2020年9月27日正式生效，募集规模为</w:t>
      </w:r>
      <w:bookmarkStart w:id="30" w:name="field_58_raisetotal_1"/>
      <w:r>
        <w:rPr>
          <w:sz w:val="21"/>
          <w:szCs w:val="21"/>
        </w:rPr>
        <w:t>232,952,942.97</w:t>
      </w:r>
      <w:bookmarkEnd w:id="30"/>
      <w:r>
        <w:rPr>
          <w:rFonts w:hint="eastAsia"/>
        </w:rPr>
        <w:t>份基金份额（含利息结转的份额）。</w:t>
      </w:r>
    </w:p>
    <w:p>
      <w:pPr>
        <w:pStyle w:val="24"/>
      </w:pPr>
      <w:r>
        <w:rPr>
          <w:rFonts w:hint="eastAsia"/>
        </w:rPr>
        <w:t>自 2020年9月27日至 20</w:t>
      </w:r>
      <w:r>
        <w:t>2</w:t>
      </w:r>
      <w:r>
        <w:rPr>
          <w:rFonts w:hint="eastAsia"/>
          <w:lang w:val="en-US" w:eastAsia="zh-CN"/>
        </w:rPr>
        <w:t>3</w:t>
      </w:r>
      <w:r>
        <w:rPr>
          <w:rFonts w:hint="eastAsia"/>
        </w:rPr>
        <w:t>年5月</w:t>
      </w:r>
      <w:r>
        <w:t>1</w:t>
      </w:r>
      <w:r>
        <w:rPr>
          <w:rFonts w:hint="eastAsia"/>
          <w:lang w:val="en-US" w:eastAsia="zh-CN"/>
        </w:rPr>
        <w:t>9</w:t>
      </w:r>
      <w:r>
        <w:rPr>
          <w:rFonts w:hint="eastAsia"/>
        </w:rPr>
        <w:t>日期间，本基金按基金合同正常运作。</w:t>
      </w:r>
    </w:p>
    <w:p>
      <w:pPr>
        <w:spacing w:line="360" w:lineRule="auto"/>
        <w:ind w:firstLine="420" w:firstLineChars="200"/>
        <w:rPr>
          <w:rFonts w:hint="eastAsia" w:cs="Times New Roman" w:asciiTheme="minorEastAsia" w:hAnsiTheme="minorEastAsia" w:eastAsiaTheme="minorEastAsia"/>
          <w:color w:val="000000"/>
          <w:kern w:val="2"/>
          <w:sz w:val="21"/>
          <w:szCs w:val="21"/>
          <w:lang w:val="en-US" w:eastAsia="zh-CN" w:bidi="ar-SA"/>
        </w:rPr>
      </w:pPr>
      <w:r>
        <w:rPr>
          <w:rFonts w:hint="eastAsia" w:cs="Times New Roman" w:asciiTheme="minorEastAsia" w:hAnsiTheme="minorEastAsia" w:eastAsiaTheme="minorEastAsia"/>
          <w:color w:val="000000"/>
          <w:kern w:val="2"/>
          <w:sz w:val="21"/>
          <w:szCs w:val="21"/>
          <w:lang w:val="en-US" w:eastAsia="zh-CN" w:bidi="ar-SA"/>
        </w:rPr>
        <w:t>根据《基金合同》“第五部分 基金备案”中“三、基金存续期内的基金份额持有人数量和资产规模”的约定：</w:t>
      </w:r>
    </w:p>
    <w:p>
      <w:pPr>
        <w:spacing w:line="360" w:lineRule="auto"/>
        <w:ind w:firstLine="420" w:firstLineChars="200"/>
        <w:rPr>
          <w:rFonts w:hint="eastAsia" w:cs="Times New Roman" w:asciiTheme="minorEastAsia" w:hAnsiTheme="minorEastAsia" w:eastAsiaTheme="minorEastAsia"/>
          <w:color w:val="000000"/>
          <w:kern w:val="2"/>
          <w:sz w:val="21"/>
          <w:szCs w:val="21"/>
          <w:lang w:val="en-US" w:eastAsia="zh-CN" w:bidi="ar-SA"/>
        </w:rPr>
      </w:pPr>
      <w:r>
        <w:rPr>
          <w:rFonts w:hint="eastAsia" w:cs="Times New Roman" w:asciiTheme="minorEastAsia" w:hAnsiTheme="minorEastAsia" w:eastAsiaTheme="minorEastAsia"/>
          <w:color w:val="000000"/>
          <w:kern w:val="2"/>
          <w:sz w:val="21"/>
          <w:szCs w:val="21"/>
          <w:lang w:val="en-US" w:eastAsia="zh-CN" w:bidi="ar-SA"/>
        </w:rPr>
        <w:t>“《基金合同》生效后，连续20个工作日出现基金份额持有人数量不满200人或者基金资产净值低于5000万元情形的，基金管理人应当在定期报告中予以披露；连续50个工作日出现前述情形的，本基金将根据基金合同的约定进行基金财产清算并终止，且无需召开基金份额持有人大会，同时基金管理人应履行相关的监管报告和信息披露程序。</w:t>
      </w:r>
    </w:p>
    <w:p>
      <w:pPr>
        <w:spacing w:line="360" w:lineRule="auto"/>
        <w:ind w:firstLine="420" w:firstLineChars="200"/>
        <w:rPr>
          <w:rFonts w:ascii="Arial" w:hAnsi="Arial" w:cs="Arial"/>
          <w:color w:val="000000"/>
          <w:szCs w:val="21"/>
        </w:rPr>
      </w:pPr>
      <w:r>
        <w:rPr>
          <w:rFonts w:hint="eastAsia" w:ascii="Arial" w:hAnsi="Arial" w:cs="Arial"/>
          <w:color w:val="000000"/>
          <w:szCs w:val="21"/>
        </w:rPr>
        <w:t>法律法规或中国证监会另有规定时，从其规定。”</w:t>
      </w:r>
    </w:p>
    <w:p>
      <w:pPr>
        <w:pStyle w:val="24"/>
      </w:pPr>
      <w:r>
        <w:rPr>
          <w:rFonts w:hint="eastAsia" w:asciiTheme="minorEastAsia" w:hAnsiTheme="minorEastAsia" w:eastAsiaTheme="minorEastAsia"/>
          <w:szCs w:val="21"/>
        </w:rPr>
        <w:t>截至20</w:t>
      </w:r>
      <w:r>
        <w:rPr>
          <w:rFonts w:hint="eastAsia" w:asciiTheme="minorEastAsia" w:hAnsiTheme="minorEastAsia" w:eastAsiaTheme="minorEastAsia"/>
          <w:szCs w:val="21"/>
          <w:lang w:val="en-US" w:eastAsia="zh-CN"/>
        </w:rPr>
        <w:t>23</w:t>
      </w:r>
      <w:r>
        <w:rPr>
          <w:rFonts w:hint="eastAsia" w:asciiTheme="minorEastAsia" w:hAnsiTheme="minorEastAsia" w:eastAsiaTheme="minorEastAsia"/>
          <w:szCs w:val="21"/>
        </w:rPr>
        <w:t>年</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月</w:t>
      </w:r>
      <w:r>
        <w:rPr>
          <w:rFonts w:hint="eastAsia" w:asciiTheme="minorEastAsia" w:hAnsiTheme="minorEastAsia" w:eastAsiaTheme="minorEastAsia"/>
          <w:szCs w:val="21"/>
          <w:lang w:val="en-US" w:eastAsia="zh-CN"/>
        </w:rPr>
        <w:t>19</w:t>
      </w:r>
      <w:r>
        <w:rPr>
          <w:rFonts w:hint="eastAsia" w:asciiTheme="minorEastAsia" w:hAnsiTheme="minorEastAsia" w:eastAsiaTheme="minorEastAsia"/>
          <w:szCs w:val="21"/>
        </w:rPr>
        <w:t>日，本基金已出现连续</w:t>
      </w:r>
      <w:r>
        <w:rPr>
          <w:rFonts w:hint="eastAsia" w:asciiTheme="minorEastAsia" w:hAnsiTheme="minorEastAsia" w:eastAsiaTheme="minorEastAsia"/>
          <w:szCs w:val="21"/>
          <w:lang w:val="en-US" w:eastAsia="zh-CN"/>
        </w:rPr>
        <w:t>50</w:t>
      </w:r>
      <w:r>
        <w:rPr>
          <w:rFonts w:hint="eastAsia" w:asciiTheme="minorEastAsia" w:hAnsiTheme="minorEastAsia" w:eastAsiaTheme="minorEastAsia"/>
          <w:szCs w:val="21"/>
        </w:rPr>
        <w:t>个工作日基金资产净值低于5000万元的情形，已触发基金合同中约定的基金终止条款。根据基金合同</w:t>
      </w:r>
      <w:r>
        <w:rPr>
          <w:rFonts w:hint="eastAsia" w:ascii="Arial" w:hAnsi="Arial" w:cs="Arial"/>
          <w:color w:val="000000"/>
          <w:szCs w:val="21"/>
        </w:rPr>
        <w:t>有关约定，本基金将根据《基金合同》约定进入清算程序并终止，且无需召开基金份额持有人大会。</w:t>
      </w:r>
      <w:r>
        <w:rPr>
          <w:rFonts w:hint="eastAsia" w:asciiTheme="minorEastAsia" w:hAnsiTheme="minorEastAsia" w:eastAsiaTheme="minorEastAsia"/>
          <w:szCs w:val="21"/>
        </w:rPr>
        <w:t>本基金的最后运作日定为20</w:t>
      </w:r>
      <w:r>
        <w:rPr>
          <w:rFonts w:asciiTheme="minorEastAsia" w:hAnsiTheme="minorEastAsia" w:eastAsiaTheme="minorEastAsia"/>
          <w:szCs w:val="21"/>
        </w:rPr>
        <w:t>2</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年5月</w:t>
      </w: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9</w:t>
      </w:r>
      <w:r>
        <w:rPr>
          <w:rFonts w:hint="eastAsia" w:asciiTheme="minorEastAsia" w:hAnsiTheme="minorEastAsia" w:eastAsiaTheme="minorEastAsia"/>
          <w:szCs w:val="21"/>
        </w:rPr>
        <w:t>日，并于</w:t>
      </w:r>
      <w:r>
        <w:rPr>
          <w:rFonts w:hint="eastAsia" w:asciiTheme="majorEastAsia" w:hAnsiTheme="majorEastAsia" w:eastAsiaTheme="majorEastAsia"/>
          <w:szCs w:val="21"/>
        </w:rPr>
        <w:t>202</w:t>
      </w:r>
      <w:r>
        <w:rPr>
          <w:rFonts w:hint="eastAsia" w:asciiTheme="majorEastAsia" w:hAnsiTheme="majorEastAsia" w:eastAsiaTheme="majorEastAsia"/>
          <w:szCs w:val="21"/>
          <w:lang w:val="en-US" w:eastAsia="zh-CN"/>
        </w:rPr>
        <w:t>3</w:t>
      </w:r>
      <w:r>
        <w:rPr>
          <w:rFonts w:hint="eastAsia" w:asciiTheme="majorEastAsia" w:hAnsiTheme="majorEastAsia" w:eastAsiaTheme="majorEastAsia"/>
          <w:szCs w:val="21"/>
        </w:rPr>
        <w:t>年5月</w:t>
      </w:r>
      <w:r>
        <w:rPr>
          <w:rFonts w:hint="eastAsia" w:asciiTheme="majorEastAsia" w:hAnsiTheme="majorEastAsia" w:eastAsiaTheme="majorEastAsia"/>
          <w:szCs w:val="21"/>
          <w:lang w:val="en-US" w:eastAsia="zh-CN"/>
        </w:rPr>
        <w:t>22</w:t>
      </w:r>
      <w:r>
        <w:rPr>
          <w:rFonts w:hint="eastAsia" w:asciiTheme="majorEastAsia" w:hAnsiTheme="majorEastAsia" w:eastAsiaTheme="majorEastAsia"/>
          <w:szCs w:val="21"/>
        </w:rPr>
        <w:t>日</w:t>
      </w:r>
      <w:r>
        <w:rPr>
          <w:rFonts w:hint="eastAsia" w:asciiTheme="minorEastAsia" w:hAnsiTheme="minorEastAsia" w:eastAsiaTheme="minorEastAsia"/>
          <w:szCs w:val="21"/>
        </w:rPr>
        <w:t>进入财产清算期。</w:t>
      </w:r>
    </w:p>
    <w:p>
      <w:pPr>
        <w:pStyle w:val="2"/>
        <w:keepNext/>
        <w:keepLines/>
        <w:widowControl w:val="0"/>
        <w:spacing w:before="312" w:beforeLines="100" w:after="312" w:afterLines="100" w:line="360" w:lineRule="auto"/>
        <w:jc w:val="center"/>
        <w:rPr>
          <w:rStyle w:val="20"/>
          <w:rFonts w:ascii="宋体" w:hAnsi="宋体"/>
        </w:rPr>
      </w:pPr>
      <w:bookmarkStart w:id="31" w:name="_Toc484769805"/>
      <w:bookmarkStart w:id="32" w:name="_Toc491963083"/>
      <w:r>
        <w:rPr>
          <w:rStyle w:val="20"/>
          <w:rFonts w:hint="eastAsia" w:ascii="宋体" w:hAnsi="宋体"/>
        </w:rPr>
        <w:t>4、财务报告</w:t>
      </w:r>
      <w:bookmarkEnd w:id="31"/>
      <w:bookmarkEnd w:id="32"/>
    </w:p>
    <w:p>
      <w:pPr>
        <w:pStyle w:val="3"/>
        <w:spacing w:before="0" w:after="0"/>
        <w:rPr>
          <w:rFonts w:ascii="宋体" w:hAnsi="宋体" w:eastAsia="宋体"/>
          <w:kern w:val="0"/>
          <w:sz w:val="21"/>
          <w:szCs w:val="21"/>
        </w:rPr>
      </w:pPr>
      <w:bookmarkStart w:id="33" w:name="_Toc361324873"/>
      <w:bookmarkStart w:id="34" w:name="_Toc409100437"/>
      <w:bookmarkStart w:id="35" w:name="_Toc491963084"/>
      <w:bookmarkStart w:id="36" w:name="_Toc484607311"/>
      <w:bookmarkStart w:id="37" w:name="_Toc225498268"/>
      <w:bookmarkStart w:id="38" w:name="_Toc409100074"/>
      <w:bookmarkStart w:id="39" w:name="_Toc484769806"/>
      <w:bookmarkStart w:id="40" w:name="_Toc476577275"/>
      <w:bookmarkStart w:id="41" w:name="_Toc483396838"/>
      <w:r>
        <w:rPr>
          <w:rFonts w:hint="eastAsia" w:ascii="宋体" w:hAnsi="宋体" w:eastAsia="宋体"/>
          <w:kern w:val="0"/>
          <w:sz w:val="21"/>
          <w:szCs w:val="21"/>
        </w:rPr>
        <w:t>4</w:t>
      </w:r>
      <w:r>
        <w:rPr>
          <w:rFonts w:ascii="宋体" w:hAnsi="宋体" w:eastAsia="宋体"/>
          <w:kern w:val="0"/>
          <w:sz w:val="21"/>
          <w:szCs w:val="21"/>
        </w:rPr>
        <w:t>.1 资产负债表</w:t>
      </w:r>
      <w:bookmarkEnd w:id="33"/>
      <w:bookmarkEnd w:id="34"/>
      <w:bookmarkEnd w:id="35"/>
      <w:bookmarkEnd w:id="36"/>
      <w:bookmarkEnd w:id="37"/>
      <w:bookmarkEnd w:id="38"/>
      <w:bookmarkEnd w:id="39"/>
      <w:bookmarkEnd w:id="40"/>
      <w:bookmarkEnd w:id="41"/>
      <w:r>
        <w:rPr>
          <w:rFonts w:hint="eastAsia" w:ascii="宋体" w:hAnsi="宋体" w:eastAsia="宋体"/>
          <w:kern w:val="0"/>
          <w:sz w:val="21"/>
          <w:szCs w:val="21"/>
        </w:rPr>
        <w:t>(已经审计)</w:t>
      </w:r>
    </w:p>
    <w:p>
      <w:pPr>
        <w:autoSpaceDE w:val="0"/>
        <w:autoSpaceDN w:val="0"/>
        <w:adjustRightInd w:val="0"/>
        <w:spacing w:before="29" w:line="360" w:lineRule="auto"/>
        <w:ind w:left="15"/>
        <w:jc w:val="right"/>
        <w:rPr>
          <w:rFonts w:ascii="宋体" w:hAnsi="宋体"/>
          <w:color w:val="000000"/>
          <w:kern w:val="0"/>
          <w:szCs w:val="21"/>
        </w:rPr>
      </w:pPr>
      <w:r>
        <w:rPr>
          <w:rFonts w:ascii="宋体" w:hAnsi="宋体"/>
          <w:color w:val="000000"/>
          <w:kern w:val="0"/>
          <w:szCs w:val="21"/>
        </w:rPr>
        <w:t>单位：人民币元</w:t>
      </w:r>
    </w:p>
    <w:tbl>
      <w:tblPr>
        <w:tblStyle w:val="13"/>
        <w:tblW w:w="7951" w:type="dxa"/>
        <w:tblInd w:w="1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0"/>
        <w:gridCol w:w="4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90" w:type="dxa"/>
            <w:shd w:val="clear" w:color="auto" w:fill="auto"/>
            <w:vAlign w:val="center"/>
          </w:tcPr>
          <w:p>
            <w:pPr>
              <w:pStyle w:val="11"/>
              <w:spacing w:before="0" w:beforeAutospacing="0" w:after="0" w:afterAutospacing="0"/>
              <w:jc w:val="center"/>
              <w:rPr>
                <w:rFonts w:ascii="Arial" w:hAnsi="Arial" w:eastAsia="宋体" w:cs="Arial"/>
                <w:b/>
              </w:rPr>
            </w:pPr>
            <w:r>
              <w:rPr>
                <w:rFonts w:ascii="Arial" w:hAnsi="Arial" w:eastAsia="宋体" w:cs="Arial"/>
                <w:b/>
              </w:rPr>
              <w:t>资产</w:t>
            </w:r>
          </w:p>
        </w:tc>
        <w:tc>
          <w:tcPr>
            <w:tcW w:w="4461" w:type="dxa"/>
            <w:shd w:val="clear" w:color="auto" w:fill="auto"/>
            <w:vAlign w:val="center"/>
          </w:tcPr>
          <w:p>
            <w:pPr>
              <w:pStyle w:val="11"/>
              <w:spacing w:before="0" w:beforeAutospacing="0" w:after="0" w:afterAutospacing="0"/>
              <w:jc w:val="center"/>
              <w:rPr>
                <w:rFonts w:ascii="Arial" w:hAnsi="Arial" w:eastAsia="宋体" w:cs="Arial"/>
                <w:b/>
                <w:lang w:eastAsia="zh-CN"/>
              </w:rPr>
            </w:pPr>
            <w:r>
              <w:rPr>
                <w:rFonts w:ascii="Arial" w:hAnsi="Arial" w:eastAsia="宋体" w:cs="Arial"/>
                <w:b/>
                <w:lang w:eastAsia="zh-CN"/>
              </w:rPr>
              <w:t>202</w:t>
            </w:r>
            <w:r>
              <w:rPr>
                <w:rFonts w:hint="eastAsia" w:ascii="Arial" w:hAnsi="Arial" w:eastAsia="宋体" w:cs="Arial"/>
                <w:b/>
                <w:lang w:val="en-US" w:eastAsia="zh-CN"/>
              </w:rPr>
              <w:t>3</w:t>
            </w:r>
            <w:r>
              <w:rPr>
                <w:rFonts w:ascii="Arial" w:hAnsi="Arial" w:eastAsia="宋体" w:cs="Arial"/>
                <w:b/>
                <w:lang w:eastAsia="zh-CN"/>
              </w:rPr>
              <w:t>年</w:t>
            </w:r>
            <w:r>
              <w:rPr>
                <w:rFonts w:hint="eastAsia" w:ascii="Arial" w:hAnsi="Arial" w:eastAsia="宋体" w:cs="Arial"/>
                <w:b/>
                <w:lang w:eastAsia="zh-CN"/>
              </w:rPr>
              <w:t>5</w:t>
            </w:r>
            <w:r>
              <w:rPr>
                <w:rFonts w:ascii="Arial" w:hAnsi="Arial" w:eastAsia="宋体" w:cs="Arial"/>
                <w:b/>
                <w:lang w:eastAsia="zh-CN"/>
              </w:rPr>
              <w:t>月1</w:t>
            </w:r>
            <w:r>
              <w:rPr>
                <w:rFonts w:hint="eastAsia" w:ascii="Arial" w:hAnsi="Arial" w:eastAsia="宋体" w:cs="Arial"/>
                <w:b/>
                <w:lang w:val="en-US" w:eastAsia="zh-CN"/>
              </w:rPr>
              <w:t>9</w:t>
            </w:r>
            <w:r>
              <w:rPr>
                <w:rFonts w:ascii="Arial" w:hAnsi="Arial" w:eastAsia="宋体" w:cs="Arial"/>
                <w:b/>
                <w:lang w:eastAsia="zh-CN"/>
              </w:rPr>
              <w:t>日</w:t>
            </w:r>
          </w:p>
          <w:p>
            <w:pPr>
              <w:pStyle w:val="11"/>
              <w:spacing w:before="0" w:beforeAutospacing="0" w:after="0" w:afterAutospacing="0"/>
              <w:jc w:val="center"/>
              <w:rPr>
                <w:rFonts w:ascii="Arial" w:hAnsi="Arial" w:eastAsia="宋体" w:cs="Arial"/>
                <w:b/>
                <w:lang w:eastAsia="zh-CN"/>
              </w:rPr>
            </w:pPr>
            <w:r>
              <w:rPr>
                <w:rFonts w:ascii="Arial" w:hAnsi="Arial" w:eastAsia="宋体" w:cs="Arial"/>
                <w:b/>
                <w:lang w:eastAsia="zh-CN"/>
              </w:rPr>
              <w:t>(基金</w:t>
            </w:r>
            <w:r>
              <w:rPr>
                <w:rFonts w:hint="eastAsia" w:ascii="Arial" w:hAnsi="Arial" w:eastAsia="宋体" w:cs="Arial"/>
                <w:b/>
                <w:lang w:eastAsia="zh-CN"/>
              </w:rPr>
              <w:t>最后运作</w:t>
            </w:r>
            <w:r>
              <w:rPr>
                <w:rFonts w:ascii="Arial" w:hAnsi="Arial" w:eastAsia="宋体" w:cs="Arial"/>
                <w:b/>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90" w:type="dxa"/>
            <w:shd w:val="clear" w:color="auto" w:fill="auto"/>
            <w:vAlign w:val="bottom"/>
          </w:tcPr>
          <w:p>
            <w:pPr>
              <w:spacing w:before="100" w:beforeAutospacing="1" w:after="100" w:afterAutospacing="1"/>
              <w:rPr>
                <w:rFonts w:ascii="Arial" w:hAnsi="Arial" w:cs="Arial"/>
                <w:b/>
                <w:bCs/>
                <w:sz w:val="24"/>
              </w:rPr>
            </w:pPr>
            <w:r>
              <w:rPr>
                <w:rFonts w:ascii="Arial" w:hAnsi="Arial" w:cs="Arial"/>
                <w:b/>
                <w:bCs/>
                <w:sz w:val="24"/>
              </w:rPr>
              <w:t>资产：</w:t>
            </w:r>
          </w:p>
        </w:tc>
        <w:tc>
          <w:tcPr>
            <w:tcW w:w="4461" w:type="dxa"/>
            <w:shd w:val="clear" w:color="auto" w:fill="auto"/>
            <w:vAlign w:val="bottom"/>
          </w:tcPr>
          <w:p>
            <w:pPr>
              <w:spacing w:before="100" w:beforeAutospacing="1" w:after="100" w:afterAutospacing="1"/>
              <w:ind w:left="-72"/>
              <w:jc w:val="right"/>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90" w:type="dxa"/>
            <w:shd w:val="clear" w:color="auto" w:fill="auto"/>
            <w:vAlign w:val="bottom"/>
          </w:tcPr>
          <w:p>
            <w:pPr>
              <w:spacing w:before="100" w:beforeAutospacing="1" w:after="100" w:afterAutospacing="1"/>
              <w:rPr>
                <w:rFonts w:ascii="Arial" w:hAnsi="Arial" w:cs="Arial"/>
                <w:sz w:val="24"/>
              </w:rPr>
            </w:pPr>
            <w:r>
              <w:rPr>
                <w:rFonts w:ascii="Arial" w:hAnsi="Arial" w:cs="Arial"/>
                <w:sz w:val="24"/>
              </w:rPr>
              <w:t>银行存款</w:t>
            </w:r>
          </w:p>
        </w:tc>
        <w:tc>
          <w:tcPr>
            <w:tcW w:w="4461" w:type="dxa"/>
            <w:shd w:val="clear" w:color="auto" w:fill="auto"/>
          </w:tcPr>
          <w:p>
            <w:pPr>
              <w:ind w:left="-80"/>
              <w:jc w:val="right"/>
              <w:rPr>
                <w:rFonts w:ascii="Arial" w:hAnsi="Arial" w:cs="Arial"/>
                <w:color w:val="000000"/>
                <w:sz w:val="24"/>
              </w:rPr>
            </w:pPr>
            <w:r>
              <w:rPr>
                <w:rFonts w:hint="eastAsia" w:ascii="Arial" w:hAnsi="Arial" w:cs="Arial"/>
                <w:color w:val="000000"/>
                <w:sz w:val="24"/>
              </w:rPr>
              <w:t>18</w:t>
            </w:r>
            <w:r>
              <w:rPr>
                <w:rFonts w:hint="eastAsia" w:ascii="Arial" w:hAnsi="Arial" w:cs="Arial"/>
                <w:color w:val="000000"/>
                <w:sz w:val="24"/>
                <w:lang w:val="en-US" w:eastAsia="zh-CN"/>
              </w:rPr>
              <w:t>,</w:t>
            </w:r>
            <w:r>
              <w:rPr>
                <w:rFonts w:hint="eastAsia" w:ascii="Arial" w:hAnsi="Arial" w:cs="Arial"/>
                <w:color w:val="000000"/>
                <w:sz w:val="24"/>
              </w:rPr>
              <w:t>041</w:t>
            </w:r>
            <w:r>
              <w:rPr>
                <w:rFonts w:hint="eastAsia" w:ascii="Arial" w:hAnsi="Arial" w:cs="Arial"/>
                <w:color w:val="000000"/>
                <w:sz w:val="24"/>
                <w:lang w:val="en-US" w:eastAsia="zh-CN"/>
              </w:rPr>
              <w:t>,</w:t>
            </w:r>
            <w:r>
              <w:rPr>
                <w:rFonts w:hint="eastAsia" w:ascii="Arial" w:hAnsi="Arial" w:cs="Arial"/>
                <w:color w:val="000000"/>
                <w:sz w:val="24"/>
              </w:rPr>
              <w:t>691.77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90" w:type="dxa"/>
            <w:shd w:val="clear" w:color="auto" w:fill="auto"/>
            <w:vAlign w:val="bottom"/>
          </w:tcPr>
          <w:p>
            <w:pPr>
              <w:spacing w:before="100" w:beforeAutospacing="1" w:after="100" w:afterAutospacing="1"/>
              <w:rPr>
                <w:rFonts w:ascii="Arial" w:hAnsi="Arial" w:cs="Arial"/>
                <w:sz w:val="24"/>
              </w:rPr>
            </w:pPr>
            <w:r>
              <w:rPr>
                <w:rFonts w:ascii="Arial" w:hAnsi="Arial" w:cs="Arial"/>
                <w:sz w:val="24"/>
              </w:rPr>
              <w:t>结算备付金</w:t>
            </w:r>
          </w:p>
        </w:tc>
        <w:tc>
          <w:tcPr>
            <w:tcW w:w="4461" w:type="dxa"/>
            <w:shd w:val="clear" w:color="auto" w:fill="auto"/>
          </w:tcPr>
          <w:p>
            <w:pPr>
              <w:ind w:left="-80"/>
              <w:jc w:val="right"/>
              <w:rPr>
                <w:rFonts w:ascii="Arial" w:hAnsi="Arial" w:cs="Arial"/>
                <w:color w:val="000000"/>
                <w:sz w:val="24"/>
              </w:rPr>
            </w:pPr>
            <w:r>
              <w:rPr>
                <w:rFonts w:hint="eastAsia" w:ascii="Arial" w:hAnsi="Arial" w:cs="Arial"/>
                <w:color w:val="000000"/>
                <w:sz w:val="24"/>
              </w:rPr>
              <w:t>1</w:t>
            </w:r>
            <w:r>
              <w:rPr>
                <w:rFonts w:hint="eastAsia" w:ascii="Arial" w:hAnsi="Arial" w:cs="Arial"/>
                <w:color w:val="000000"/>
                <w:sz w:val="24"/>
                <w:lang w:val="en-US" w:eastAsia="zh-CN"/>
              </w:rPr>
              <w:t>,</w:t>
            </w:r>
            <w:r>
              <w:rPr>
                <w:rFonts w:hint="eastAsia" w:ascii="Arial" w:hAnsi="Arial" w:cs="Arial"/>
                <w:color w:val="000000"/>
                <w:sz w:val="24"/>
              </w:rPr>
              <w:t>075</w:t>
            </w:r>
            <w:r>
              <w:rPr>
                <w:rFonts w:hint="eastAsia" w:ascii="Arial" w:hAnsi="Arial" w:cs="Arial"/>
                <w:color w:val="000000"/>
                <w:sz w:val="24"/>
                <w:lang w:val="en-US" w:eastAsia="zh-CN"/>
              </w:rPr>
              <w:t>,</w:t>
            </w:r>
            <w:r>
              <w:rPr>
                <w:rFonts w:hint="eastAsia" w:ascii="Arial" w:hAnsi="Arial" w:cs="Arial"/>
                <w:color w:val="000000"/>
                <w:sz w:val="24"/>
              </w:rPr>
              <w:t>310.70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90" w:type="dxa"/>
            <w:shd w:val="clear" w:color="auto" w:fill="auto"/>
            <w:vAlign w:val="bottom"/>
          </w:tcPr>
          <w:p>
            <w:pPr>
              <w:spacing w:before="100" w:beforeAutospacing="1" w:after="100" w:afterAutospacing="1"/>
              <w:rPr>
                <w:rFonts w:ascii="Arial" w:hAnsi="Arial" w:cs="Arial"/>
                <w:sz w:val="24"/>
              </w:rPr>
            </w:pPr>
            <w:r>
              <w:rPr>
                <w:rFonts w:ascii="Arial" w:hAnsi="Arial" w:cs="Arial"/>
                <w:sz w:val="24"/>
              </w:rPr>
              <w:t>存出保证金</w:t>
            </w:r>
          </w:p>
        </w:tc>
        <w:tc>
          <w:tcPr>
            <w:tcW w:w="4461" w:type="dxa"/>
            <w:shd w:val="clear" w:color="auto" w:fill="auto"/>
          </w:tcPr>
          <w:p>
            <w:pPr>
              <w:ind w:left="-80"/>
              <w:jc w:val="right"/>
              <w:rPr>
                <w:rFonts w:ascii="Arial" w:hAnsi="Arial" w:cs="Arial"/>
                <w:color w:val="000000"/>
                <w:sz w:val="24"/>
              </w:rPr>
            </w:pPr>
            <w:r>
              <w:rPr>
                <w:rFonts w:hint="eastAsia" w:ascii="Arial" w:hAnsi="Arial" w:cs="Arial"/>
                <w:color w:val="000000"/>
                <w:sz w:val="24"/>
              </w:rPr>
              <w:t>14</w:t>
            </w:r>
            <w:r>
              <w:rPr>
                <w:rFonts w:hint="eastAsia" w:ascii="Arial" w:hAnsi="Arial" w:cs="Arial"/>
                <w:color w:val="000000"/>
                <w:sz w:val="24"/>
                <w:lang w:val="en-US" w:eastAsia="zh-CN"/>
              </w:rPr>
              <w:t>,</w:t>
            </w:r>
            <w:r>
              <w:rPr>
                <w:rFonts w:hint="eastAsia" w:ascii="Arial" w:hAnsi="Arial" w:cs="Arial"/>
                <w:color w:val="000000"/>
                <w:sz w:val="24"/>
              </w:rPr>
              <w:t>718.03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90" w:type="dxa"/>
            <w:shd w:val="clear" w:color="auto" w:fill="auto"/>
          </w:tcPr>
          <w:p>
            <w:pPr>
              <w:spacing w:before="100" w:beforeAutospacing="1" w:after="100" w:afterAutospacing="1"/>
              <w:rPr>
                <w:rFonts w:ascii="Arial" w:hAnsi="Arial" w:cs="Arial"/>
                <w:sz w:val="24"/>
              </w:rPr>
            </w:pPr>
            <w:r>
              <w:rPr>
                <w:rFonts w:hint="eastAsia"/>
              </w:rPr>
              <w:t>交易性金融资产</w:t>
            </w:r>
          </w:p>
        </w:tc>
        <w:tc>
          <w:tcPr>
            <w:tcW w:w="4461" w:type="dxa"/>
            <w:shd w:val="clear" w:color="auto" w:fill="auto"/>
          </w:tcPr>
          <w:p>
            <w:pPr>
              <w:ind w:left="-80"/>
              <w:jc w:val="right"/>
              <w:rPr>
                <w:rFonts w:ascii="Arial" w:hAnsi="Arial" w:cs="Arial"/>
                <w:color w:val="000000"/>
                <w:sz w:val="24"/>
              </w:rPr>
            </w:pPr>
            <w:r>
              <w:rPr>
                <w:rFonts w:hint="eastAsia" w:ascii="Arial" w:hAnsi="Arial" w:cs="Arial"/>
                <w:color w:val="000000"/>
                <w:sz w:val="24"/>
              </w:rPr>
              <w:t>1</w:t>
            </w:r>
            <w:r>
              <w:rPr>
                <w:rFonts w:hint="eastAsia" w:ascii="Arial" w:hAnsi="Arial" w:cs="Arial"/>
                <w:color w:val="000000"/>
                <w:sz w:val="24"/>
                <w:lang w:val="en-US" w:eastAsia="zh-CN"/>
              </w:rPr>
              <w:t>,</w:t>
            </w:r>
            <w:r>
              <w:rPr>
                <w:rFonts w:hint="eastAsia" w:ascii="Arial" w:hAnsi="Arial" w:cs="Arial"/>
                <w:color w:val="000000"/>
                <w:sz w:val="24"/>
              </w:rPr>
              <w:t>743</w:t>
            </w:r>
            <w:r>
              <w:rPr>
                <w:rFonts w:hint="eastAsia" w:ascii="Arial" w:hAnsi="Arial" w:cs="Arial"/>
                <w:color w:val="000000"/>
                <w:sz w:val="24"/>
                <w:lang w:val="en-US" w:eastAsia="zh-CN"/>
              </w:rPr>
              <w:t>,</w:t>
            </w:r>
            <w:r>
              <w:rPr>
                <w:rFonts w:hint="eastAsia" w:ascii="Arial" w:hAnsi="Arial" w:cs="Arial"/>
                <w:color w:val="000000"/>
                <w:sz w:val="24"/>
              </w:rPr>
              <w:t>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90" w:type="dxa"/>
            <w:shd w:val="clear" w:color="auto" w:fill="auto"/>
          </w:tcPr>
          <w:p>
            <w:pPr>
              <w:spacing w:before="100" w:beforeAutospacing="1" w:after="100" w:afterAutospacing="1"/>
              <w:rPr>
                <w:rFonts w:ascii="Arial" w:hAnsi="Arial" w:cs="Arial"/>
                <w:sz w:val="24"/>
              </w:rPr>
            </w:pPr>
            <w:r>
              <w:rPr>
                <w:rFonts w:hint="eastAsia"/>
              </w:rPr>
              <w:t>其中：</w:t>
            </w:r>
            <w:r>
              <w:rPr>
                <w:rFonts w:hint="eastAsia"/>
                <w:lang w:val="en-US" w:eastAsia="zh-CN"/>
              </w:rPr>
              <w:t>债券</w:t>
            </w:r>
            <w:r>
              <w:rPr>
                <w:rFonts w:hint="eastAsia"/>
              </w:rPr>
              <w:t>投资</w:t>
            </w:r>
          </w:p>
        </w:tc>
        <w:tc>
          <w:tcPr>
            <w:tcW w:w="4461" w:type="dxa"/>
            <w:shd w:val="clear" w:color="auto" w:fill="auto"/>
          </w:tcPr>
          <w:p>
            <w:pPr>
              <w:ind w:left="-80"/>
              <w:jc w:val="right"/>
              <w:rPr>
                <w:rFonts w:ascii="Arial" w:hAnsi="Arial" w:cs="Arial"/>
                <w:color w:val="000000"/>
                <w:sz w:val="24"/>
              </w:rPr>
            </w:pPr>
            <w:r>
              <w:rPr>
                <w:rFonts w:hint="eastAsia" w:ascii="Arial" w:hAnsi="Arial" w:cs="Arial"/>
                <w:color w:val="000000"/>
                <w:sz w:val="24"/>
              </w:rPr>
              <w:t>1</w:t>
            </w:r>
            <w:r>
              <w:rPr>
                <w:rFonts w:hint="eastAsia" w:ascii="Arial" w:hAnsi="Arial" w:cs="Arial"/>
                <w:color w:val="000000"/>
                <w:sz w:val="24"/>
                <w:lang w:val="en-US" w:eastAsia="zh-CN"/>
              </w:rPr>
              <w:t>,</w:t>
            </w:r>
            <w:r>
              <w:rPr>
                <w:rFonts w:hint="eastAsia" w:ascii="Arial" w:hAnsi="Arial" w:cs="Arial"/>
                <w:color w:val="000000"/>
                <w:sz w:val="24"/>
              </w:rPr>
              <w:t>743</w:t>
            </w:r>
            <w:r>
              <w:rPr>
                <w:rFonts w:hint="eastAsia" w:ascii="Arial" w:hAnsi="Arial" w:cs="Arial"/>
                <w:color w:val="000000"/>
                <w:sz w:val="24"/>
                <w:lang w:val="en-US" w:eastAsia="zh-CN"/>
              </w:rPr>
              <w:t>,</w:t>
            </w:r>
            <w:r>
              <w:rPr>
                <w:rFonts w:hint="eastAsia" w:ascii="Arial" w:hAnsi="Arial" w:cs="Arial"/>
                <w:color w:val="000000"/>
                <w:sz w:val="24"/>
              </w:rPr>
              <w:t>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90" w:type="dxa"/>
            <w:shd w:val="clear" w:color="auto" w:fill="auto"/>
          </w:tcPr>
          <w:p>
            <w:pPr>
              <w:spacing w:before="100" w:beforeAutospacing="1" w:after="100" w:afterAutospacing="1"/>
              <w:rPr>
                <w:rFonts w:hint="eastAsia"/>
              </w:rPr>
            </w:pPr>
            <w:r>
              <w:rPr>
                <w:rFonts w:hint="eastAsia"/>
              </w:rPr>
              <w:t>买入返售金融资产</w:t>
            </w:r>
          </w:p>
        </w:tc>
        <w:tc>
          <w:tcPr>
            <w:tcW w:w="4461" w:type="dxa"/>
            <w:shd w:val="clear" w:color="auto" w:fill="auto"/>
          </w:tcPr>
          <w:p>
            <w:pPr>
              <w:ind w:left="-80"/>
              <w:jc w:val="right"/>
              <w:rPr>
                <w:rFonts w:hint="eastAsia" w:ascii="Arial" w:hAnsi="Arial" w:cs="Arial"/>
                <w:color w:val="000000"/>
                <w:sz w:val="24"/>
              </w:rPr>
            </w:pPr>
            <w:r>
              <w:rPr>
                <w:rFonts w:hint="eastAsia" w:ascii="Arial" w:hAnsi="Arial" w:cs="Arial"/>
                <w:color w:val="000000"/>
                <w:sz w:val="24"/>
              </w:rPr>
              <w:t>13</w:t>
            </w:r>
            <w:r>
              <w:rPr>
                <w:rFonts w:hint="eastAsia" w:ascii="Arial" w:hAnsi="Arial" w:cs="Arial"/>
                <w:color w:val="000000"/>
                <w:sz w:val="24"/>
                <w:lang w:val="en-US" w:eastAsia="zh-CN"/>
              </w:rPr>
              <w:t>,</w:t>
            </w:r>
            <w:r>
              <w:rPr>
                <w:rFonts w:hint="eastAsia" w:ascii="Arial" w:hAnsi="Arial" w:cs="Arial"/>
                <w:color w:val="000000"/>
                <w:sz w:val="24"/>
              </w:rPr>
              <w:t>598</w:t>
            </w:r>
            <w:r>
              <w:rPr>
                <w:rFonts w:hint="eastAsia" w:ascii="Arial" w:hAnsi="Arial" w:cs="Arial"/>
                <w:color w:val="000000"/>
                <w:sz w:val="24"/>
                <w:lang w:val="en-US" w:eastAsia="zh-CN"/>
              </w:rPr>
              <w:t>,</w:t>
            </w:r>
            <w:r>
              <w:rPr>
                <w:rFonts w:hint="eastAsia" w:ascii="Arial" w:hAnsi="Arial" w:cs="Arial"/>
                <w:color w:val="000000"/>
                <w:sz w:val="24"/>
              </w:rPr>
              <w:t>599.97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90" w:type="dxa"/>
            <w:shd w:val="clear" w:color="auto" w:fill="auto"/>
          </w:tcPr>
          <w:p>
            <w:pPr>
              <w:spacing w:before="100" w:beforeAutospacing="1" w:after="100" w:afterAutospacing="1"/>
              <w:rPr>
                <w:rFonts w:hint="eastAsia"/>
              </w:rPr>
            </w:pPr>
            <w:r>
              <w:rPr>
                <w:rFonts w:hint="eastAsia"/>
              </w:rPr>
              <w:t>应收申购款</w:t>
            </w:r>
          </w:p>
        </w:tc>
        <w:tc>
          <w:tcPr>
            <w:tcW w:w="4461" w:type="dxa"/>
            <w:shd w:val="clear" w:color="auto" w:fill="auto"/>
          </w:tcPr>
          <w:p>
            <w:pPr>
              <w:ind w:left="-80"/>
              <w:jc w:val="right"/>
              <w:rPr>
                <w:rFonts w:hint="eastAsia" w:ascii="Arial" w:hAnsi="Arial" w:cs="Arial"/>
                <w:color w:val="000000"/>
                <w:sz w:val="24"/>
              </w:rPr>
            </w:pPr>
            <w:r>
              <w:rPr>
                <w:rFonts w:hint="eastAsia" w:ascii="Arial" w:hAnsi="Arial" w:cs="Arial"/>
                <w:color w:val="000000"/>
                <w:sz w:val="24"/>
              </w:rPr>
              <w:t>29.98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90" w:type="dxa"/>
            <w:shd w:val="clear" w:color="auto" w:fill="auto"/>
          </w:tcPr>
          <w:p>
            <w:pPr>
              <w:spacing w:before="100" w:beforeAutospacing="1" w:after="100" w:afterAutospacing="1"/>
              <w:rPr>
                <w:rFonts w:hint="default" w:eastAsia="宋体"/>
                <w:lang w:val="en-US" w:eastAsia="zh-CN"/>
              </w:rPr>
            </w:pPr>
            <w:r>
              <w:rPr>
                <w:rFonts w:hint="eastAsia"/>
                <w:lang w:val="en-US" w:eastAsia="zh-CN"/>
              </w:rPr>
              <w:t>应收清算款</w:t>
            </w:r>
          </w:p>
        </w:tc>
        <w:tc>
          <w:tcPr>
            <w:tcW w:w="4461" w:type="dxa"/>
            <w:shd w:val="clear" w:color="auto" w:fill="auto"/>
          </w:tcPr>
          <w:p>
            <w:pPr>
              <w:ind w:left="-80"/>
              <w:jc w:val="right"/>
              <w:rPr>
                <w:rFonts w:hint="eastAsia" w:ascii="Arial" w:hAnsi="Arial" w:cs="Arial"/>
                <w:color w:val="000000"/>
                <w:sz w:val="24"/>
              </w:rPr>
            </w:pPr>
            <w:r>
              <w:rPr>
                <w:rFonts w:hint="eastAsia" w:ascii="Arial" w:hAnsi="Arial" w:cs="Arial"/>
                <w:color w:val="000000"/>
                <w:sz w:val="24"/>
              </w:rPr>
              <w:t>418</w:t>
            </w:r>
            <w:r>
              <w:rPr>
                <w:rFonts w:hint="eastAsia" w:ascii="Arial" w:hAnsi="Arial" w:cs="Arial"/>
                <w:color w:val="000000"/>
                <w:sz w:val="24"/>
                <w:lang w:val="en-US" w:eastAsia="zh-CN"/>
              </w:rPr>
              <w:t>,</w:t>
            </w:r>
            <w:r>
              <w:rPr>
                <w:rFonts w:hint="eastAsia" w:ascii="Arial" w:hAnsi="Arial" w:cs="Arial"/>
                <w:color w:val="000000"/>
                <w:sz w:val="24"/>
              </w:rPr>
              <w:t>072.56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90" w:type="dxa"/>
            <w:shd w:val="clear" w:color="auto" w:fill="auto"/>
            <w:vAlign w:val="bottom"/>
          </w:tcPr>
          <w:p>
            <w:pPr>
              <w:spacing w:before="100" w:beforeAutospacing="1" w:after="100" w:afterAutospacing="1"/>
              <w:rPr>
                <w:rFonts w:ascii="Arial" w:hAnsi="Arial" w:cs="Arial"/>
                <w:b/>
                <w:bCs/>
                <w:sz w:val="24"/>
              </w:rPr>
            </w:pPr>
            <w:r>
              <w:rPr>
                <w:rFonts w:ascii="Arial" w:hAnsi="Arial" w:cs="Arial"/>
                <w:b/>
                <w:bCs/>
                <w:sz w:val="24"/>
              </w:rPr>
              <w:t>资产总计</w:t>
            </w:r>
          </w:p>
        </w:tc>
        <w:tc>
          <w:tcPr>
            <w:tcW w:w="4461" w:type="dxa"/>
            <w:shd w:val="clear" w:color="auto" w:fill="auto"/>
            <w:vAlign w:val="bottom"/>
          </w:tcPr>
          <w:p>
            <w:pPr>
              <w:ind w:left="-72"/>
              <w:jc w:val="right"/>
              <w:rPr>
                <w:rFonts w:ascii="Arial" w:hAnsi="Arial" w:cs="Arial"/>
                <w:b/>
                <w:bCs/>
                <w:color w:val="000000"/>
                <w:sz w:val="24"/>
              </w:rPr>
            </w:pPr>
            <w:r>
              <w:rPr>
                <w:rFonts w:hint="eastAsia" w:ascii="Arial" w:hAnsi="Arial" w:cs="Arial"/>
                <w:b/>
                <w:bCs/>
                <w:color w:val="000000"/>
                <w:sz w:val="24"/>
              </w:rPr>
              <w:t>34,891,943.01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90" w:type="dxa"/>
            <w:shd w:val="clear" w:color="auto" w:fill="auto"/>
            <w:vAlign w:val="bottom"/>
          </w:tcPr>
          <w:p>
            <w:pPr>
              <w:spacing w:before="100" w:beforeAutospacing="1" w:after="100" w:afterAutospacing="1"/>
              <w:rPr>
                <w:rFonts w:ascii="Arial" w:hAnsi="Arial" w:cs="Arial"/>
                <w:b/>
                <w:bCs/>
                <w:sz w:val="24"/>
              </w:rPr>
            </w:pPr>
            <w:r>
              <w:rPr>
                <w:rFonts w:ascii="Arial" w:hAnsi="Arial" w:cs="Arial"/>
                <w:b/>
                <w:bCs/>
                <w:sz w:val="24"/>
              </w:rPr>
              <w:t>负债：</w:t>
            </w:r>
          </w:p>
        </w:tc>
        <w:tc>
          <w:tcPr>
            <w:tcW w:w="4461" w:type="dxa"/>
            <w:shd w:val="clear" w:color="auto" w:fill="auto"/>
            <w:vAlign w:val="bottom"/>
          </w:tcPr>
          <w:p>
            <w:pPr>
              <w:tabs>
                <w:tab w:val="decimal" w:pos="1629"/>
              </w:tabs>
              <w:spacing w:before="100" w:beforeAutospacing="1" w:after="100" w:afterAutospacing="1"/>
              <w:ind w:left="-80"/>
              <w:jc w:val="right"/>
              <w:rPr>
                <w:rFonts w:ascii="Arial" w:hAnsi="Arial" w:cs="Arial"/>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90" w:type="dxa"/>
            <w:shd w:val="clear" w:color="auto" w:fill="auto"/>
          </w:tcPr>
          <w:p>
            <w:pPr>
              <w:spacing w:before="100" w:beforeAutospacing="1" w:after="100" w:afterAutospacing="1"/>
              <w:rPr>
                <w:rFonts w:ascii="Arial" w:hAnsi="Arial" w:cs="Arial"/>
                <w:sz w:val="24"/>
              </w:rPr>
            </w:pPr>
            <w:r>
              <w:rPr>
                <w:rFonts w:hint="eastAsia"/>
              </w:rPr>
              <w:t>应付赎回款</w:t>
            </w:r>
          </w:p>
        </w:tc>
        <w:tc>
          <w:tcPr>
            <w:tcW w:w="4461" w:type="dxa"/>
            <w:shd w:val="clear" w:color="auto" w:fill="auto"/>
          </w:tcPr>
          <w:p>
            <w:pPr>
              <w:ind w:left="-80"/>
              <w:jc w:val="right"/>
              <w:rPr>
                <w:rFonts w:ascii="Arial" w:hAnsi="Arial" w:cs="Arial"/>
                <w:color w:val="000000"/>
                <w:sz w:val="24"/>
              </w:rPr>
            </w:pPr>
            <w:r>
              <w:rPr>
                <w:rFonts w:hint="eastAsia" w:ascii="Arial" w:hAnsi="Arial" w:cs="Arial"/>
                <w:color w:val="000000"/>
                <w:sz w:val="24"/>
              </w:rPr>
              <w:t>2</w:t>
            </w:r>
            <w:r>
              <w:rPr>
                <w:rFonts w:hint="eastAsia" w:ascii="Arial" w:hAnsi="Arial" w:cs="Arial"/>
                <w:color w:val="000000"/>
                <w:sz w:val="24"/>
                <w:lang w:val="en-US" w:eastAsia="zh-CN"/>
              </w:rPr>
              <w:t>,</w:t>
            </w:r>
            <w:r>
              <w:rPr>
                <w:rFonts w:hint="eastAsia" w:ascii="Arial" w:hAnsi="Arial" w:cs="Arial"/>
                <w:color w:val="000000"/>
                <w:sz w:val="24"/>
              </w:rPr>
              <w:t>635</w:t>
            </w:r>
            <w:r>
              <w:rPr>
                <w:rFonts w:hint="eastAsia" w:ascii="Arial" w:hAnsi="Arial" w:cs="Arial"/>
                <w:color w:val="000000"/>
                <w:sz w:val="24"/>
                <w:lang w:val="en-US" w:eastAsia="zh-CN"/>
              </w:rPr>
              <w:t>,</w:t>
            </w:r>
            <w:r>
              <w:rPr>
                <w:rFonts w:hint="eastAsia" w:ascii="Arial" w:hAnsi="Arial" w:cs="Arial"/>
                <w:color w:val="000000"/>
                <w:sz w:val="24"/>
              </w:rPr>
              <w:t>496.88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90" w:type="dxa"/>
            <w:shd w:val="clear" w:color="auto" w:fill="auto"/>
          </w:tcPr>
          <w:p>
            <w:pPr>
              <w:spacing w:before="100" w:beforeAutospacing="1" w:after="100" w:afterAutospacing="1"/>
              <w:rPr>
                <w:rFonts w:ascii="Arial" w:hAnsi="Arial" w:cs="Arial"/>
                <w:sz w:val="24"/>
              </w:rPr>
            </w:pPr>
            <w:r>
              <w:rPr>
                <w:rFonts w:hint="eastAsia"/>
              </w:rPr>
              <w:t>应付管理人报酬</w:t>
            </w:r>
          </w:p>
        </w:tc>
        <w:tc>
          <w:tcPr>
            <w:tcW w:w="4461" w:type="dxa"/>
            <w:shd w:val="clear" w:color="auto" w:fill="auto"/>
          </w:tcPr>
          <w:p>
            <w:pPr>
              <w:ind w:left="-80"/>
              <w:jc w:val="right"/>
              <w:rPr>
                <w:rFonts w:ascii="Arial" w:hAnsi="Arial" w:cs="Arial"/>
                <w:color w:val="000000"/>
                <w:sz w:val="24"/>
              </w:rPr>
            </w:pPr>
            <w:r>
              <w:rPr>
                <w:rFonts w:hint="eastAsia" w:ascii="Arial" w:hAnsi="Arial" w:cs="Arial"/>
                <w:color w:val="000000"/>
                <w:sz w:val="24"/>
              </w:rPr>
              <w:t>17</w:t>
            </w:r>
            <w:r>
              <w:rPr>
                <w:rFonts w:hint="eastAsia" w:ascii="Arial" w:hAnsi="Arial" w:cs="Arial"/>
                <w:color w:val="000000"/>
                <w:sz w:val="24"/>
                <w:lang w:val="en-US" w:eastAsia="zh-CN"/>
              </w:rPr>
              <w:t>,</w:t>
            </w:r>
            <w:r>
              <w:rPr>
                <w:rFonts w:hint="eastAsia" w:ascii="Arial" w:hAnsi="Arial" w:cs="Arial"/>
                <w:color w:val="000000"/>
                <w:sz w:val="24"/>
              </w:rPr>
              <w:t>235.86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90" w:type="dxa"/>
            <w:shd w:val="clear" w:color="auto" w:fill="auto"/>
          </w:tcPr>
          <w:p>
            <w:pPr>
              <w:spacing w:before="100" w:beforeAutospacing="1" w:after="100" w:afterAutospacing="1"/>
              <w:rPr>
                <w:rFonts w:ascii="Arial" w:hAnsi="Arial" w:cs="Arial"/>
                <w:sz w:val="24"/>
              </w:rPr>
            </w:pPr>
            <w:r>
              <w:rPr>
                <w:rFonts w:hint="eastAsia"/>
              </w:rPr>
              <w:t>应付托管费</w:t>
            </w:r>
          </w:p>
        </w:tc>
        <w:tc>
          <w:tcPr>
            <w:tcW w:w="4461" w:type="dxa"/>
            <w:shd w:val="clear" w:color="auto" w:fill="auto"/>
          </w:tcPr>
          <w:p>
            <w:pPr>
              <w:ind w:left="-80"/>
              <w:jc w:val="right"/>
              <w:rPr>
                <w:rFonts w:ascii="Arial" w:hAnsi="Arial" w:cs="Arial"/>
                <w:color w:val="000000"/>
                <w:sz w:val="24"/>
              </w:rPr>
            </w:pPr>
            <w:r>
              <w:rPr>
                <w:rFonts w:hint="eastAsia" w:ascii="Arial" w:hAnsi="Arial" w:cs="Arial"/>
                <w:color w:val="000000"/>
                <w:sz w:val="24"/>
              </w:rPr>
              <w:t>4</w:t>
            </w:r>
            <w:r>
              <w:rPr>
                <w:rFonts w:hint="eastAsia" w:ascii="Arial" w:hAnsi="Arial" w:cs="Arial"/>
                <w:color w:val="000000"/>
                <w:sz w:val="24"/>
                <w:lang w:val="en-US" w:eastAsia="zh-CN"/>
              </w:rPr>
              <w:t>,</w:t>
            </w:r>
            <w:r>
              <w:rPr>
                <w:rFonts w:hint="eastAsia" w:ascii="Arial" w:hAnsi="Arial" w:cs="Arial"/>
                <w:color w:val="000000"/>
                <w:sz w:val="24"/>
              </w:rPr>
              <w:t>308.95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90" w:type="dxa"/>
            <w:shd w:val="clear" w:color="auto" w:fill="auto"/>
          </w:tcPr>
          <w:p>
            <w:pPr>
              <w:spacing w:before="100" w:beforeAutospacing="1" w:after="100" w:afterAutospacing="1"/>
              <w:rPr>
                <w:rFonts w:hint="eastAsia"/>
              </w:rPr>
            </w:pPr>
            <w:r>
              <w:rPr>
                <w:rFonts w:hint="eastAsia"/>
              </w:rPr>
              <w:t>应付销售服务费</w:t>
            </w:r>
          </w:p>
        </w:tc>
        <w:tc>
          <w:tcPr>
            <w:tcW w:w="4461" w:type="dxa"/>
            <w:shd w:val="clear" w:color="auto" w:fill="auto"/>
          </w:tcPr>
          <w:p>
            <w:pPr>
              <w:ind w:left="-80"/>
              <w:jc w:val="right"/>
              <w:rPr>
                <w:rFonts w:hint="eastAsia" w:ascii="Arial" w:hAnsi="Arial" w:cs="Arial"/>
                <w:color w:val="000000"/>
                <w:sz w:val="24"/>
              </w:rPr>
            </w:pPr>
            <w:r>
              <w:rPr>
                <w:rFonts w:hint="eastAsia" w:ascii="Arial" w:hAnsi="Arial" w:cs="Arial"/>
                <w:color w:val="000000"/>
                <w:sz w:val="24"/>
              </w:rPr>
              <w:t>1</w:t>
            </w:r>
            <w:r>
              <w:rPr>
                <w:rFonts w:hint="eastAsia" w:ascii="Arial" w:hAnsi="Arial" w:cs="Arial"/>
                <w:color w:val="000000"/>
                <w:sz w:val="24"/>
                <w:lang w:val="en-US" w:eastAsia="zh-CN"/>
              </w:rPr>
              <w:t>,</w:t>
            </w:r>
            <w:r>
              <w:rPr>
                <w:rFonts w:hint="eastAsia" w:ascii="Arial" w:hAnsi="Arial" w:cs="Arial"/>
                <w:color w:val="000000"/>
                <w:sz w:val="24"/>
              </w:rPr>
              <w:t>111.40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90" w:type="dxa"/>
            <w:shd w:val="clear" w:color="auto" w:fill="auto"/>
          </w:tcPr>
          <w:p>
            <w:pPr>
              <w:spacing w:before="100" w:beforeAutospacing="1" w:after="100" w:afterAutospacing="1"/>
              <w:rPr>
                <w:rFonts w:hint="eastAsia"/>
              </w:rPr>
            </w:pPr>
            <w:r>
              <w:rPr>
                <w:rFonts w:hint="eastAsia"/>
              </w:rPr>
              <w:t>应交税费</w:t>
            </w:r>
          </w:p>
        </w:tc>
        <w:tc>
          <w:tcPr>
            <w:tcW w:w="4461" w:type="dxa"/>
            <w:shd w:val="clear" w:color="auto" w:fill="auto"/>
          </w:tcPr>
          <w:p>
            <w:pPr>
              <w:ind w:left="-80"/>
              <w:jc w:val="right"/>
              <w:rPr>
                <w:rFonts w:hint="eastAsia" w:ascii="Arial" w:hAnsi="Arial" w:cs="Arial"/>
                <w:color w:val="000000"/>
                <w:sz w:val="24"/>
              </w:rPr>
            </w:pPr>
            <w:r>
              <w:rPr>
                <w:rFonts w:hint="eastAsia" w:ascii="Arial" w:hAnsi="Arial" w:cs="Arial"/>
                <w:color w:val="000000"/>
                <w:sz w:val="24"/>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90" w:type="dxa"/>
            <w:shd w:val="clear" w:color="auto" w:fill="auto"/>
            <w:vAlign w:val="bottom"/>
          </w:tcPr>
          <w:p>
            <w:pPr>
              <w:spacing w:before="100" w:beforeAutospacing="1" w:after="100" w:afterAutospacing="1"/>
              <w:rPr>
                <w:rFonts w:ascii="Arial" w:hAnsi="Arial" w:cs="Arial"/>
                <w:sz w:val="24"/>
              </w:rPr>
            </w:pPr>
            <w:r>
              <w:rPr>
                <w:rFonts w:hint="eastAsia" w:ascii="Arial" w:hAnsi="Arial" w:cs="Arial"/>
                <w:color w:val="000000"/>
                <w:sz w:val="24"/>
                <w:szCs w:val="24"/>
              </w:rPr>
              <w:t>其他负</w:t>
            </w:r>
            <w:r>
              <w:rPr>
                <w:rFonts w:hint="eastAsia" w:cs="宋体"/>
                <w:color w:val="000000"/>
                <w:sz w:val="24"/>
                <w:szCs w:val="24"/>
              </w:rPr>
              <w:t>债</w:t>
            </w:r>
          </w:p>
        </w:tc>
        <w:tc>
          <w:tcPr>
            <w:tcW w:w="4461" w:type="dxa"/>
            <w:shd w:val="clear" w:color="auto" w:fill="auto"/>
            <w:vAlign w:val="center"/>
          </w:tcPr>
          <w:p>
            <w:pPr>
              <w:pStyle w:val="36"/>
              <w:jc w:val="right"/>
              <w:rPr>
                <w:rFonts w:ascii="Arial" w:hAnsi="Arial" w:cs="Arial"/>
                <w:color w:val="000000"/>
                <w:sz w:val="24"/>
              </w:rPr>
            </w:pPr>
            <w:r>
              <w:rPr>
                <w:rFonts w:ascii="Arial" w:hAnsi="Arial" w:cs="Arial"/>
                <w:color w:val="000000"/>
                <w:sz w:val="24"/>
                <w:szCs w:val="24"/>
              </w:rPr>
              <w:t>90,627.07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90" w:type="dxa"/>
            <w:shd w:val="clear" w:color="auto" w:fill="auto"/>
            <w:vAlign w:val="bottom"/>
          </w:tcPr>
          <w:p>
            <w:pPr>
              <w:spacing w:before="100" w:beforeAutospacing="1" w:after="100" w:afterAutospacing="1"/>
              <w:rPr>
                <w:rFonts w:ascii="Arial" w:hAnsi="Arial" w:cs="Arial"/>
                <w:b/>
                <w:bCs/>
                <w:sz w:val="24"/>
              </w:rPr>
            </w:pPr>
            <w:r>
              <w:rPr>
                <w:rFonts w:ascii="Arial" w:hAnsi="Arial" w:cs="Arial"/>
                <w:b/>
                <w:bCs/>
                <w:sz w:val="24"/>
              </w:rPr>
              <w:t>负债合计</w:t>
            </w:r>
          </w:p>
        </w:tc>
        <w:tc>
          <w:tcPr>
            <w:tcW w:w="4461" w:type="dxa"/>
            <w:shd w:val="clear" w:color="auto" w:fill="auto"/>
            <w:vAlign w:val="bottom"/>
          </w:tcPr>
          <w:p>
            <w:pPr>
              <w:ind w:left="-80"/>
              <w:jc w:val="right"/>
              <w:rPr>
                <w:rFonts w:ascii="Arial" w:hAnsi="Arial" w:cs="Arial"/>
                <w:b/>
                <w:bCs/>
                <w:color w:val="000000"/>
                <w:sz w:val="24"/>
              </w:rPr>
            </w:pPr>
            <w:r>
              <w:rPr>
                <w:rFonts w:hint="eastAsia" w:ascii="Arial" w:hAnsi="Arial" w:cs="Arial"/>
                <w:b/>
                <w:bCs/>
                <w:color w:val="000000"/>
                <w:sz w:val="24"/>
              </w:rPr>
              <w:t>2,748,780.22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90" w:type="dxa"/>
            <w:shd w:val="clear" w:color="auto" w:fill="auto"/>
            <w:vAlign w:val="bottom"/>
          </w:tcPr>
          <w:p>
            <w:pPr>
              <w:spacing w:before="100" w:beforeAutospacing="1" w:after="100" w:afterAutospacing="1"/>
              <w:rPr>
                <w:rFonts w:ascii="Arial" w:hAnsi="Arial" w:cs="Arial"/>
                <w:b/>
                <w:bCs/>
                <w:sz w:val="24"/>
              </w:rPr>
            </w:pPr>
            <w:r>
              <w:rPr>
                <w:rFonts w:ascii="Arial" w:hAnsi="Arial" w:cs="Arial"/>
                <w:b/>
                <w:bCs/>
                <w:sz w:val="24"/>
              </w:rPr>
              <w:t>所有者权益：</w:t>
            </w:r>
          </w:p>
        </w:tc>
        <w:tc>
          <w:tcPr>
            <w:tcW w:w="4461" w:type="dxa"/>
            <w:shd w:val="clear" w:color="auto" w:fill="auto"/>
            <w:vAlign w:val="bottom"/>
          </w:tcPr>
          <w:p>
            <w:pPr>
              <w:ind w:left="-80"/>
              <w:jc w:val="right"/>
              <w:rPr>
                <w:rFonts w:ascii="Arial" w:hAnsi="Arial" w:cs="Arial"/>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90" w:type="dxa"/>
            <w:shd w:val="clear" w:color="auto" w:fill="auto"/>
            <w:vAlign w:val="bottom"/>
          </w:tcPr>
          <w:p>
            <w:pPr>
              <w:spacing w:before="100" w:beforeAutospacing="1" w:after="100" w:afterAutospacing="1"/>
              <w:rPr>
                <w:rFonts w:ascii="Arial" w:hAnsi="Arial" w:cs="Arial"/>
                <w:b/>
                <w:bCs/>
                <w:sz w:val="24"/>
              </w:rPr>
            </w:pPr>
            <w:r>
              <w:rPr>
                <w:rFonts w:ascii="Arial" w:hAnsi="Arial" w:cs="Arial"/>
                <w:sz w:val="24"/>
              </w:rPr>
              <w:t>实收基金</w:t>
            </w:r>
          </w:p>
        </w:tc>
        <w:tc>
          <w:tcPr>
            <w:tcW w:w="4461" w:type="dxa"/>
            <w:shd w:val="clear" w:color="auto" w:fill="auto"/>
            <w:vAlign w:val="bottom"/>
          </w:tcPr>
          <w:p>
            <w:pPr>
              <w:ind w:left="-80"/>
              <w:jc w:val="right"/>
              <w:rPr>
                <w:rFonts w:ascii="Arial" w:hAnsi="Arial" w:cs="Arial"/>
                <w:color w:val="000000"/>
                <w:sz w:val="24"/>
              </w:rPr>
            </w:pPr>
            <w:r>
              <w:rPr>
                <w:rFonts w:hint="eastAsia" w:ascii="Arial" w:hAnsi="Arial" w:cs="Arial"/>
                <w:color w:val="000000"/>
                <w:sz w:val="24"/>
              </w:rPr>
              <w:t>30,612,080.57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90" w:type="dxa"/>
            <w:shd w:val="clear" w:color="auto" w:fill="auto"/>
            <w:vAlign w:val="bottom"/>
          </w:tcPr>
          <w:p>
            <w:pPr>
              <w:spacing w:before="100" w:beforeAutospacing="1" w:after="100" w:afterAutospacing="1"/>
              <w:rPr>
                <w:rFonts w:ascii="Arial" w:hAnsi="Arial" w:cs="Arial"/>
                <w:b/>
                <w:bCs/>
                <w:sz w:val="24"/>
              </w:rPr>
            </w:pPr>
            <w:r>
              <w:rPr>
                <w:rFonts w:ascii="Arial" w:hAnsi="Arial" w:cs="Arial"/>
                <w:sz w:val="24"/>
              </w:rPr>
              <w:t>未分配利润</w:t>
            </w:r>
          </w:p>
        </w:tc>
        <w:tc>
          <w:tcPr>
            <w:tcW w:w="4461" w:type="dxa"/>
            <w:shd w:val="clear" w:color="auto" w:fill="auto"/>
            <w:vAlign w:val="bottom"/>
          </w:tcPr>
          <w:p>
            <w:pPr>
              <w:ind w:left="-80"/>
              <w:jc w:val="right"/>
              <w:rPr>
                <w:rFonts w:ascii="Arial" w:hAnsi="Arial" w:cs="Arial"/>
                <w:color w:val="000000"/>
                <w:sz w:val="24"/>
              </w:rPr>
            </w:pPr>
            <w:r>
              <w:rPr>
                <w:rFonts w:hint="eastAsia" w:ascii="Arial" w:hAnsi="Arial" w:cs="Arial"/>
                <w:color w:val="000000"/>
                <w:sz w:val="24"/>
              </w:rPr>
              <w:t>1,531,082.22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90" w:type="dxa"/>
            <w:shd w:val="clear" w:color="auto" w:fill="auto"/>
            <w:vAlign w:val="bottom"/>
          </w:tcPr>
          <w:p>
            <w:pPr>
              <w:spacing w:before="100" w:beforeAutospacing="1" w:after="100" w:afterAutospacing="1"/>
              <w:rPr>
                <w:rFonts w:ascii="Arial" w:hAnsi="Arial" w:cs="Arial"/>
                <w:b/>
                <w:bCs/>
                <w:sz w:val="24"/>
              </w:rPr>
            </w:pPr>
            <w:r>
              <w:rPr>
                <w:rFonts w:ascii="Arial" w:hAnsi="Arial" w:cs="Arial"/>
                <w:b/>
                <w:bCs/>
                <w:sz w:val="24"/>
              </w:rPr>
              <w:t>所有者权益合计</w:t>
            </w:r>
          </w:p>
        </w:tc>
        <w:tc>
          <w:tcPr>
            <w:tcW w:w="4461" w:type="dxa"/>
            <w:shd w:val="clear" w:color="auto" w:fill="auto"/>
            <w:vAlign w:val="bottom"/>
          </w:tcPr>
          <w:p>
            <w:pPr>
              <w:ind w:left="-80"/>
              <w:jc w:val="right"/>
              <w:rPr>
                <w:rFonts w:ascii="Arial" w:hAnsi="Arial" w:cs="Arial"/>
                <w:b/>
                <w:bCs/>
                <w:color w:val="000000"/>
                <w:sz w:val="24"/>
              </w:rPr>
            </w:pPr>
            <w:r>
              <w:rPr>
                <w:rFonts w:hint="eastAsia" w:ascii="Arial" w:hAnsi="Arial" w:cs="Arial"/>
                <w:b/>
                <w:bCs/>
                <w:color w:val="000000"/>
                <w:sz w:val="24"/>
              </w:rPr>
              <w:t>32,143,162.79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90" w:type="dxa"/>
            <w:shd w:val="clear" w:color="auto" w:fill="auto"/>
            <w:vAlign w:val="bottom"/>
          </w:tcPr>
          <w:p>
            <w:pPr>
              <w:spacing w:before="100" w:beforeAutospacing="1" w:after="100" w:afterAutospacing="1"/>
              <w:rPr>
                <w:rFonts w:ascii="Arial" w:hAnsi="Arial" w:cs="Arial"/>
                <w:b/>
                <w:bCs/>
                <w:sz w:val="24"/>
              </w:rPr>
            </w:pPr>
            <w:r>
              <w:rPr>
                <w:rFonts w:ascii="Arial" w:hAnsi="Arial" w:cs="Arial"/>
                <w:b/>
                <w:bCs/>
                <w:sz w:val="24"/>
              </w:rPr>
              <w:t>负债和所有者权益总计</w:t>
            </w:r>
          </w:p>
        </w:tc>
        <w:tc>
          <w:tcPr>
            <w:tcW w:w="4461" w:type="dxa"/>
            <w:shd w:val="clear" w:color="auto" w:fill="auto"/>
            <w:vAlign w:val="bottom"/>
          </w:tcPr>
          <w:p>
            <w:pPr>
              <w:ind w:left="-80"/>
              <w:jc w:val="right"/>
              <w:rPr>
                <w:rFonts w:ascii="Arial" w:hAnsi="Arial" w:cs="Arial"/>
                <w:b/>
                <w:bCs/>
                <w:color w:val="000000"/>
                <w:sz w:val="24"/>
              </w:rPr>
            </w:pPr>
            <w:r>
              <w:rPr>
                <w:rFonts w:hint="eastAsia" w:ascii="Arial" w:hAnsi="Arial" w:cs="Arial"/>
                <w:b/>
                <w:bCs/>
                <w:color w:val="000000"/>
                <w:sz w:val="24"/>
              </w:rPr>
              <w:t>34,891,943.01</w:t>
            </w:r>
          </w:p>
        </w:tc>
      </w:tr>
    </w:tbl>
    <w:p>
      <w:pPr>
        <w:spacing w:line="0" w:lineRule="atLeast"/>
        <w:rPr>
          <w:rFonts w:hint="eastAsia" w:ascii="Arial" w:hAnsi="Arial" w:cs="Arial"/>
          <w:color w:val="000000"/>
          <w:sz w:val="24"/>
          <w:szCs w:val="24"/>
          <w:lang w:eastAsia="zh-CN"/>
        </w:rPr>
      </w:pPr>
      <w:r>
        <w:rPr>
          <w:rFonts w:hint="eastAsia" w:ascii="Arial" w:hAnsi="Arial" w:cs="Arial"/>
          <w:color w:val="000000"/>
          <w:sz w:val="24"/>
          <w:szCs w:val="24"/>
          <w:lang w:eastAsia="zh-CN"/>
        </w:rPr>
        <w:t>注：报告截止日202</w:t>
      </w:r>
      <w:r>
        <w:rPr>
          <w:rFonts w:hint="eastAsia" w:ascii="Arial" w:hAnsi="Arial" w:cs="Arial"/>
          <w:color w:val="000000"/>
          <w:sz w:val="24"/>
          <w:szCs w:val="24"/>
          <w:lang w:val="en-US" w:eastAsia="zh-CN"/>
        </w:rPr>
        <w:t>3</w:t>
      </w:r>
      <w:r>
        <w:rPr>
          <w:rFonts w:hint="eastAsia" w:ascii="Arial" w:hAnsi="Arial" w:cs="Arial"/>
          <w:color w:val="000000"/>
          <w:sz w:val="24"/>
          <w:szCs w:val="24"/>
          <w:lang w:eastAsia="zh-CN"/>
        </w:rPr>
        <w:t>年5月1</w:t>
      </w:r>
      <w:r>
        <w:rPr>
          <w:rFonts w:hint="eastAsia" w:ascii="Arial" w:hAnsi="Arial" w:cs="Arial"/>
          <w:color w:val="000000"/>
          <w:sz w:val="24"/>
          <w:szCs w:val="24"/>
          <w:lang w:val="en-US" w:eastAsia="zh-CN"/>
        </w:rPr>
        <w:t>9</w:t>
      </w:r>
      <w:r>
        <w:rPr>
          <w:rFonts w:hint="eastAsia" w:ascii="Arial" w:hAnsi="Arial" w:cs="Arial"/>
          <w:color w:val="000000"/>
          <w:sz w:val="24"/>
          <w:szCs w:val="24"/>
          <w:lang w:eastAsia="zh-CN"/>
        </w:rPr>
        <w:t>日(基金最后运作日)，基金份额总额30,612,080.57份，其中A类基金份额净值1.0517元，基金份额26,058,194.86份；C类基金份额净值1.0405元，基金份额4,553,885.71份。202</w:t>
      </w:r>
      <w:r>
        <w:rPr>
          <w:rFonts w:hint="eastAsia" w:ascii="Arial" w:hAnsi="Arial" w:cs="Arial"/>
          <w:color w:val="000000"/>
          <w:sz w:val="24"/>
          <w:szCs w:val="24"/>
          <w:lang w:val="en-US" w:eastAsia="zh-CN"/>
        </w:rPr>
        <w:t>3</w:t>
      </w:r>
      <w:r>
        <w:rPr>
          <w:rFonts w:hint="eastAsia" w:ascii="Arial" w:hAnsi="Arial" w:cs="Arial"/>
          <w:color w:val="000000"/>
          <w:sz w:val="24"/>
          <w:szCs w:val="24"/>
          <w:lang w:eastAsia="zh-CN"/>
        </w:rPr>
        <w:t>年5月1</w:t>
      </w:r>
      <w:r>
        <w:rPr>
          <w:rFonts w:hint="eastAsia" w:ascii="Arial" w:hAnsi="Arial" w:cs="Arial"/>
          <w:color w:val="000000"/>
          <w:sz w:val="24"/>
          <w:szCs w:val="24"/>
          <w:lang w:val="en-US" w:eastAsia="zh-CN"/>
        </w:rPr>
        <w:t>9</w:t>
      </w:r>
      <w:r>
        <w:rPr>
          <w:rFonts w:hint="eastAsia" w:ascii="Arial" w:hAnsi="Arial" w:cs="Arial"/>
          <w:color w:val="000000"/>
          <w:sz w:val="24"/>
          <w:szCs w:val="24"/>
          <w:lang w:eastAsia="zh-CN"/>
        </w:rPr>
        <w:t>日，发生赎回共计325,072.26份，转出共计</w:t>
      </w:r>
      <w:r>
        <w:rPr>
          <w:rFonts w:hint="eastAsia" w:ascii="Arial" w:hAnsi="Arial" w:cs="Arial"/>
          <w:color w:val="000000"/>
          <w:sz w:val="24"/>
          <w:szCs w:val="24"/>
          <w:lang w:val="en-US" w:eastAsia="zh-CN"/>
        </w:rPr>
        <w:t>964,632.45</w:t>
      </w:r>
      <w:r>
        <w:rPr>
          <w:rFonts w:hint="eastAsia" w:ascii="Arial" w:hAnsi="Arial" w:cs="Arial"/>
          <w:color w:val="000000"/>
          <w:sz w:val="24"/>
          <w:szCs w:val="24"/>
          <w:lang w:eastAsia="zh-CN"/>
        </w:rPr>
        <w:t>份，</w:t>
      </w:r>
      <w:r>
        <w:rPr>
          <w:rFonts w:hint="eastAsia" w:ascii="Arial" w:hAnsi="Arial" w:cs="Arial"/>
          <w:color w:val="000000"/>
          <w:sz w:val="24"/>
          <w:szCs w:val="24"/>
          <w:lang w:val="en-US" w:eastAsia="zh-CN"/>
        </w:rPr>
        <w:t>申购28.51份</w:t>
      </w:r>
      <w:r>
        <w:rPr>
          <w:rFonts w:hint="eastAsia" w:ascii="Arial" w:hAnsi="Arial" w:cs="Arial"/>
          <w:color w:val="000000"/>
          <w:sz w:val="24"/>
          <w:szCs w:val="24"/>
          <w:lang w:eastAsia="zh-CN"/>
        </w:rPr>
        <w:t>于202</w:t>
      </w:r>
      <w:r>
        <w:rPr>
          <w:rFonts w:hint="eastAsia" w:ascii="Arial" w:hAnsi="Arial" w:cs="Arial"/>
          <w:color w:val="000000"/>
          <w:sz w:val="24"/>
          <w:szCs w:val="24"/>
          <w:lang w:val="en-US" w:eastAsia="zh-CN"/>
        </w:rPr>
        <w:t>3</w:t>
      </w:r>
      <w:r>
        <w:rPr>
          <w:rFonts w:hint="eastAsia" w:ascii="Arial" w:hAnsi="Arial" w:cs="Arial"/>
          <w:color w:val="000000"/>
          <w:sz w:val="24"/>
          <w:szCs w:val="24"/>
          <w:lang w:eastAsia="zh-CN"/>
        </w:rPr>
        <w:t>年5月</w:t>
      </w:r>
      <w:r>
        <w:rPr>
          <w:rFonts w:hint="eastAsia" w:ascii="Arial" w:hAnsi="Arial" w:cs="Arial"/>
          <w:color w:val="000000"/>
          <w:sz w:val="24"/>
          <w:szCs w:val="24"/>
          <w:lang w:val="en-US" w:eastAsia="zh-CN"/>
        </w:rPr>
        <w:t>22</w:t>
      </w:r>
      <w:r>
        <w:rPr>
          <w:rFonts w:hint="eastAsia" w:ascii="Arial" w:hAnsi="Arial" w:cs="Arial"/>
          <w:color w:val="000000"/>
          <w:sz w:val="24"/>
          <w:szCs w:val="24"/>
          <w:lang w:eastAsia="zh-CN"/>
        </w:rPr>
        <w:t>日确认。</w:t>
      </w:r>
    </w:p>
    <w:p>
      <w:pPr>
        <w:pStyle w:val="3"/>
        <w:spacing w:before="0" w:after="0"/>
        <w:rPr>
          <w:rFonts w:ascii="宋体" w:hAnsi="宋体" w:eastAsia="宋体"/>
          <w:kern w:val="0"/>
          <w:sz w:val="21"/>
          <w:szCs w:val="21"/>
        </w:rPr>
      </w:pPr>
      <w:bookmarkStart w:id="42" w:name="_Toc491963085"/>
      <w:bookmarkStart w:id="43" w:name="_Toc484769807"/>
      <w:r>
        <w:rPr>
          <w:rFonts w:hint="eastAsia" w:ascii="宋体" w:hAnsi="宋体" w:eastAsia="宋体"/>
          <w:kern w:val="0"/>
          <w:sz w:val="21"/>
          <w:szCs w:val="21"/>
        </w:rPr>
        <w:t>4</w:t>
      </w:r>
      <w:r>
        <w:rPr>
          <w:rFonts w:ascii="宋体" w:hAnsi="宋体" w:eastAsia="宋体"/>
          <w:kern w:val="0"/>
          <w:sz w:val="21"/>
          <w:szCs w:val="21"/>
        </w:rPr>
        <w:t xml:space="preserve">.2 </w:t>
      </w:r>
      <w:r>
        <w:rPr>
          <w:rFonts w:hint="eastAsia" w:ascii="宋体" w:hAnsi="宋体" w:eastAsia="宋体"/>
          <w:kern w:val="0"/>
          <w:sz w:val="21"/>
          <w:szCs w:val="21"/>
        </w:rPr>
        <w:t>清算损益表</w:t>
      </w:r>
      <w:bookmarkEnd w:id="42"/>
      <w:bookmarkEnd w:id="43"/>
    </w:p>
    <w:tbl>
      <w:tblPr>
        <w:tblStyle w:val="13"/>
        <w:tblW w:w="79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95"/>
        <w:gridCol w:w="4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95" w:type="dxa"/>
            <w:vAlign w:val="center"/>
          </w:tcPr>
          <w:p>
            <w:pPr>
              <w:pStyle w:val="11"/>
              <w:jc w:val="center"/>
              <w:rPr>
                <w:rFonts w:ascii="宋体" w:hAnsi="宋体" w:eastAsia="宋体"/>
                <w:b/>
                <w:color w:val="000000" w:themeColor="text1"/>
                <w:sz w:val="21"/>
                <w:szCs w:val="21"/>
                <w14:textFill>
                  <w14:solidFill>
                    <w14:schemeClr w14:val="tx1"/>
                  </w14:solidFill>
                </w14:textFill>
              </w:rPr>
            </w:pPr>
            <w:r>
              <w:rPr>
                <w:rFonts w:ascii="宋体" w:hAnsi="宋体" w:eastAsia="宋体"/>
                <w:b/>
                <w:color w:val="000000" w:themeColor="text1"/>
                <w:sz w:val="21"/>
                <w:szCs w:val="21"/>
                <w14:textFill>
                  <w14:solidFill>
                    <w14:schemeClr w14:val="tx1"/>
                  </w14:solidFill>
                </w14:textFill>
              </w:rPr>
              <w:t>项目</w:t>
            </w:r>
          </w:p>
        </w:tc>
        <w:tc>
          <w:tcPr>
            <w:tcW w:w="4408" w:type="dxa"/>
            <w:vAlign w:val="center"/>
          </w:tcPr>
          <w:p>
            <w:pPr>
              <w:pStyle w:val="11"/>
              <w:spacing w:before="0" w:beforeAutospacing="0" w:after="0" w:afterAutospacing="0"/>
              <w:jc w:val="center"/>
              <w:rPr>
                <w:rFonts w:ascii="宋体" w:hAnsi="宋体" w:eastAsia="宋体"/>
                <w:b/>
                <w:color w:val="000000" w:themeColor="text1"/>
                <w:sz w:val="21"/>
                <w:szCs w:val="21"/>
                <w:lang w:eastAsia="zh-CN"/>
                <w14:textFill>
                  <w14:solidFill>
                    <w14:schemeClr w14:val="tx1"/>
                  </w14:solidFill>
                </w14:textFill>
              </w:rPr>
            </w:pPr>
            <w:r>
              <w:rPr>
                <w:rFonts w:hint="eastAsia" w:ascii="宋体" w:hAnsi="宋体" w:eastAsia="宋体"/>
                <w:b/>
                <w:color w:val="000000" w:themeColor="text1"/>
                <w:sz w:val="21"/>
                <w:szCs w:val="21"/>
                <w:lang w:eastAsia="zh-CN"/>
                <w14:textFill>
                  <w14:solidFill>
                    <w14:schemeClr w14:val="tx1"/>
                  </w14:solidFill>
                </w14:textFill>
              </w:rPr>
              <w:t>202</w:t>
            </w:r>
            <w:r>
              <w:rPr>
                <w:rFonts w:hint="eastAsia" w:ascii="宋体" w:hAnsi="宋体" w:eastAsia="宋体"/>
                <w:b/>
                <w:color w:val="000000" w:themeColor="text1"/>
                <w:sz w:val="21"/>
                <w:szCs w:val="21"/>
                <w:lang w:val="en-US" w:eastAsia="zh-CN"/>
                <w14:textFill>
                  <w14:solidFill>
                    <w14:schemeClr w14:val="tx1"/>
                  </w14:solidFill>
                </w14:textFill>
              </w:rPr>
              <w:t>3</w:t>
            </w:r>
            <w:r>
              <w:rPr>
                <w:rFonts w:hint="eastAsia" w:ascii="宋体" w:hAnsi="宋体" w:eastAsia="宋体"/>
                <w:b/>
                <w:color w:val="000000" w:themeColor="text1"/>
                <w:sz w:val="21"/>
                <w:szCs w:val="21"/>
                <w:lang w:eastAsia="zh-CN"/>
                <w14:textFill>
                  <w14:solidFill>
                    <w14:schemeClr w14:val="tx1"/>
                  </w14:solidFill>
                </w14:textFill>
              </w:rPr>
              <w:t>年5月</w:t>
            </w:r>
            <w:r>
              <w:rPr>
                <w:rFonts w:hint="eastAsia" w:ascii="宋体" w:hAnsi="宋体" w:eastAsia="宋体"/>
                <w:b/>
                <w:color w:val="000000" w:themeColor="text1"/>
                <w:sz w:val="21"/>
                <w:szCs w:val="21"/>
                <w:lang w:val="en-US" w:eastAsia="zh-CN"/>
                <w14:textFill>
                  <w14:solidFill>
                    <w14:schemeClr w14:val="tx1"/>
                  </w14:solidFill>
                </w14:textFill>
              </w:rPr>
              <w:t>22</w:t>
            </w:r>
            <w:r>
              <w:rPr>
                <w:rFonts w:hint="eastAsia" w:ascii="宋体" w:hAnsi="宋体" w:eastAsia="宋体"/>
                <w:b/>
                <w:color w:val="000000" w:themeColor="text1"/>
                <w:sz w:val="21"/>
                <w:szCs w:val="21"/>
                <w:lang w:eastAsia="zh-CN"/>
                <w14:textFill>
                  <w14:solidFill>
                    <w14:schemeClr w14:val="tx1"/>
                  </w14:solidFill>
                </w14:textFill>
              </w:rPr>
              <w:t>日</w:t>
            </w:r>
            <w:r>
              <w:rPr>
                <w:rFonts w:ascii="宋体" w:hAnsi="宋体" w:eastAsia="宋体"/>
                <w:b/>
                <w:color w:val="000000" w:themeColor="text1"/>
                <w:sz w:val="21"/>
                <w:szCs w:val="21"/>
                <w:lang w:eastAsia="zh-CN"/>
                <w14:textFill>
                  <w14:solidFill>
                    <w14:schemeClr w14:val="tx1"/>
                  </w14:solidFill>
                </w14:textFill>
              </w:rPr>
              <w:t>至</w:t>
            </w:r>
            <w:r>
              <w:rPr>
                <w:rFonts w:hint="eastAsia" w:ascii="宋体" w:hAnsi="宋体" w:eastAsia="宋体"/>
                <w:b/>
                <w:color w:val="000000" w:themeColor="text1"/>
                <w:sz w:val="21"/>
                <w:szCs w:val="21"/>
                <w:lang w:eastAsia="zh-CN"/>
                <w14:textFill>
                  <w14:solidFill>
                    <w14:schemeClr w14:val="tx1"/>
                  </w14:solidFill>
                </w14:textFill>
              </w:rPr>
              <w:t>202</w:t>
            </w:r>
            <w:r>
              <w:rPr>
                <w:rFonts w:hint="eastAsia" w:ascii="宋体" w:hAnsi="宋体" w:eastAsia="宋体"/>
                <w:b/>
                <w:color w:val="000000" w:themeColor="text1"/>
                <w:sz w:val="21"/>
                <w:szCs w:val="21"/>
                <w:lang w:val="en-US" w:eastAsia="zh-CN"/>
                <w14:textFill>
                  <w14:solidFill>
                    <w14:schemeClr w14:val="tx1"/>
                  </w14:solidFill>
                </w14:textFill>
              </w:rPr>
              <w:t>3</w:t>
            </w:r>
            <w:r>
              <w:rPr>
                <w:rFonts w:hint="eastAsia" w:ascii="宋体" w:hAnsi="宋体" w:eastAsia="宋体"/>
                <w:b/>
                <w:color w:val="000000" w:themeColor="text1"/>
                <w:sz w:val="21"/>
                <w:szCs w:val="21"/>
                <w:lang w:eastAsia="zh-CN"/>
                <w14:textFill>
                  <w14:solidFill>
                    <w14:schemeClr w14:val="tx1"/>
                  </w14:solidFill>
                </w14:textFill>
              </w:rPr>
              <w:t>年6月</w:t>
            </w:r>
            <w:r>
              <w:rPr>
                <w:rFonts w:hint="eastAsia" w:ascii="宋体" w:hAnsi="宋体" w:eastAsia="宋体"/>
                <w:b/>
                <w:color w:val="000000" w:themeColor="text1"/>
                <w:sz w:val="21"/>
                <w:szCs w:val="21"/>
                <w:lang w:val="en-US" w:eastAsia="zh-CN"/>
                <w14:textFill>
                  <w14:solidFill>
                    <w14:schemeClr w14:val="tx1"/>
                  </w14:solidFill>
                </w14:textFill>
              </w:rPr>
              <w:t>15</w:t>
            </w:r>
            <w:r>
              <w:rPr>
                <w:rFonts w:hint="eastAsia" w:ascii="宋体" w:hAnsi="宋体" w:eastAsia="宋体"/>
                <w:b/>
                <w:color w:val="000000" w:themeColor="text1"/>
                <w:sz w:val="21"/>
                <w:szCs w:val="21"/>
                <w:lang w:eastAsia="zh-CN"/>
                <w14:textFill>
                  <w14:solidFill>
                    <w14:schemeClr w14:val="tx1"/>
                  </w14:solidFill>
                </w14:textFill>
              </w:rPr>
              <w:t>日</w:t>
            </w:r>
          </w:p>
          <w:p>
            <w:pPr>
              <w:pStyle w:val="11"/>
              <w:spacing w:before="0" w:beforeAutospacing="0" w:after="0" w:afterAutospacing="0"/>
              <w:jc w:val="center"/>
              <w:rPr>
                <w:rFonts w:ascii="宋体" w:hAnsi="宋体" w:eastAsia="宋体"/>
                <w:b/>
                <w:color w:val="000000" w:themeColor="text1"/>
                <w:sz w:val="21"/>
                <w:szCs w:val="21"/>
                <w:lang w:eastAsia="zh-CN"/>
                <w14:textFill>
                  <w14:solidFill>
                    <w14:schemeClr w14:val="tx1"/>
                  </w14:solidFill>
                </w14:textFill>
              </w:rPr>
            </w:pPr>
            <w:r>
              <w:rPr>
                <w:rFonts w:hint="eastAsia" w:ascii="宋体" w:hAnsi="宋体" w:eastAsia="宋体"/>
                <w:b/>
                <w:color w:val="000000" w:themeColor="text1"/>
                <w:sz w:val="21"/>
                <w:szCs w:val="21"/>
                <w:lang w:eastAsia="zh-CN"/>
                <w14:textFill>
                  <w14:solidFill>
                    <w14:schemeClr w14:val="tx1"/>
                  </w14:solidFill>
                </w14:textFill>
              </w:rPr>
              <w:t>（清算期间）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95" w:type="dxa"/>
            <w:vAlign w:val="center"/>
          </w:tcPr>
          <w:p>
            <w:pPr>
              <w:rPr>
                <w:rFonts w:ascii="宋体" w:hAnsi="宋体"/>
                <w:b/>
                <w:color w:val="000000" w:themeColor="text1"/>
                <w:szCs w:val="21"/>
                <w14:textFill>
                  <w14:solidFill>
                    <w14:schemeClr w14:val="tx1"/>
                  </w14:solidFill>
                </w14:textFill>
              </w:rPr>
            </w:pPr>
            <w:r>
              <w:rPr>
                <w:rFonts w:hint="eastAsia"/>
                <w:b/>
                <w:bCs/>
                <w:color w:val="000000"/>
                <w:szCs w:val="21"/>
              </w:rPr>
              <w:t>一、清算收益</w:t>
            </w:r>
          </w:p>
        </w:tc>
        <w:tc>
          <w:tcPr>
            <w:tcW w:w="4408" w:type="dxa"/>
          </w:tcPr>
          <w:p>
            <w:pPr>
              <w:ind w:left="-80"/>
              <w:jc w:val="right"/>
              <w:rPr>
                <w:rFonts w:hint="default" w:ascii="Arial" w:hAnsi="Arial" w:eastAsia="宋体" w:cs="Arial"/>
                <w:b/>
                <w:bCs/>
                <w:color w:val="000000"/>
                <w:sz w:val="24"/>
                <w:lang w:val="en-US" w:eastAsia="zh-CN"/>
              </w:rPr>
            </w:pPr>
            <w:r>
              <w:rPr>
                <w:rFonts w:hint="eastAsia" w:ascii="Arial" w:hAnsi="Arial" w:cs="Arial"/>
                <w:b/>
                <w:bCs/>
                <w:color w:val="000000"/>
                <w:sz w:val="24"/>
                <w:lang w:val="en-US" w:eastAsia="zh-CN"/>
              </w:rPr>
              <w:t>11,061.51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95" w:type="dxa"/>
            <w:vAlign w:val="center"/>
          </w:tcPr>
          <w:p>
            <w:pPr>
              <w:rPr>
                <w:rFonts w:ascii="宋体" w:hAnsi="宋体"/>
                <w:color w:val="000000" w:themeColor="text1"/>
                <w:szCs w:val="21"/>
                <w14:textFill>
                  <w14:solidFill>
                    <w14:schemeClr w14:val="tx1"/>
                  </w14:solidFill>
                </w14:textFill>
              </w:rPr>
            </w:pPr>
            <w:r>
              <w:rPr>
                <w:color w:val="000000"/>
                <w:szCs w:val="21"/>
              </w:rPr>
              <w:t>1.</w:t>
            </w:r>
            <w:r>
              <w:rPr>
                <w:color w:val="000000"/>
                <w:sz w:val="14"/>
                <w:szCs w:val="14"/>
              </w:rPr>
              <w:t xml:space="preserve">  </w:t>
            </w:r>
            <w:r>
              <w:rPr>
                <w:rFonts w:hint="eastAsia"/>
                <w:color w:val="000000"/>
                <w:szCs w:val="21"/>
              </w:rPr>
              <w:t>利息收入</w:t>
            </w:r>
          </w:p>
        </w:tc>
        <w:tc>
          <w:tcPr>
            <w:tcW w:w="4408" w:type="dxa"/>
          </w:tcPr>
          <w:p>
            <w:pPr>
              <w:ind w:left="-80"/>
              <w:jc w:val="right"/>
              <w:rPr>
                <w:rFonts w:ascii="Arial" w:hAnsi="Arial" w:cs="Arial"/>
                <w:color w:val="000000"/>
                <w:sz w:val="24"/>
              </w:rPr>
            </w:pPr>
            <w:r>
              <w:rPr>
                <w:rFonts w:hint="eastAsia" w:ascii="Arial" w:hAnsi="Arial" w:cs="Arial"/>
                <w:color w:val="000000"/>
                <w:sz w:val="24"/>
              </w:rPr>
              <w:t>10</w:t>
            </w:r>
            <w:r>
              <w:rPr>
                <w:rFonts w:hint="eastAsia" w:ascii="Arial" w:hAnsi="Arial" w:cs="Arial"/>
                <w:color w:val="000000"/>
                <w:sz w:val="24"/>
                <w:lang w:val="en-US" w:eastAsia="zh-CN"/>
              </w:rPr>
              <w:t>,</w:t>
            </w:r>
            <w:r>
              <w:rPr>
                <w:rFonts w:hint="eastAsia" w:ascii="Arial" w:hAnsi="Arial" w:cs="Arial"/>
                <w:color w:val="000000"/>
                <w:sz w:val="24"/>
              </w:rPr>
              <w:t>891.51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95" w:type="dxa"/>
            <w:vAlign w:val="center"/>
          </w:tcPr>
          <w:p>
            <w:pPr>
              <w:rPr>
                <w:rFonts w:ascii="宋体" w:hAnsi="宋体"/>
                <w:color w:val="000000" w:themeColor="text1"/>
                <w:szCs w:val="21"/>
                <w14:textFill>
                  <w14:solidFill>
                    <w14:schemeClr w14:val="tx1"/>
                  </w14:solidFill>
                </w14:textFill>
              </w:rPr>
            </w:pPr>
            <w:r>
              <w:rPr>
                <w:color w:val="000000"/>
                <w:szCs w:val="21"/>
              </w:rPr>
              <w:t>2.</w:t>
            </w:r>
            <w:r>
              <w:rPr>
                <w:color w:val="000000"/>
                <w:sz w:val="14"/>
                <w:szCs w:val="14"/>
              </w:rPr>
              <w:t xml:space="preserve">  </w:t>
            </w:r>
            <w:r>
              <w:rPr>
                <w:rFonts w:hint="eastAsia"/>
                <w:color w:val="000000"/>
                <w:szCs w:val="21"/>
              </w:rPr>
              <w:t>其他收入</w:t>
            </w:r>
          </w:p>
        </w:tc>
        <w:tc>
          <w:tcPr>
            <w:tcW w:w="4408" w:type="dxa"/>
          </w:tcPr>
          <w:p>
            <w:pPr>
              <w:ind w:left="-80"/>
              <w:jc w:val="right"/>
              <w:rPr>
                <w:rFonts w:hint="eastAsia" w:ascii="Arial" w:hAnsi="Arial" w:eastAsia="宋体" w:cs="Arial"/>
                <w:color w:val="000000"/>
                <w:sz w:val="24"/>
                <w:lang w:eastAsia="zh-CN"/>
              </w:rPr>
            </w:pPr>
            <w:r>
              <w:rPr>
                <w:rFonts w:hint="eastAsia" w:ascii="Arial" w:hAnsi="Arial" w:cs="Arial"/>
                <w:color w:val="000000"/>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95" w:type="dxa"/>
            <w:vAlign w:val="center"/>
          </w:tcPr>
          <w:p>
            <w:pPr>
              <w:rPr>
                <w:color w:val="000000"/>
                <w:szCs w:val="21"/>
              </w:rPr>
            </w:pPr>
            <w:r>
              <w:rPr>
                <w:color w:val="000000"/>
                <w:szCs w:val="21"/>
              </w:rPr>
              <w:t xml:space="preserve">3. </w:t>
            </w:r>
            <w:r>
              <w:rPr>
                <w:rFonts w:hint="eastAsia"/>
                <w:color w:val="000000"/>
                <w:szCs w:val="21"/>
              </w:rPr>
              <w:t>公允价值变动损益</w:t>
            </w:r>
          </w:p>
        </w:tc>
        <w:tc>
          <w:tcPr>
            <w:tcW w:w="4408" w:type="dxa"/>
          </w:tcPr>
          <w:p>
            <w:pPr>
              <w:ind w:left="-80"/>
              <w:jc w:val="right"/>
              <w:rPr>
                <w:rFonts w:hint="default" w:ascii="Arial" w:hAnsi="Arial" w:eastAsia="宋体" w:cs="Arial"/>
                <w:color w:val="000000"/>
                <w:sz w:val="24"/>
                <w:lang w:val="en-US" w:eastAsia="zh-CN"/>
              </w:rPr>
            </w:pPr>
            <w:r>
              <w:rPr>
                <w:rFonts w:hint="eastAsia" w:ascii="Arial" w:hAnsi="Arial" w:cs="Arial"/>
                <w:color w:val="000000"/>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95" w:type="dxa"/>
            <w:vAlign w:val="center"/>
          </w:tcPr>
          <w:p>
            <w:pPr>
              <w:rPr>
                <w:color w:val="000000"/>
                <w:szCs w:val="21"/>
              </w:rPr>
            </w:pPr>
            <w:r>
              <w:rPr>
                <w:color w:val="000000"/>
                <w:szCs w:val="21"/>
              </w:rPr>
              <w:t>4</w:t>
            </w:r>
            <w:r>
              <w:rPr>
                <w:rFonts w:hint="eastAsia"/>
                <w:color w:val="000000"/>
                <w:szCs w:val="21"/>
              </w:rPr>
              <w:t>．投资收益</w:t>
            </w:r>
          </w:p>
        </w:tc>
        <w:tc>
          <w:tcPr>
            <w:tcW w:w="4408" w:type="dxa"/>
          </w:tcPr>
          <w:p>
            <w:pPr>
              <w:ind w:left="-80"/>
              <w:jc w:val="right"/>
              <w:rPr>
                <w:rFonts w:ascii="Arial" w:hAnsi="Arial" w:cs="Arial"/>
                <w:color w:val="000000"/>
                <w:sz w:val="24"/>
              </w:rPr>
            </w:pPr>
            <w:r>
              <w:rPr>
                <w:rFonts w:hint="eastAsia" w:ascii="Arial" w:hAnsi="Arial" w:cs="Arial"/>
                <w:color w:val="000000"/>
                <w:sz w:val="24"/>
              </w:rPr>
              <w:t>170.00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95" w:type="dxa"/>
            <w:vAlign w:val="center"/>
          </w:tcPr>
          <w:p>
            <w:pPr>
              <w:rPr>
                <w:rFonts w:ascii="宋体" w:hAnsi="宋体"/>
                <w:color w:val="000000" w:themeColor="text1"/>
                <w:szCs w:val="21"/>
                <w14:textFill>
                  <w14:solidFill>
                    <w14:schemeClr w14:val="tx1"/>
                  </w14:solidFill>
                </w14:textFill>
              </w:rPr>
            </w:pPr>
            <w:r>
              <w:rPr>
                <w:rFonts w:hint="eastAsia"/>
                <w:b/>
                <w:bCs/>
                <w:color w:val="000000"/>
                <w:szCs w:val="21"/>
              </w:rPr>
              <w:t>二、清算费用</w:t>
            </w:r>
          </w:p>
        </w:tc>
        <w:tc>
          <w:tcPr>
            <w:tcW w:w="4408" w:type="dxa"/>
          </w:tcPr>
          <w:p>
            <w:pPr>
              <w:ind w:left="-80"/>
              <w:jc w:val="right"/>
              <w:rPr>
                <w:rFonts w:ascii="Arial" w:hAnsi="Arial" w:cs="Arial"/>
                <w:b/>
                <w:bCs/>
                <w:color w:val="000000"/>
                <w:sz w:val="24"/>
              </w:rPr>
            </w:pPr>
            <w:r>
              <w:rPr>
                <w:rFonts w:hint="eastAsia" w:ascii="Arial" w:hAnsi="Arial" w:cs="Arial"/>
                <w:b/>
                <w:bCs/>
                <w:color w:val="000000"/>
                <w:sz w:val="24"/>
              </w:rPr>
              <w:t>455.75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95" w:type="dxa"/>
            <w:vAlign w:val="center"/>
          </w:tcPr>
          <w:p>
            <w:pPr>
              <w:rPr>
                <w:rFonts w:ascii="宋体" w:hAnsi="宋体"/>
                <w:b/>
                <w:color w:val="000000" w:themeColor="text1"/>
                <w:szCs w:val="21"/>
                <w14:textFill>
                  <w14:solidFill>
                    <w14:schemeClr w14:val="tx1"/>
                  </w14:solidFill>
                </w14:textFill>
              </w:rPr>
            </w:pPr>
            <w:r>
              <w:rPr>
                <w:rFonts w:hint="eastAsia"/>
                <w:color w:val="000000"/>
                <w:szCs w:val="21"/>
              </w:rPr>
              <w:t>汇划费</w:t>
            </w:r>
          </w:p>
        </w:tc>
        <w:tc>
          <w:tcPr>
            <w:tcW w:w="4408" w:type="dxa"/>
          </w:tcPr>
          <w:p>
            <w:pPr>
              <w:ind w:left="-80"/>
              <w:jc w:val="right"/>
              <w:rPr>
                <w:rFonts w:ascii="Arial" w:hAnsi="Arial" w:cs="Arial"/>
                <w:color w:val="000000"/>
                <w:sz w:val="24"/>
              </w:rPr>
            </w:pPr>
            <w:r>
              <w:rPr>
                <w:rFonts w:hint="eastAsia" w:ascii="Arial" w:hAnsi="Arial" w:cs="Arial"/>
                <w:color w:val="000000"/>
                <w:sz w:val="24"/>
              </w:rPr>
              <w:t>489.95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95" w:type="dxa"/>
            <w:vAlign w:val="center"/>
          </w:tcPr>
          <w:p>
            <w:pPr>
              <w:rPr>
                <w:rFonts w:hint="default" w:eastAsia="宋体"/>
                <w:color w:val="000000"/>
                <w:szCs w:val="21"/>
                <w:lang w:val="en-US" w:eastAsia="zh-CN"/>
              </w:rPr>
            </w:pPr>
            <w:r>
              <w:rPr>
                <w:rFonts w:hint="eastAsia"/>
                <w:color w:val="000000"/>
                <w:szCs w:val="21"/>
                <w:lang w:val="en-US" w:eastAsia="zh-CN"/>
              </w:rPr>
              <w:t>其他费用</w:t>
            </w:r>
          </w:p>
        </w:tc>
        <w:tc>
          <w:tcPr>
            <w:tcW w:w="4408" w:type="dxa"/>
          </w:tcPr>
          <w:p>
            <w:pPr>
              <w:ind w:left="-80"/>
              <w:jc w:val="right"/>
              <w:rPr>
                <w:rFonts w:hint="default" w:ascii="Arial" w:hAnsi="Arial" w:eastAsia="宋体" w:cs="Arial"/>
                <w:color w:val="000000"/>
                <w:sz w:val="24"/>
                <w:lang w:val="en-US" w:eastAsia="zh-CN"/>
              </w:rPr>
            </w:pPr>
            <w:r>
              <w:rPr>
                <w:rFonts w:hint="eastAsia" w:ascii="Arial" w:hAnsi="Arial" w:cs="Arial"/>
                <w:color w:val="000000"/>
                <w:sz w:val="24"/>
                <w:lang w:val="en-US" w:eastAsia="zh-CN"/>
              </w:rPr>
              <w:t>-34.20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95" w:type="dxa"/>
            <w:vAlign w:val="center"/>
          </w:tcPr>
          <w:p>
            <w:pPr>
              <w:rPr>
                <w:rFonts w:ascii="宋体" w:hAnsi="宋体"/>
                <w:color w:val="000000" w:themeColor="text1"/>
                <w:szCs w:val="21"/>
                <w14:textFill>
                  <w14:solidFill>
                    <w14:schemeClr w14:val="tx1"/>
                  </w14:solidFill>
                </w14:textFill>
              </w:rPr>
            </w:pPr>
            <w:r>
              <w:rPr>
                <w:rFonts w:hint="eastAsia"/>
                <w:b/>
                <w:bCs/>
                <w:color w:val="000000"/>
                <w:szCs w:val="21"/>
              </w:rPr>
              <w:t>三、清算收益（损失）总额</w:t>
            </w:r>
          </w:p>
        </w:tc>
        <w:tc>
          <w:tcPr>
            <w:tcW w:w="4408" w:type="dxa"/>
            <w:vAlign w:val="center"/>
          </w:tcPr>
          <w:p>
            <w:pPr>
              <w:ind w:left="-80"/>
              <w:jc w:val="right"/>
              <w:rPr>
                <w:rFonts w:ascii="Arial" w:hAnsi="Arial" w:cs="Arial"/>
                <w:b/>
                <w:bCs/>
                <w:color w:val="000000"/>
                <w:sz w:val="24"/>
              </w:rPr>
            </w:pPr>
            <w:r>
              <w:rPr>
                <w:rFonts w:hint="eastAsia" w:ascii="Arial" w:hAnsi="Arial" w:cs="Arial"/>
                <w:b/>
                <w:bCs/>
                <w:color w:val="000000"/>
                <w:sz w:val="24"/>
              </w:rPr>
              <w:t>10,605.76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95" w:type="dxa"/>
            <w:shd w:val="clear" w:color="auto" w:fill="auto"/>
            <w:vAlign w:val="center"/>
          </w:tcPr>
          <w:p>
            <w:pPr>
              <w:rPr>
                <w:rFonts w:ascii="宋体" w:hAnsi="宋体"/>
                <w:color w:val="000000" w:themeColor="text1"/>
                <w:szCs w:val="21"/>
                <w14:textFill>
                  <w14:solidFill>
                    <w14:schemeClr w14:val="tx1"/>
                  </w14:solidFill>
                </w14:textFill>
              </w:rPr>
            </w:pPr>
            <w:r>
              <w:rPr>
                <w:rFonts w:hint="eastAsia"/>
                <w:color w:val="000000"/>
                <w:szCs w:val="21"/>
              </w:rPr>
              <w:t>减：所得税费用</w:t>
            </w:r>
          </w:p>
        </w:tc>
        <w:tc>
          <w:tcPr>
            <w:tcW w:w="4408" w:type="dxa"/>
            <w:shd w:val="clear" w:color="auto" w:fill="auto"/>
            <w:vAlign w:val="center"/>
          </w:tcPr>
          <w:p>
            <w:pPr>
              <w:jc w:val="right"/>
              <w:rPr>
                <w:rFonts w:ascii="宋体" w:hAnsi="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495" w:type="dxa"/>
            <w:shd w:val="clear" w:color="auto" w:fill="auto"/>
            <w:vAlign w:val="center"/>
          </w:tcPr>
          <w:p>
            <w:pPr>
              <w:rPr>
                <w:rFonts w:ascii="宋体" w:hAnsi="宋体"/>
                <w:b/>
                <w:color w:val="000000" w:themeColor="text1"/>
                <w:szCs w:val="21"/>
                <w14:textFill>
                  <w14:solidFill>
                    <w14:schemeClr w14:val="tx1"/>
                  </w14:solidFill>
                </w14:textFill>
              </w:rPr>
            </w:pPr>
            <w:r>
              <w:rPr>
                <w:rFonts w:hint="eastAsia"/>
                <w:b/>
                <w:bCs/>
                <w:color w:val="000000"/>
                <w:szCs w:val="21"/>
              </w:rPr>
              <w:t>四、清算净收益（损失）</w:t>
            </w:r>
          </w:p>
        </w:tc>
        <w:tc>
          <w:tcPr>
            <w:tcW w:w="4408" w:type="dxa"/>
            <w:shd w:val="clear" w:color="auto" w:fill="auto"/>
            <w:vAlign w:val="center"/>
          </w:tcPr>
          <w:p>
            <w:pPr>
              <w:ind w:left="-80"/>
              <w:jc w:val="right"/>
              <w:rPr>
                <w:rFonts w:ascii="Arial" w:hAnsi="Arial" w:cs="Arial"/>
                <w:b/>
                <w:bCs/>
                <w:color w:val="000000"/>
                <w:sz w:val="24"/>
              </w:rPr>
            </w:pPr>
            <w:r>
              <w:rPr>
                <w:rFonts w:hint="eastAsia" w:ascii="Arial" w:hAnsi="Arial" w:cs="Arial"/>
                <w:b/>
                <w:bCs/>
                <w:color w:val="000000"/>
                <w:sz w:val="24"/>
              </w:rPr>
              <w:t>10,605.76</w:t>
            </w:r>
          </w:p>
        </w:tc>
      </w:tr>
    </w:tbl>
    <w:p>
      <w:pPr>
        <w:pStyle w:val="24"/>
        <w:rPr>
          <w:rFonts w:hint="eastAsia"/>
        </w:rPr>
      </w:pPr>
      <w:bookmarkStart w:id="44" w:name="_Toc484769808"/>
      <w:bookmarkStart w:id="45" w:name="_Toc484607313"/>
      <w:bookmarkStart w:id="46" w:name="_Toc483396840"/>
      <w:r>
        <w:rPr>
          <w:rFonts w:hint="eastAsia"/>
        </w:rPr>
        <w:t>注：</w:t>
      </w:r>
    </w:p>
    <w:p>
      <w:pPr>
        <w:pStyle w:val="24"/>
        <w:numPr>
          <w:ilvl w:val="0"/>
          <w:numId w:val="1"/>
        </w:numPr>
        <w:rPr>
          <w:rFonts w:hint="eastAsia"/>
          <w:lang w:val="en-US" w:eastAsia="zh-CN"/>
        </w:rPr>
      </w:pPr>
      <w:r>
        <w:rPr>
          <w:rFonts w:hint="eastAsia"/>
        </w:rPr>
        <w:t>利息收入系以当前适用的利率预估计提的自</w:t>
      </w:r>
      <w:r>
        <w:rPr>
          <w:rFonts w:hint="eastAsia"/>
          <w:lang w:val="en-US" w:eastAsia="zh-CN"/>
        </w:rPr>
        <w:t>清算期首日</w:t>
      </w:r>
      <w:r>
        <w:rPr>
          <w:rFonts w:hint="eastAsia"/>
        </w:rPr>
        <w:t>至202</w:t>
      </w:r>
      <w:r>
        <w:rPr>
          <w:rFonts w:hint="eastAsia"/>
          <w:lang w:val="en-US" w:eastAsia="zh-CN"/>
        </w:rPr>
        <w:t>3</w:t>
      </w:r>
      <w:r>
        <w:rPr>
          <w:rFonts w:hint="eastAsia"/>
        </w:rPr>
        <w:t>年6月</w:t>
      </w:r>
      <w:r>
        <w:rPr>
          <w:rFonts w:hint="eastAsia"/>
          <w:lang w:val="en-US" w:eastAsia="zh-CN"/>
        </w:rPr>
        <w:t>15</w:t>
      </w:r>
      <w:r>
        <w:rPr>
          <w:rFonts w:hint="eastAsia"/>
        </w:rPr>
        <w:t>日止清算期间的活期存款、清算备付金和结算保证金利息</w:t>
      </w:r>
      <w:r>
        <w:rPr>
          <w:rFonts w:hint="eastAsia"/>
          <w:lang w:val="en-US" w:eastAsia="zh-CN"/>
        </w:rPr>
        <w:t>以及买入返售证券利息收入。</w:t>
      </w:r>
    </w:p>
    <w:p>
      <w:pPr>
        <w:pStyle w:val="24"/>
        <w:numPr>
          <w:ilvl w:val="0"/>
          <w:numId w:val="1"/>
        </w:numPr>
        <w:rPr>
          <w:rFonts w:hint="default"/>
          <w:lang w:val="en-US" w:eastAsia="zh-CN"/>
        </w:rPr>
      </w:pPr>
      <w:r>
        <w:rPr>
          <w:rFonts w:hint="eastAsia"/>
          <w:lang w:val="en-US" w:eastAsia="zh-CN"/>
        </w:rPr>
        <w:t>清算期资产处置及负债清偿安排，已覆盖2023年5月20日至5月21日的资产情况。</w:t>
      </w:r>
    </w:p>
    <w:p>
      <w:pPr>
        <w:pStyle w:val="3"/>
        <w:spacing w:before="0" w:after="0"/>
        <w:rPr>
          <w:rFonts w:ascii="宋体" w:hAnsi="宋体" w:eastAsia="宋体"/>
          <w:kern w:val="0"/>
          <w:sz w:val="21"/>
          <w:szCs w:val="21"/>
        </w:rPr>
      </w:pPr>
      <w:bookmarkStart w:id="47" w:name="_Toc491963086"/>
      <w:r>
        <w:rPr>
          <w:rFonts w:hint="eastAsia" w:ascii="宋体" w:hAnsi="宋体" w:eastAsia="宋体"/>
          <w:kern w:val="0"/>
          <w:sz w:val="21"/>
          <w:szCs w:val="21"/>
        </w:rPr>
        <w:t>4.3</w:t>
      </w:r>
      <w:r>
        <w:rPr>
          <w:rFonts w:ascii="宋体" w:hAnsi="宋体" w:eastAsia="宋体"/>
          <w:kern w:val="0"/>
          <w:sz w:val="21"/>
          <w:szCs w:val="21"/>
        </w:rPr>
        <w:t xml:space="preserve"> </w:t>
      </w:r>
      <w:r>
        <w:rPr>
          <w:rFonts w:hint="eastAsia" w:ascii="宋体" w:hAnsi="宋体" w:eastAsia="宋体"/>
          <w:kern w:val="0"/>
          <w:sz w:val="21"/>
          <w:szCs w:val="21"/>
        </w:rPr>
        <w:t>报表附注</w:t>
      </w:r>
      <w:bookmarkEnd w:id="44"/>
      <w:bookmarkEnd w:id="45"/>
      <w:bookmarkEnd w:id="46"/>
      <w:bookmarkEnd w:id="47"/>
    </w:p>
    <w:p>
      <w:pPr>
        <w:spacing w:line="360" w:lineRule="auto"/>
        <w:rPr>
          <w:rFonts w:ascii="宋体" w:hAnsi="宋体"/>
          <w:b/>
          <w:szCs w:val="21"/>
        </w:rPr>
      </w:pPr>
      <w:r>
        <w:rPr>
          <w:rFonts w:ascii="宋体" w:hAnsi="宋体"/>
          <w:b/>
          <w:szCs w:val="21"/>
        </w:rPr>
        <w:t>4.3.</w:t>
      </w:r>
      <w:r>
        <w:rPr>
          <w:rFonts w:hint="eastAsia" w:ascii="宋体" w:hAnsi="宋体"/>
          <w:b/>
          <w:szCs w:val="21"/>
        </w:rPr>
        <w:t>1基金基本情况</w:t>
      </w:r>
    </w:p>
    <w:p>
      <w:pPr>
        <w:pStyle w:val="24"/>
      </w:pPr>
      <w:r>
        <w:rPr>
          <w:rFonts w:hint="eastAsia"/>
        </w:rPr>
        <w:t>本基金经中国证监会证监许可[2020]1501号《关于准予博时恒荣一年持有期混合型证券投资基金注册的批复》</w:t>
      </w:r>
      <w:r>
        <w:rPr>
          <w:rFonts w:hint="eastAsia" w:eastAsiaTheme="minorEastAsia"/>
        </w:rPr>
        <w:t>注册</w:t>
      </w:r>
      <w:r>
        <w:rPr>
          <w:rFonts w:hint="eastAsia"/>
        </w:rPr>
        <w:t>，由博时基金管理有限公司依照《中华人民共和国证券投资基金法》和《基金合同》负责公开募集。本基金为契约型开放式，存续期限不定，首次设立募集不包括认购资金利息共募集人民币232,920,732.38元，业经普华永道中天会计师事务所(特殊普通合伙)普华永道中天验字(2020)第0784号验资报告予以验证。经向中国证监会备案，《基金合同》于2020年9月27日正式生效，基金合同生效日的基金份额总额为232,952,942.97份基金份额，其中认购资金利息折合32,210.59份基金份额。本基金的基金管理人为博时基金管理有限公司，基金托管人为中国建设银行股份有限公司。</w:t>
      </w:r>
    </w:p>
    <w:p>
      <w:pPr>
        <w:pStyle w:val="24"/>
      </w:pPr>
      <w:r>
        <w:rPr>
          <w:rFonts w:hint="eastAsia"/>
        </w:rPr>
        <w:t>根据《中华人民共和国证券投资基金法》和《基金合同》的有关规定，本基金的投资范围为具有良好流动性的金融工具，包括国内依法发行上市的股票(包括中小板、创业板及其他经中国证监会核准或注册上市的股票、存托凭证)、内地与香港股票市场交易互联互通机制下允许投资的香港联合交易所上市的股票(以下简称“港股通标的股票”)、债券(国债、金融债、地方政府债、政府支持机构债券、企业债、公司债、央行票据、中期票据、短期融资券、超短期融资券、可转换债券(含可分离交易可转债债券)、可交换债、次级债等)、资产支持证券、货币市场工具、银行存款、同业存单、债券回购、股指期货、股票期权、国债期货以及法律法规或中国证监会允许基金投资的其他金融工具(但须符合中国证监会的相关规定)。本基金可根据相关法律法规和基金合同的约定参与融资业务。本基金的股票(含存托凭证)资产占基金资产的0%-30%，港股通标的股票的投资比例为股票资产的0%-50%；投资于同业存单的比例不超过基金资产的20%；每个交易日日终在扣除股指期货合约、股票期权、国债期货合约所需缴纳的交易保证金后，现金或到期日在一年以内的政府债券不低于基金资产净值的5%。前述现金不包括结算备付金、存出保证金、应收申购款等。本基金的业绩比较基准为：沪深300指数收益率×15%+恒生综合指数收益率×5%+中债综合财富(总值)指数收益率×75%+银行活期存款利率(税后)×5%。</w:t>
      </w:r>
    </w:p>
    <w:p>
      <w:pPr>
        <w:spacing w:line="360" w:lineRule="auto"/>
        <w:rPr>
          <w:rFonts w:hint="eastAsia"/>
        </w:rPr>
      </w:pPr>
      <w:r>
        <w:rPr>
          <w:rFonts w:hint="eastAsia"/>
        </w:rPr>
        <w:t>截至2023年5月19日，本基金已出现连续50个工作日基金资产净值低于5000万元的情形，已触发基金合同中约定的基金终止条款。根据基金合同有关约定，本基金将根据《基金合同》约定进入清算程序并终止，且无需召开基金份额持有人大会。本基金的最后运作日定为2023年5月19日，并于2023年5月22日进入财产清算期。</w:t>
      </w:r>
    </w:p>
    <w:p>
      <w:pPr>
        <w:spacing w:line="360" w:lineRule="auto"/>
        <w:rPr>
          <w:rFonts w:ascii="宋体" w:hAnsi="宋体"/>
          <w:b/>
          <w:szCs w:val="21"/>
        </w:rPr>
      </w:pPr>
      <w:r>
        <w:rPr>
          <w:rFonts w:ascii="宋体" w:hAnsi="宋体"/>
          <w:b/>
          <w:szCs w:val="21"/>
        </w:rPr>
        <w:t>4.3.</w:t>
      </w:r>
      <w:r>
        <w:rPr>
          <w:rFonts w:hint="eastAsia" w:ascii="宋体" w:hAnsi="宋体"/>
          <w:b/>
          <w:szCs w:val="21"/>
        </w:rPr>
        <w:t>2清算原因</w:t>
      </w:r>
    </w:p>
    <w:p>
      <w:pPr>
        <w:spacing w:line="360" w:lineRule="auto"/>
        <w:rPr>
          <w:rFonts w:hint="eastAsia"/>
        </w:rPr>
      </w:pPr>
      <w:r>
        <w:rPr>
          <w:rFonts w:hint="eastAsia"/>
        </w:rPr>
        <w:t>根据《基金合同》“第五部分 基金备案”中“三、基金存续期内的基金份额持有人数量和资产规模”的约定：</w:t>
      </w:r>
    </w:p>
    <w:p>
      <w:pPr>
        <w:spacing w:line="360" w:lineRule="auto"/>
        <w:rPr>
          <w:rFonts w:hint="eastAsia"/>
        </w:rPr>
      </w:pPr>
      <w:r>
        <w:rPr>
          <w:rFonts w:hint="eastAsia"/>
        </w:rPr>
        <w:t>“《基金合同》生效后，连续20个工作日出现基金份额持有人数量不满200人或者基金资产净值低于5000万元情形的，基金管理人应当在定期报告中予以披露；连续50个工作日出现前述情形的，本基金将根据基金合同的约定进行基金财产清算并终止，且无需召开基金份额持有人大会，同时基金管理人应履行相关的监管报告和信息披露程序。</w:t>
      </w:r>
    </w:p>
    <w:p>
      <w:pPr>
        <w:spacing w:line="360" w:lineRule="auto"/>
        <w:rPr>
          <w:rFonts w:hint="eastAsia"/>
        </w:rPr>
      </w:pPr>
      <w:r>
        <w:rPr>
          <w:rFonts w:hint="eastAsia"/>
        </w:rPr>
        <w:t>法律法规或中国证监会另有规定时，从其规定。”</w:t>
      </w:r>
    </w:p>
    <w:p>
      <w:pPr>
        <w:spacing w:line="360" w:lineRule="auto"/>
        <w:rPr>
          <w:rFonts w:hint="eastAsia"/>
        </w:rPr>
      </w:pPr>
      <w:r>
        <w:rPr>
          <w:rFonts w:hint="eastAsia"/>
        </w:rPr>
        <w:t>截至2023年5月19日，本基金已出现连续50个工作日基金资产净值低于5000万元的情形，已触发基金合同中约定的基金终止条款。根据基金合同有关约定，本基金将根据《基金合同》约定进入清算程序并终止，且无需召开基金份额持有人大会。本基金的最后运作日定为2023年5月19日，并于2023年5月22日进入财产清算期。</w:t>
      </w:r>
    </w:p>
    <w:p>
      <w:pPr>
        <w:spacing w:line="360" w:lineRule="auto"/>
        <w:rPr>
          <w:rFonts w:ascii="宋体" w:hAnsi="宋体"/>
          <w:b/>
          <w:szCs w:val="21"/>
        </w:rPr>
      </w:pPr>
      <w:r>
        <w:rPr>
          <w:rFonts w:ascii="宋体" w:hAnsi="宋体"/>
          <w:b/>
          <w:szCs w:val="21"/>
        </w:rPr>
        <w:t>4.3.</w:t>
      </w:r>
      <w:r>
        <w:rPr>
          <w:rFonts w:hint="eastAsia" w:ascii="宋体" w:hAnsi="宋体"/>
          <w:b/>
          <w:szCs w:val="21"/>
        </w:rPr>
        <w:t>3清算起始日</w:t>
      </w:r>
    </w:p>
    <w:p>
      <w:pPr>
        <w:pStyle w:val="24"/>
      </w:pPr>
      <w:r>
        <w:rPr>
          <w:rFonts w:hint="eastAsia"/>
        </w:rPr>
        <w:t>本基金的清算起始日为20</w:t>
      </w:r>
      <w:r>
        <w:t>2</w:t>
      </w:r>
      <w:r>
        <w:rPr>
          <w:rFonts w:hint="eastAsia"/>
          <w:lang w:val="en-US" w:eastAsia="zh-CN"/>
        </w:rPr>
        <w:t>3</w:t>
      </w:r>
      <w:r>
        <w:rPr>
          <w:rFonts w:hint="eastAsia"/>
        </w:rPr>
        <w:t>年5月</w:t>
      </w:r>
      <w:r>
        <w:rPr>
          <w:rFonts w:hint="eastAsia"/>
          <w:lang w:val="en-US" w:eastAsia="zh-CN"/>
        </w:rPr>
        <w:t>22</w:t>
      </w:r>
      <w:r>
        <w:rPr>
          <w:rFonts w:hint="eastAsia"/>
        </w:rPr>
        <w:t>日。</w:t>
      </w:r>
    </w:p>
    <w:p>
      <w:pPr>
        <w:spacing w:line="360" w:lineRule="auto"/>
        <w:rPr>
          <w:rFonts w:ascii="宋体" w:hAnsi="宋体"/>
          <w:b/>
          <w:szCs w:val="21"/>
        </w:rPr>
      </w:pPr>
      <w:r>
        <w:rPr>
          <w:rFonts w:ascii="宋体" w:hAnsi="宋体"/>
          <w:b/>
          <w:szCs w:val="21"/>
        </w:rPr>
        <w:t>4.3.</w:t>
      </w:r>
      <w:r>
        <w:rPr>
          <w:rFonts w:hint="eastAsia" w:ascii="宋体" w:hAnsi="宋体"/>
          <w:b/>
          <w:szCs w:val="21"/>
        </w:rPr>
        <w:t>4清算财务报表的编制基础</w:t>
      </w:r>
    </w:p>
    <w:p>
      <w:pPr>
        <w:spacing w:line="360"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如财务报表附注</w:t>
      </w:r>
      <w:r>
        <w:rPr>
          <w:rFonts w:asciiTheme="minorEastAsia" w:hAnsiTheme="minorEastAsia" w:eastAsiaTheme="minorEastAsia"/>
          <w:color w:val="000000"/>
          <w:szCs w:val="21"/>
        </w:rPr>
        <w:t>4.3.3</w:t>
      </w:r>
      <w:r>
        <w:rPr>
          <w:rFonts w:hint="eastAsia" w:asciiTheme="minorEastAsia" w:hAnsiTheme="minorEastAsia" w:eastAsiaTheme="minorEastAsia"/>
          <w:color w:val="000000"/>
          <w:szCs w:val="21"/>
        </w:rPr>
        <w:t>所述，自202</w:t>
      </w:r>
      <w:r>
        <w:rPr>
          <w:rFonts w:hint="eastAsia" w:asciiTheme="minorEastAsia" w:hAnsiTheme="minorEastAsia" w:eastAsiaTheme="minorEastAsia"/>
          <w:color w:val="000000"/>
          <w:szCs w:val="21"/>
          <w:lang w:val="en-US" w:eastAsia="zh-CN"/>
        </w:rPr>
        <w:t>3</w:t>
      </w:r>
      <w:r>
        <w:rPr>
          <w:rFonts w:hint="eastAsia" w:asciiTheme="minorEastAsia" w:hAnsiTheme="minorEastAsia" w:eastAsiaTheme="minorEastAsia"/>
          <w:color w:val="000000"/>
          <w:szCs w:val="21"/>
        </w:rPr>
        <w:t>年5月</w:t>
      </w:r>
      <w:r>
        <w:rPr>
          <w:rFonts w:hint="eastAsia" w:asciiTheme="minorEastAsia" w:hAnsiTheme="minorEastAsia" w:eastAsiaTheme="minorEastAsia"/>
          <w:color w:val="000000"/>
          <w:szCs w:val="21"/>
          <w:lang w:val="en-US" w:eastAsia="zh-CN"/>
        </w:rPr>
        <w:t>22</w:t>
      </w:r>
      <w:r>
        <w:rPr>
          <w:rFonts w:hint="eastAsia" w:asciiTheme="minorEastAsia" w:hAnsiTheme="minorEastAsia" w:eastAsiaTheme="minorEastAsia"/>
          <w:color w:val="000000"/>
          <w:szCs w:val="21"/>
        </w:rPr>
        <w:t>日起，本基金进入清算程序，因此本财务报表以清算基础编制。</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本基金财务报表按附注</w:t>
      </w:r>
      <w:r>
        <w:rPr>
          <w:rFonts w:hint="eastAsia" w:asciiTheme="minorEastAsia" w:hAnsiTheme="minorEastAsia" w:eastAsiaTheme="minorEastAsia"/>
          <w:color w:val="000000"/>
          <w:szCs w:val="21"/>
        </w:rPr>
        <w:t>4.3.5</w:t>
      </w:r>
      <w:r>
        <w:rPr>
          <w:rFonts w:asciiTheme="minorEastAsia" w:hAnsiTheme="minorEastAsia" w:eastAsiaTheme="minorEastAsia"/>
          <w:color w:val="000000"/>
          <w:szCs w:val="21"/>
        </w:rPr>
        <w:t>中所述的</w:t>
      </w:r>
      <w:r>
        <w:rPr>
          <w:rFonts w:hint="eastAsia" w:asciiTheme="minorEastAsia" w:hAnsiTheme="minorEastAsia" w:eastAsiaTheme="minorEastAsia"/>
          <w:color w:val="000000"/>
          <w:szCs w:val="21"/>
        </w:rPr>
        <w:t>重要</w:t>
      </w:r>
      <w:r>
        <w:rPr>
          <w:rFonts w:asciiTheme="minorEastAsia" w:hAnsiTheme="minorEastAsia" w:eastAsiaTheme="minorEastAsia"/>
          <w:color w:val="000000"/>
          <w:szCs w:val="21"/>
        </w:rPr>
        <w:t>会计政策和会计估计以清算基础编制。于202</w:t>
      </w:r>
      <w:r>
        <w:rPr>
          <w:rFonts w:hint="eastAsia" w:asciiTheme="minorEastAsia" w:hAnsiTheme="minorEastAsia" w:eastAsiaTheme="minorEastAsia"/>
          <w:color w:val="000000"/>
          <w:szCs w:val="21"/>
          <w:lang w:val="en-US" w:eastAsia="zh-CN"/>
        </w:rPr>
        <w:t>3</w:t>
      </w:r>
      <w:r>
        <w:rPr>
          <w:rFonts w:asciiTheme="minorEastAsia" w:hAnsiTheme="minorEastAsia" w:eastAsiaTheme="minorEastAsia"/>
          <w:color w:val="000000"/>
          <w:szCs w:val="21"/>
        </w:rPr>
        <w:t>年</w:t>
      </w:r>
      <w:r>
        <w:rPr>
          <w:rFonts w:hint="eastAsia" w:asciiTheme="minorEastAsia" w:hAnsiTheme="minorEastAsia" w:eastAsiaTheme="minorEastAsia"/>
          <w:color w:val="000000"/>
          <w:szCs w:val="21"/>
        </w:rPr>
        <w:t>5</w:t>
      </w:r>
      <w:r>
        <w:rPr>
          <w:rFonts w:asciiTheme="minorEastAsia" w:hAnsiTheme="minorEastAsia" w:eastAsiaTheme="minorEastAsia"/>
          <w:color w:val="000000"/>
          <w:szCs w:val="21"/>
        </w:rPr>
        <w:t>月</w:t>
      </w:r>
      <w:r>
        <w:rPr>
          <w:rFonts w:hint="eastAsia" w:asciiTheme="minorEastAsia" w:hAnsiTheme="minorEastAsia" w:eastAsiaTheme="minorEastAsia"/>
          <w:color w:val="000000"/>
          <w:szCs w:val="21"/>
          <w:lang w:val="en-US" w:eastAsia="zh-CN"/>
        </w:rPr>
        <w:t>19</w:t>
      </w:r>
      <w:r>
        <w:rPr>
          <w:rFonts w:asciiTheme="minorEastAsia" w:hAnsiTheme="minorEastAsia" w:eastAsiaTheme="minorEastAsia"/>
          <w:color w:val="000000"/>
          <w:szCs w:val="21"/>
        </w:rPr>
        <w:t>日(</w:t>
      </w:r>
      <w:r>
        <w:rPr>
          <w:rFonts w:hint="eastAsia" w:asciiTheme="minorEastAsia" w:hAnsiTheme="minorEastAsia" w:eastAsiaTheme="minorEastAsia"/>
          <w:color w:val="000000"/>
          <w:szCs w:val="21"/>
        </w:rPr>
        <w:t>基金最后运作日</w:t>
      </w:r>
      <w:r>
        <w:rPr>
          <w:rFonts w:asciiTheme="minorEastAsia" w:hAnsiTheme="minorEastAsia" w:eastAsiaTheme="minorEastAsia"/>
          <w:color w:val="000000"/>
          <w:szCs w:val="21"/>
        </w:rPr>
        <w:t>)，所有资产以可收回金额与原账面价值孰低计量，负债以预计需要清偿的金额计量。</w:t>
      </w:r>
    </w:p>
    <w:p>
      <w:pPr>
        <w:spacing w:line="360"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此外，本基金财务报表按照中国证券投资基金业协会(以下简称“中国基金业协会”)颁布的《证券投资基金会计核算业务指引》、《基金合同》约定的资产估值和会计核算方法及在财务报表附注</w:t>
      </w:r>
      <w:r>
        <w:rPr>
          <w:rFonts w:hint="eastAsia" w:asciiTheme="minorEastAsia" w:hAnsiTheme="minorEastAsia" w:eastAsiaTheme="minorEastAsia"/>
          <w:color w:val="000000"/>
          <w:szCs w:val="21"/>
          <w:lang w:val="en-US" w:eastAsia="zh-CN"/>
        </w:rPr>
        <w:t>4.</w:t>
      </w:r>
      <w:r>
        <w:rPr>
          <w:rFonts w:hint="eastAsia" w:asciiTheme="minorEastAsia" w:hAnsiTheme="minorEastAsia" w:eastAsiaTheme="minorEastAsia"/>
          <w:color w:val="000000"/>
          <w:szCs w:val="21"/>
        </w:rPr>
        <w:t>3所列示的中国证监会、中国基金业协会发布的有关规定及允许的基金行业实务操作编制。</w:t>
      </w:r>
    </w:p>
    <w:p>
      <w:pPr>
        <w:spacing w:line="360" w:lineRule="auto"/>
        <w:rPr>
          <w:rFonts w:ascii="宋体" w:hAnsi="宋体"/>
          <w:b/>
          <w:szCs w:val="21"/>
        </w:rPr>
      </w:pPr>
      <w:r>
        <w:rPr>
          <w:rFonts w:ascii="宋体" w:hAnsi="宋体"/>
          <w:b/>
          <w:szCs w:val="21"/>
        </w:rPr>
        <w:t>4.3.</w:t>
      </w:r>
      <w:r>
        <w:rPr>
          <w:rFonts w:hint="eastAsia" w:ascii="宋体" w:hAnsi="宋体"/>
          <w:b/>
          <w:szCs w:val="21"/>
        </w:rPr>
        <w:t>5 重要会计政策和会计估计</w:t>
      </w:r>
    </w:p>
    <w:p>
      <w:pPr>
        <w:spacing w:line="360" w:lineRule="auto"/>
        <w:rPr>
          <w:rFonts w:ascii="宋体" w:hAnsi="宋体"/>
          <w:b/>
          <w:szCs w:val="21"/>
        </w:rPr>
      </w:pPr>
      <w:r>
        <w:rPr>
          <w:rFonts w:ascii="宋体" w:hAnsi="宋体"/>
          <w:b/>
          <w:szCs w:val="21"/>
        </w:rPr>
        <w:t>4.3.</w:t>
      </w:r>
      <w:r>
        <w:rPr>
          <w:rFonts w:hint="eastAsia" w:ascii="宋体" w:hAnsi="宋体"/>
          <w:b/>
          <w:szCs w:val="21"/>
        </w:rPr>
        <w:t>5</w:t>
      </w:r>
      <w:r>
        <w:rPr>
          <w:rFonts w:ascii="宋体" w:hAnsi="宋体"/>
          <w:b/>
          <w:szCs w:val="21"/>
        </w:rPr>
        <w:t>.</w:t>
      </w:r>
      <w:r>
        <w:rPr>
          <w:rFonts w:hint="eastAsia" w:ascii="宋体" w:hAnsi="宋体"/>
          <w:b/>
          <w:szCs w:val="21"/>
        </w:rPr>
        <w:t>1清算期间</w:t>
      </w:r>
    </w:p>
    <w:p>
      <w:pPr>
        <w:spacing w:line="360" w:lineRule="auto"/>
        <w:ind w:firstLine="420" w:firstLineChars="200"/>
        <w:rPr>
          <w:rFonts w:ascii="宋体" w:hAnsi="宋体"/>
          <w:color w:val="000000"/>
          <w:szCs w:val="21"/>
        </w:rPr>
      </w:pPr>
      <w:r>
        <w:rPr>
          <w:rFonts w:hint="eastAsia" w:ascii="宋体" w:hAnsi="宋体"/>
          <w:color w:val="000000"/>
          <w:szCs w:val="21"/>
        </w:rPr>
        <w:t>本清算期间为202</w:t>
      </w:r>
      <w:r>
        <w:rPr>
          <w:rFonts w:hint="eastAsia" w:ascii="宋体" w:hAnsi="宋体"/>
          <w:color w:val="000000"/>
          <w:szCs w:val="21"/>
          <w:lang w:val="en-US" w:eastAsia="zh-CN"/>
        </w:rPr>
        <w:t>3</w:t>
      </w:r>
      <w:r>
        <w:rPr>
          <w:rFonts w:hint="eastAsia" w:ascii="宋体" w:hAnsi="宋体"/>
          <w:color w:val="000000"/>
          <w:szCs w:val="21"/>
        </w:rPr>
        <w:t>年5月</w:t>
      </w:r>
      <w:r>
        <w:rPr>
          <w:rFonts w:hint="eastAsia" w:ascii="宋体" w:hAnsi="宋体"/>
          <w:color w:val="000000"/>
          <w:szCs w:val="21"/>
          <w:lang w:val="en-US" w:eastAsia="zh-CN"/>
        </w:rPr>
        <w:t>22</w:t>
      </w:r>
      <w:r>
        <w:rPr>
          <w:rFonts w:hint="eastAsia" w:ascii="宋体" w:hAnsi="宋体"/>
          <w:color w:val="000000"/>
          <w:szCs w:val="21"/>
        </w:rPr>
        <w:t>日至202</w:t>
      </w:r>
      <w:r>
        <w:rPr>
          <w:rFonts w:hint="eastAsia" w:ascii="宋体" w:hAnsi="宋体"/>
          <w:color w:val="000000"/>
          <w:szCs w:val="21"/>
          <w:lang w:val="en-US" w:eastAsia="zh-CN"/>
        </w:rPr>
        <w:t>3</w:t>
      </w:r>
      <w:r>
        <w:rPr>
          <w:rFonts w:hint="eastAsia" w:ascii="宋体" w:hAnsi="宋体"/>
          <w:color w:val="000000"/>
          <w:szCs w:val="21"/>
        </w:rPr>
        <w:t>年6月</w:t>
      </w:r>
      <w:r>
        <w:rPr>
          <w:rFonts w:hint="eastAsia" w:ascii="宋体" w:hAnsi="宋体"/>
          <w:color w:val="000000"/>
          <w:szCs w:val="21"/>
          <w:lang w:val="en-US" w:eastAsia="zh-CN"/>
        </w:rPr>
        <w:t>15</w:t>
      </w:r>
      <w:r>
        <w:rPr>
          <w:rFonts w:hint="eastAsia" w:ascii="宋体" w:hAnsi="宋体"/>
          <w:color w:val="000000"/>
          <w:szCs w:val="21"/>
        </w:rPr>
        <w:t>日。</w:t>
      </w:r>
    </w:p>
    <w:p>
      <w:pPr>
        <w:spacing w:line="360" w:lineRule="auto"/>
        <w:rPr>
          <w:rFonts w:ascii="宋体" w:hAnsi="宋体"/>
          <w:b/>
          <w:szCs w:val="21"/>
        </w:rPr>
      </w:pPr>
      <w:r>
        <w:rPr>
          <w:rFonts w:ascii="宋体" w:hAnsi="宋体"/>
          <w:b/>
          <w:szCs w:val="21"/>
        </w:rPr>
        <w:t>4.3.</w:t>
      </w:r>
      <w:r>
        <w:rPr>
          <w:rFonts w:hint="eastAsia" w:ascii="宋体" w:hAnsi="宋体"/>
          <w:b/>
          <w:szCs w:val="21"/>
        </w:rPr>
        <w:t>5</w:t>
      </w:r>
      <w:r>
        <w:rPr>
          <w:rFonts w:ascii="宋体" w:hAnsi="宋体"/>
          <w:b/>
          <w:szCs w:val="21"/>
        </w:rPr>
        <w:t>.2 记账本位币</w:t>
      </w:r>
    </w:p>
    <w:p>
      <w:pPr>
        <w:spacing w:line="360" w:lineRule="auto"/>
        <w:ind w:firstLine="420" w:firstLineChars="200"/>
        <w:rPr>
          <w:rFonts w:ascii="宋体" w:hAnsi="宋体"/>
          <w:color w:val="000000"/>
          <w:szCs w:val="21"/>
        </w:rPr>
      </w:pPr>
      <w:r>
        <w:rPr>
          <w:rFonts w:hint="eastAsia" w:ascii="宋体" w:hAnsi="宋体"/>
          <w:color w:val="000000"/>
          <w:szCs w:val="21"/>
        </w:rPr>
        <w:t>本清算财务报表以人民币为记账本位。</w:t>
      </w:r>
    </w:p>
    <w:p>
      <w:pPr>
        <w:spacing w:line="360" w:lineRule="auto"/>
        <w:rPr>
          <w:rFonts w:ascii="宋体" w:hAnsi="宋体"/>
          <w:b/>
          <w:szCs w:val="21"/>
        </w:rPr>
      </w:pPr>
      <w:r>
        <w:rPr>
          <w:rFonts w:ascii="宋体" w:hAnsi="宋体"/>
          <w:b/>
          <w:szCs w:val="21"/>
        </w:rPr>
        <w:t>4.3.</w:t>
      </w:r>
      <w:r>
        <w:rPr>
          <w:rFonts w:hint="eastAsia" w:ascii="宋体" w:hAnsi="宋体"/>
          <w:b/>
          <w:szCs w:val="21"/>
        </w:rPr>
        <w:t>5</w:t>
      </w:r>
      <w:r>
        <w:rPr>
          <w:rFonts w:ascii="宋体" w:hAnsi="宋体"/>
          <w:b/>
          <w:szCs w:val="21"/>
        </w:rPr>
        <w:t>.</w:t>
      </w:r>
      <w:r>
        <w:rPr>
          <w:rFonts w:hint="eastAsia" w:ascii="宋体" w:hAnsi="宋体"/>
          <w:b/>
          <w:szCs w:val="21"/>
        </w:rPr>
        <w:t>3</w:t>
      </w:r>
      <w:r>
        <w:rPr>
          <w:rFonts w:ascii="宋体" w:hAnsi="宋体"/>
          <w:b/>
          <w:szCs w:val="21"/>
        </w:rPr>
        <w:t xml:space="preserve"> </w:t>
      </w:r>
      <w:r>
        <w:rPr>
          <w:rFonts w:hint="eastAsia" w:ascii="宋体" w:hAnsi="宋体"/>
          <w:b/>
          <w:szCs w:val="21"/>
        </w:rPr>
        <w:t xml:space="preserve">应收利息的确认和计量 </w:t>
      </w:r>
    </w:p>
    <w:p>
      <w:pPr>
        <w:spacing w:line="360" w:lineRule="auto"/>
        <w:ind w:firstLine="420" w:firstLineChars="200"/>
        <w:rPr>
          <w:rFonts w:ascii="宋体" w:hAnsi="宋体"/>
          <w:color w:val="000000"/>
          <w:szCs w:val="21"/>
        </w:rPr>
      </w:pPr>
      <w:r>
        <w:rPr>
          <w:rFonts w:ascii="宋体" w:hAnsi="宋体"/>
          <w:color w:val="000000"/>
          <w:szCs w:val="21"/>
        </w:rPr>
        <w:t>应收款项按照未来应收取的款项金额计量。</w:t>
      </w:r>
    </w:p>
    <w:p>
      <w:pPr>
        <w:spacing w:line="360" w:lineRule="auto"/>
        <w:rPr>
          <w:rFonts w:ascii="宋体" w:hAnsi="宋体"/>
          <w:b/>
          <w:szCs w:val="21"/>
        </w:rPr>
      </w:pPr>
      <w:r>
        <w:rPr>
          <w:rFonts w:ascii="宋体" w:hAnsi="宋体"/>
          <w:b/>
          <w:szCs w:val="21"/>
        </w:rPr>
        <w:t>4.3.</w:t>
      </w:r>
      <w:r>
        <w:rPr>
          <w:rFonts w:hint="eastAsia" w:ascii="宋体" w:hAnsi="宋体"/>
          <w:b/>
          <w:szCs w:val="21"/>
        </w:rPr>
        <w:t>5</w:t>
      </w:r>
      <w:r>
        <w:rPr>
          <w:rFonts w:ascii="宋体" w:hAnsi="宋体"/>
          <w:b/>
          <w:szCs w:val="21"/>
        </w:rPr>
        <w:t>.</w:t>
      </w:r>
      <w:r>
        <w:rPr>
          <w:rFonts w:hint="eastAsia" w:ascii="宋体" w:hAnsi="宋体"/>
          <w:b/>
          <w:szCs w:val="21"/>
        </w:rPr>
        <w:t>4</w:t>
      </w:r>
      <w:r>
        <w:rPr>
          <w:rFonts w:ascii="宋体" w:hAnsi="宋体"/>
          <w:b/>
          <w:szCs w:val="21"/>
        </w:rPr>
        <w:t xml:space="preserve"> </w:t>
      </w:r>
      <w:r>
        <w:rPr>
          <w:rFonts w:hint="eastAsia" w:ascii="宋体" w:hAnsi="宋体"/>
          <w:b/>
          <w:szCs w:val="21"/>
        </w:rPr>
        <w:t xml:space="preserve">应付款项的确认和计量 </w:t>
      </w:r>
    </w:p>
    <w:p>
      <w:pPr>
        <w:spacing w:line="360" w:lineRule="auto"/>
        <w:ind w:firstLine="420" w:firstLineChars="200"/>
        <w:rPr>
          <w:rFonts w:ascii="宋体" w:hAnsi="宋体"/>
          <w:color w:val="000000"/>
          <w:szCs w:val="21"/>
        </w:rPr>
      </w:pPr>
      <w:r>
        <w:rPr>
          <w:rFonts w:ascii="宋体" w:hAnsi="宋体"/>
          <w:color w:val="000000"/>
          <w:szCs w:val="21"/>
        </w:rPr>
        <w:t>应付款项按照未来应支付的款项金额计量。</w:t>
      </w:r>
    </w:p>
    <w:p>
      <w:pPr>
        <w:spacing w:line="360" w:lineRule="auto"/>
        <w:rPr>
          <w:rFonts w:ascii="宋体" w:hAnsi="宋体"/>
          <w:b/>
          <w:szCs w:val="21"/>
        </w:rPr>
      </w:pPr>
      <w:r>
        <w:rPr>
          <w:rFonts w:ascii="宋体" w:hAnsi="宋体"/>
          <w:b/>
          <w:szCs w:val="21"/>
        </w:rPr>
        <w:t>4.3.</w:t>
      </w:r>
      <w:r>
        <w:rPr>
          <w:rFonts w:hint="eastAsia" w:ascii="宋体" w:hAnsi="宋体"/>
          <w:b/>
          <w:szCs w:val="21"/>
        </w:rPr>
        <w:t>5</w:t>
      </w:r>
      <w:r>
        <w:rPr>
          <w:rFonts w:ascii="宋体" w:hAnsi="宋体"/>
          <w:b/>
          <w:szCs w:val="21"/>
        </w:rPr>
        <w:t>.</w:t>
      </w:r>
      <w:r>
        <w:rPr>
          <w:rFonts w:hint="eastAsia" w:ascii="宋体" w:hAnsi="宋体"/>
          <w:b/>
          <w:szCs w:val="21"/>
        </w:rPr>
        <w:t>5</w:t>
      </w:r>
      <w:r>
        <w:rPr>
          <w:rFonts w:ascii="宋体" w:hAnsi="宋体"/>
          <w:b/>
          <w:szCs w:val="21"/>
        </w:rPr>
        <w:t xml:space="preserve"> </w:t>
      </w:r>
      <w:r>
        <w:rPr>
          <w:rFonts w:hint="eastAsia" w:ascii="宋体" w:hAnsi="宋体"/>
          <w:b/>
          <w:szCs w:val="21"/>
        </w:rPr>
        <w:t xml:space="preserve">清算收益的确认和计量 </w:t>
      </w:r>
    </w:p>
    <w:p>
      <w:pPr>
        <w:spacing w:line="360" w:lineRule="auto"/>
        <w:ind w:firstLine="420" w:firstLineChars="200"/>
        <w:rPr>
          <w:rFonts w:ascii="宋体" w:hAnsi="宋体"/>
          <w:color w:val="000000"/>
          <w:szCs w:val="21"/>
        </w:rPr>
      </w:pPr>
      <w:r>
        <w:rPr>
          <w:rFonts w:ascii="宋体" w:hAnsi="宋体"/>
          <w:color w:val="000000"/>
          <w:szCs w:val="21"/>
        </w:rPr>
        <w:t>清算收益按照实际发生的收益金额或未来应收取的款项金额计量。</w:t>
      </w:r>
    </w:p>
    <w:p>
      <w:pPr>
        <w:spacing w:line="360" w:lineRule="auto"/>
        <w:rPr>
          <w:rFonts w:ascii="宋体" w:hAnsi="宋体"/>
          <w:b/>
          <w:szCs w:val="21"/>
        </w:rPr>
      </w:pPr>
      <w:r>
        <w:rPr>
          <w:rFonts w:ascii="宋体" w:hAnsi="宋体"/>
          <w:b/>
          <w:szCs w:val="21"/>
        </w:rPr>
        <w:t>4.3.</w:t>
      </w:r>
      <w:r>
        <w:rPr>
          <w:rFonts w:hint="eastAsia" w:ascii="宋体" w:hAnsi="宋体"/>
          <w:b/>
          <w:szCs w:val="21"/>
        </w:rPr>
        <w:t>5</w:t>
      </w:r>
      <w:r>
        <w:rPr>
          <w:rFonts w:ascii="宋体" w:hAnsi="宋体"/>
          <w:b/>
          <w:szCs w:val="21"/>
        </w:rPr>
        <w:t>.6</w:t>
      </w:r>
      <w:r>
        <w:rPr>
          <w:rFonts w:hint="eastAsia" w:ascii="宋体" w:hAnsi="宋体"/>
          <w:b/>
          <w:szCs w:val="21"/>
        </w:rPr>
        <w:t xml:space="preserve">清算费用的确认和计量 </w:t>
      </w:r>
    </w:p>
    <w:p>
      <w:pPr>
        <w:spacing w:line="360" w:lineRule="auto"/>
        <w:ind w:firstLine="420" w:firstLineChars="200"/>
        <w:rPr>
          <w:rFonts w:ascii="宋体" w:hAnsi="宋体"/>
          <w:color w:val="000000"/>
          <w:szCs w:val="21"/>
        </w:rPr>
      </w:pPr>
      <w:r>
        <w:rPr>
          <w:rFonts w:ascii="宋体" w:hAnsi="宋体"/>
          <w:color w:val="000000"/>
          <w:szCs w:val="21"/>
        </w:rPr>
        <w:t>清算费用按照实际发生的费用金额或未来应支付的款项金额计量。</w:t>
      </w:r>
    </w:p>
    <w:p>
      <w:pPr>
        <w:spacing w:line="360" w:lineRule="auto"/>
        <w:rPr>
          <w:rFonts w:ascii="宋体" w:hAnsi="宋体"/>
          <w:b/>
          <w:szCs w:val="21"/>
        </w:rPr>
      </w:pPr>
      <w:r>
        <w:rPr>
          <w:rFonts w:ascii="宋体" w:hAnsi="宋体"/>
          <w:b/>
          <w:szCs w:val="21"/>
        </w:rPr>
        <w:t>4.3.</w:t>
      </w:r>
      <w:r>
        <w:rPr>
          <w:rFonts w:hint="eastAsia" w:ascii="宋体" w:hAnsi="宋体"/>
          <w:b/>
          <w:szCs w:val="21"/>
        </w:rPr>
        <w:t>6 税项</w:t>
      </w:r>
    </w:p>
    <w:p>
      <w:pPr>
        <w:pStyle w:val="24"/>
      </w:pPr>
      <w:r>
        <w:rPr>
          <w:rFonts w:hint="eastAsia"/>
        </w:rPr>
        <w:t>根据财政部、国家税务总局财税[2002]128号《关于开放式证券投资基金有关税收问题的通知》、财税[2008]1号《关于企业所得税若干优惠政策的通知》、财税[2012]85号《关于实施上市公司股息红利差别化个人所得税政策有关问题的通知》、财税[2014]81号《财政部国家税务总局证监会关于沪港股票市场交易互联互通机制试点有关税收政策的通知》、财税[2015]101号《关于上市公司股息红利差别化个人所得税政策有关问题的通知》、财税[2016]36号《关于全面推开营业税改征增值税试点的通知》、财税[2016]46号《关于进一步明确全面推开营改增试点金融业有关政策的通知》、财税[2016]70号《关于金融机构同业往来等增值税政策的补充通知》、财税[2016]127号《财政部国家税务总局证监会关于深港股票市场交易互联互通机制试点有关税收政策的通知》、财税[2016]140号《关于明确金融</w:t>
      </w:r>
      <w:r>
        <w:rPr>
          <w:rFonts w:hint="eastAsia"/>
          <w:lang w:eastAsia="zh-CN"/>
        </w:rPr>
        <w:t>、</w:t>
      </w:r>
      <w:r>
        <w:rPr>
          <w:rFonts w:hint="eastAsia"/>
        </w:rPr>
        <w:t>房地产开发</w:t>
      </w:r>
      <w:r>
        <w:rPr>
          <w:rFonts w:hint="eastAsia"/>
          <w:lang w:eastAsia="zh-CN"/>
        </w:rPr>
        <w:t>、</w:t>
      </w:r>
      <w:r>
        <w:rPr>
          <w:rFonts w:hint="eastAsia"/>
        </w:rPr>
        <w:t>教育辅助服务等增值税政策的通知》、财税[2017]2号《关于资管产品增值税政策有关问题的补充通知》、财税[2017]56号《关于资管产品增值税有关问题的通知》、财税[2017]90号《关于租入固定资产进项税额抵扣等增值税政策的通知》及其他相关财税法规和实务操作，主要税项列示如下：</w:t>
      </w:r>
    </w:p>
    <w:p>
      <w:pPr>
        <w:pStyle w:val="24"/>
      </w:pPr>
      <w:r>
        <w:rPr>
          <w:rFonts w:hint="eastAsia"/>
        </w:rPr>
        <w:t>(1)资管产品运营过程中发生的增值税应税行为，以资管产品管理人为增值税纳税人。资管产品管理人运营资管产品过程中发生的增值税应税行为，暂适用简易计税方法，按照3%的征收率缴纳增值税。对资管产品在2018年1月1日前运营过程中发生的增值税应税行为，未缴纳增值税的，不再缴纳；已缴纳增值税的，已纳税额从资管产品管理人以后月份的增值税应纳税额中抵减。</w:t>
      </w:r>
    </w:p>
    <w:p>
      <w:pPr>
        <w:pStyle w:val="24"/>
      </w:pPr>
      <w:r>
        <w:rPr>
          <w:rFonts w:hint="eastAsia"/>
        </w:rPr>
        <w:t>对证券投资基金管理人运用基金买卖股票、债券的转让收入免征增值税，对国债、地方政府债以及金融同业往来利息收入亦免征增值税。资管产品管理人运营资管产品提供的贷款服务，以2018年1月1日起产生的利息及利息性质的收入为销售额。资管产品管理人运营资管产品转让2017年12月31日前取得的基金、非货物期货，可以选择按照实际买入价计算销售额，或者以2017年最后一个交易日的基金份额净值、非货物期货结算价格作为买入价计算销售额。</w:t>
      </w:r>
    </w:p>
    <w:p>
      <w:pPr>
        <w:pStyle w:val="24"/>
      </w:pPr>
      <w:r>
        <w:rPr>
          <w:rFonts w:hint="eastAsia"/>
        </w:rPr>
        <w:t>(2)对基金从证券市场中取得的收入，包括买卖股票、债券的差价收入，股票的股息、红利收入，债券的利息收入及其他收入，暂不征收企业所得税。</w:t>
      </w:r>
    </w:p>
    <w:p>
      <w:pPr>
        <w:pStyle w:val="24"/>
      </w:pPr>
      <w:r>
        <w:rPr>
          <w:rFonts w:hint="eastAsia"/>
        </w:rPr>
        <w:t>(3)对基金取得的企业债券利息收入，应由发行债券的企业在向基金支付利息时代扣代缴20%的个人所得税。对基金从上市公司取得的股息红利所得，持股期限在1个月以内(含1个月)的，其股息红利所得全额计入应纳税所得额；持股期限在1个月以上至1年(含1年)的，暂减按50%计入应纳税所得额；持股期限超过1年的，暂免征收个人所得税。对基金持有的上市公司限售股，解禁后取得的股息、红利收入，按照上述规定计算纳税，持股时间自解禁日起计算；解禁前取得的股息、红利收入继续暂减按50%计入应纳税所得额。上述所得统一适用20%的税率计征个人所得税。</w:t>
      </w:r>
    </w:p>
    <w:p>
      <w:pPr>
        <w:pStyle w:val="24"/>
      </w:pPr>
      <w:r>
        <w:rPr>
          <w:rFonts w:hint="eastAsia"/>
        </w:rPr>
        <w:t>对基金通过沪港通/深港通投资香港联交所上市H股取得的股息红利，H股公司应向中国证券登记结算有限责任公司(以下简称“中国结算”)提出申请，由中国结算向H股公司提供内地个人投资者名册，H股公司按照20%的税率代扣个人所得税。基金通过沪港通/深港通投资香港联交所上市的非H股取得的股息红利，由中国结算按照20%的税率代扣个人所得税。</w:t>
      </w:r>
    </w:p>
    <w:p>
      <w:pPr>
        <w:pStyle w:val="24"/>
      </w:pPr>
      <w:r>
        <w:rPr>
          <w:rFonts w:hint="eastAsia"/>
        </w:rPr>
        <w:t>(4)基金卖出股票按0.1%的税率缴纳股票交易印花税，买入股票不征收股票交易印花税。</w:t>
      </w:r>
    </w:p>
    <w:p>
      <w:pPr>
        <w:pStyle w:val="24"/>
      </w:pPr>
      <w:r>
        <w:rPr>
          <w:rFonts w:hint="eastAsia"/>
        </w:rPr>
        <w:t>基金通过沪港通/深港通买卖、继承、赠与联交所上市股票，按照香港特别行政区现行税法规定缴纳印花税。</w:t>
      </w:r>
    </w:p>
    <w:p>
      <w:pPr>
        <w:pStyle w:val="24"/>
      </w:pPr>
      <w:r>
        <w:rPr>
          <w:rFonts w:hint="eastAsia"/>
        </w:rPr>
        <w:t>(5)本基金的城市维护建设税、教育费附加和地方教育附加等税费按照实际缴纳增值税额的适用比例计算缴纳。</w:t>
      </w:r>
    </w:p>
    <w:p>
      <w:pPr>
        <w:pStyle w:val="2"/>
        <w:keepNext/>
        <w:keepLines/>
        <w:widowControl w:val="0"/>
        <w:spacing w:before="312" w:beforeLines="100" w:after="312" w:afterLines="100" w:line="360" w:lineRule="auto"/>
        <w:jc w:val="center"/>
        <w:rPr>
          <w:rStyle w:val="20"/>
          <w:rFonts w:ascii="宋体" w:hAnsi="宋体"/>
        </w:rPr>
      </w:pPr>
      <w:bookmarkStart w:id="48" w:name="_Toc491963087"/>
      <w:bookmarkStart w:id="49" w:name="_Toc484769809"/>
      <w:r>
        <w:rPr>
          <w:rStyle w:val="20"/>
          <w:rFonts w:hint="eastAsia" w:ascii="宋体" w:hAnsi="宋体"/>
        </w:rPr>
        <w:t>5、清算情况</w:t>
      </w:r>
      <w:bookmarkEnd w:id="48"/>
    </w:p>
    <w:p>
      <w:pPr>
        <w:pStyle w:val="3"/>
        <w:spacing w:before="0" w:after="0"/>
        <w:rPr>
          <w:rFonts w:ascii="宋体" w:hAnsi="宋体" w:eastAsia="宋体"/>
          <w:kern w:val="0"/>
          <w:sz w:val="21"/>
          <w:szCs w:val="21"/>
        </w:rPr>
      </w:pPr>
      <w:bookmarkStart w:id="50" w:name="_Toc491963088"/>
      <w:r>
        <w:rPr>
          <w:rFonts w:hint="eastAsia" w:ascii="宋体" w:hAnsi="宋体" w:eastAsia="宋体"/>
          <w:kern w:val="0"/>
          <w:sz w:val="21"/>
          <w:szCs w:val="21"/>
        </w:rPr>
        <w:t>5.1 资产负债清算情况</w:t>
      </w:r>
      <w:bookmarkEnd w:id="50"/>
    </w:p>
    <w:p>
      <w:pPr>
        <w:pStyle w:val="24"/>
      </w:pPr>
      <w:r>
        <w:rPr>
          <w:rFonts w:hint="eastAsia"/>
        </w:rPr>
        <w:t>自202</w:t>
      </w:r>
      <w:r>
        <w:rPr>
          <w:rFonts w:hint="eastAsia"/>
          <w:lang w:val="en-US" w:eastAsia="zh-CN"/>
        </w:rPr>
        <w:t>3</w:t>
      </w:r>
      <w:r>
        <w:rPr>
          <w:rFonts w:hint="eastAsia"/>
        </w:rPr>
        <w:t>年5月</w:t>
      </w:r>
      <w:r>
        <w:rPr>
          <w:rFonts w:hint="eastAsia"/>
          <w:lang w:val="en-US" w:eastAsia="zh-CN"/>
        </w:rPr>
        <w:t>22</w:t>
      </w:r>
      <w:r>
        <w:rPr>
          <w:rFonts w:hint="eastAsia"/>
        </w:rPr>
        <w:t>日至202</w:t>
      </w:r>
      <w:r>
        <w:rPr>
          <w:rFonts w:hint="eastAsia"/>
          <w:lang w:val="en-US" w:eastAsia="zh-CN"/>
        </w:rPr>
        <w:t>3</w:t>
      </w:r>
      <w:r>
        <w:rPr>
          <w:rFonts w:hint="eastAsia"/>
        </w:rPr>
        <w:t>年6月</w:t>
      </w:r>
      <w:r>
        <w:rPr>
          <w:rFonts w:hint="eastAsia"/>
          <w:lang w:val="en-US" w:eastAsia="zh-CN"/>
        </w:rPr>
        <w:t>15</w:t>
      </w:r>
      <w:r>
        <w:rPr>
          <w:rFonts w:hint="eastAsia"/>
        </w:rPr>
        <w:t>日止为本次清算期间，基金财产清算小组对本基金的基金财产进行清算，全部清算工作按清算原则和清算手续进行。具体清算情况如下：</w:t>
      </w:r>
    </w:p>
    <w:p>
      <w:pPr>
        <w:pStyle w:val="24"/>
      </w:pPr>
      <w:r>
        <w:rPr>
          <w:rFonts w:hint="eastAsia"/>
        </w:rPr>
        <w:t>截至本次清算期结束日（202</w:t>
      </w:r>
      <w:r>
        <w:rPr>
          <w:rFonts w:hint="eastAsia"/>
          <w:lang w:val="en-US" w:eastAsia="zh-CN"/>
        </w:rPr>
        <w:t>3</w:t>
      </w:r>
      <w:r>
        <w:rPr>
          <w:rFonts w:hint="eastAsia"/>
        </w:rPr>
        <w:t>年6月</w:t>
      </w:r>
      <w:r>
        <w:rPr>
          <w:rFonts w:hint="eastAsia"/>
          <w:lang w:val="en-US" w:eastAsia="zh-CN"/>
        </w:rPr>
        <w:t>15</w:t>
      </w:r>
      <w:r>
        <w:rPr>
          <w:rFonts w:hint="eastAsia"/>
        </w:rPr>
        <w:t>日），各项资产负债清算情况如下：</w:t>
      </w:r>
    </w:p>
    <w:p>
      <w:pPr>
        <w:pStyle w:val="24"/>
      </w:pPr>
      <w:r>
        <w:rPr>
          <w:rFonts w:hint="eastAsia"/>
        </w:rPr>
        <w:t>1、本基金最后运作日上交所最低结算备付金为1010294.98元，</w:t>
      </w:r>
      <w:r>
        <w:rPr>
          <w:rFonts w:hint="eastAsia"/>
          <w:lang w:val="en-US" w:eastAsia="zh-CN"/>
        </w:rPr>
        <w:t>清算期结束日余额为889142.56</w:t>
      </w:r>
      <w:r>
        <w:rPr>
          <w:rFonts w:hint="eastAsia"/>
        </w:rPr>
        <w:t>元</w:t>
      </w:r>
      <w:r>
        <w:rPr>
          <w:rFonts w:hint="eastAsia"/>
          <w:lang w:val="en-US" w:eastAsia="zh-CN"/>
        </w:rPr>
        <w:t>，</w:t>
      </w:r>
      <w:r>
        <w:rPr>
          <w:rFonts w:hint="eastAsia"/>
        </w:rPr>
        <w:t>尚未收回。本基金最后运作日上交所最低结算备付金应计利息为1560.60元，该款项预计将于202</w:t>
      </w:r>
      <w:r>
        <w:rPr>
          <w:rFonts w:hint="eastAsia"/>
          <w:lang w:val="en-US" w:eastAsia="zh-CN"/>
        </w:rPr>
        <w:t>3</w:t>
      </w:r>
      <w:r>
        <w:rPr>
          <w:rFonts w:hint="eastAsia"/>
        </w:rPr>
        <w:t>年6月22日收回。</w:t>
      </w:r>
    </w:p>
    <w:p>
      <w:pPr>
        <w:pStyle w:val="24"/>
      </w:pPr>
      <w:r>
        <w:rPr>
          <w:rFonts w:hint="eastAsia"/>
        </w:rPr>
        <w:t>2、本基金最后运作日深交所最低结算备付金为63</w:t>
      </w:r>
      <w:r>
        <w:rPr>
          <w:rFonts w:hint="eastAsia"/>
          <w:lang w:val="en-US" w:eastAsia="zh-CN"/>
        </w:rPr>
        <w:t>,</w:t>
      </w:r>
      <w:r>
        <w:rPr>
          <w:rFonts w:hint="eastAsia"/>
        </w:rPr>
        <w:t>167.74元，</w:t>
      </w:r>
      <w:r>
        <w:rPr>
          <w:rFonts w:hint="eastAsia"/>
          <w:lang w:val="en-US" w:eastAsia="zh-CN"/>
        </w:rPr>
        <w:t>清算期结束日余额为15,598.66</w:t>
      </w:r>
      <w:r>
        <w:rPr>
          <w:rFonts w:hint="eastAsia"/>
        </w:rPr>
        <w:t>元，尚未收回。本基金最后运作日深交所最低结算备付金应计利息为131.16元，该款项预计将于202</w:t>
      </w:r>
      <w:r>
        <w:rPr>
          <w:rFonts w:hint="eastAsia"/>
          <w:lang w:val="en-US" w:eastAsia="zh-CN"/>
        </w:rPr>
        <w:t>3</w:t>
      </w:r>
      <w:r>
        <w:rPr>
          <w:rFonts w:hint="eastAsia"/>
        </w:rPr>
        <w:t>年6月21日收回。</w:t>
      </w:r>
    </w:p>
    <w:p>
      <w:pPr>
        <w:pStyle w:val="24"/>
      </w:pPr>
      <w:r>
        <w:rPr>
          <w:rFonts w:hint="eastAsia"/>
        </w:rPr>
        <w:t>3、本基金最后运作日上交所结算保证金为8</w:t>
      </w:r>
      <w:r>
        <w:rPr>
          <w:rFonts w:hint="eastAsia"/>
          <w:lang w:val="en-US" w:eastAsia="zh-CN"/>
        </w:rPr>
        <w:t>,</w:t>
      </w:r>
      <w:r>
        <w:rPr>
          <w:rFonts w:hint="eastAsia"/>
        </w:rPr>
        <w:t>294.42元，</w:t>
      </w:r>
      <w:r>
        <w:rPr>
          <w:rFonts w:hint="eastAsia"/>
          <w:lang w:val="en-US" w:eastAsia="zh-CN"/>
        </w:rPr>
        <w:t>清算期结束日余额为8,004.17</w:t>
      </w:r>
      <w:r>
        <w:rPr>
          <w:rFonts w:hint="eastAsia"/>
        </w:rPr>
        <w:t>元</w:t>
      </w:r>
      <w:r>
        <w:rPr>
          <w:rFonts w:hint="eastAsia"/>
          <w:lang w:eastAsia="zh-CN"/>
        </w:rPr>
        <w:t>，</w:t>
      </w:r>
      <w:r>
        <w:rPr>
          <w:rFonts w:hint="eastAsia"/>
        </w:rPr>
        <w:t>尚未收回。本基金最后运作日上交所结算保证金应计利息为18.04元，该款项预计将于202</w:t>
      </w:r>
      <w:r>
        <w:rPr>
          <w:rFonts w:hint="eastAsia"/>
          <w:lang w:val="en-US" w:eastAsia="zh-CN"/>
        </w:rPr>
        <w:t>3</w:t>
      </w:r>
      <w:r>
        <w:rPr>
          <w:rFonts w:hint="eastAsia"/>
        </w:rPr>
        <w:t>年6月22日收回。</w:t>
      </w:r>
    </w:p>
    <w:p>
      <w:pPr>
        <w:pStyle w:val="24"/>
      </w:pPr>
      <w:r>
        <w:rPr>
          <w:rFonts w:hint="eastAsia"/>
        </w:rPr>
        <w:t>4、本基金最后运作日深交所结算保证金为6</w:t>
      </w:r>
      <w:r>
        <w:rPr>
          <w:rFonts w:hint="eastAsia"/>
          <w:lang w:val="en-US" w:eastAsia="zh-CN"/>
        </w:rPr>
        <w:t>,</w:t>
      </w:r>
      <w:r>
        <w:rPr>
          <w:rFonts w:hint="eastAsia"/>
        </w:rPr>
        <w:t>390.28元，</w:t>
      </w:r>
      <w:r>
        <w:rPr>
          <w:rFonts w:hint="eastAsia"/>
          <w:lang w:val="en-US" w:eastAsia="zh-CN"/>
        </w:rPr>
        <w:t>清算期结束日余额为7,659.77</w:t>
      </w:r>
      <w:r>
        <w:rPr>
          <w:rFonts w:hint="eastAsia"/>
        </w:rPr>
        <w:t>元</w:t>
      </w:r>
      <w:r>
        <w:rPr>
          <w:rFonts w:hint="eastAsia"/>
          <w:lang w:eastAsia="zh-CN"/>
        </w:rPr>
        <w:t>，</w:t>
      </w:r>
      <w:r>
        <w:rPr>
          <w:rFonts w:hint="eastAsia"/>
        </w:rPr>
        <w:t>尚未收回。本基金最后运作日深交所结算保证金应计利息为14.73元，该款项预计将于202</w:t>
      </w:r>
      <w:r>
        <w:rPr>
          <w:rFonts w:hint="eastAsia"/>
          <w:lang w:val="en-US" w:eastAsia="zh-CN"/>
        </w:rPr>
        <w:t>3</w:t>
      </w:r>
      <w:r>
        <w:rPr>
          <w:rFonts w:hint="eastAsia"/>
        </w:rPr>
        <w:t>年6月21日收回。</w:t>
      </w:r>
    </w:p>
    <w:p>
      <w:pPr>
        <w:pStyle w:val="24"/>
        <w:rPr>
          <w:rFonts w:hint="eastAsia" w:eastAsia="宋体"/>
          <w:lang w:val="en-US" w:eastAsia="zh-CN"/>
        </w:rPr>
      </w:pPr>
      <w:r>
        <w:rPr>
          <w:rFonts w:hint="eastAsia"/>
        </w:rPr>
        <w:t>5、本基金最后运作日沪港通结算备付金应计利息为156.22元，该款项预计将于202</w:t>
      </w:r>
      <w:r>
        <w:rPr>
          <w:rFonts w:hint="eastAsia"/>
          <w:lang w:val="en-US" w:eastAsia="zh-CN"/>
        </w:rPr>
        <w:t>3</w:t>
      </w:r>
      <w:r>
        <w:rPr>
          <w:rFonts w:hint="eastAsia"/>
        </w:rPr>
        <w:t>年6月22日收回</w:t>
      </w:r>
      <w:r>
        <w:rPr>
          <w:rFonts w:hint="eastAsia"/>
          <w:lang w:eastAsia="zh-CN"/>
        </w:rPr>
        <w:t>。</w:t>
      </w:r>
    </w:p>
    <w:p>
      <w:pPr>
        <w:pStyle w:val="24"/>
      </w:pPr>
      <w:r>
        <w:rPr>
          <w:rFonts w:hint="eastAsia"/>
        </w:rPr>
        <w:t>6、本基金最后运作日银行存款余额为18</w:t>
      </w:r>
      <w:r>
        <w:rPr>
          <w:rFonts w:hint="eastAsia"/>
          <w:lang w:val="en-US" w:eastAsia="zh-CN"/>
        </w:rPr>
        <w:t>,</w:t>
      </w:r>
      <w:r>
        <w:rPr>
          <w:rFonts w:hint="eastAsia"/>
        </w:rPr>
        <w:t>039</w:t>
      </w:r>
      <w:r>
        <w:rPr>
          <w:rFonts w:hint="eastAsia"/>
          <w:lang w:val="en-US" w:eastAsia="zh-CN"/>
        </w:rPr>
        <w:t>,</w:t>
      </w:r>
      <w:r>
        <w:rPr>
          <w:rFonts w:hint="eastAsia"/>
        </w:rPr>
        <w:t>267.53元，存款利息为2</w:t>
      </w:r>
      <w:r>
        <w:rPr>
          <w:rFonts w:hint="eastAsia"/>
          <w:lang w:val="en-US" w:eastAsia="zh-CN"/>
        </w:rPr>
        <w:t>,</w:t>
      </w:r>
      <w:r>
        <w:rPr>
          <w:rFonts w:hint="eastAsia"/>
        </w:rPr>
        <w:t>424.24元</w:t>
      </w:r>
      <w:r>
        <w:rPr>
          <w:rFonts w:hint="eastAsia"/>
          <w:lang w:eastAsia="zh-CN"/>
        </w:rPr>
        <w:t>；</w:t>
      </w:r>
      <w:r>
        <w:rPr>
          <w:rFonts w:hint="eastAsia"/>
          <w:lang w:val="en-US" w:eastAsia="zh-CN"/>
        </w:rPr>
        <w:t>清算期结束日余额为29,915,437.87</w:t>
      </w:r>
      <w:r>
        <w:rPr>
          <w:rFonts w:hint="eastAsia"/>
        </w:rPr>
        <w:t>元</w:t>
      </w:r>
      <w:r>
        <w:rPr>
          <w:rFonts w:hint="eastAsia"/>
          <w:lang w:eastAsia="zh-CN"/>
        </w:rPr>
        <w:t>，</w:t>
      </w:r>
      <w:r>
        <w:rPr>
          <w:rFonts w:hint="eastAsia"/>
        </w:rPr>
        <w:t>存款利息为9</w:t>
      </w:r>
      <w:r>
        <w:rPr>
          <w:rFonts w:hint="eastAsia"/>
          <w:lang w:val="en-US" w:eastAsia="zh-CN"/>
        </w:rPr>
        <w:t>,</w:t>
      </w:r>
      <w:r>
        <w:rPr>
          <w:rFonts w:hint="eastAsia"/>
        </w:rPr>
        <w:t>938.56元；该</w:t>
      </w:r>
      <w:r>
        <w:rPr>
          <w:rFonts w:hint="eastAsia"/>
          <w:lang w:val="en-US" w:eastAsia="zh-CN"/>
        </w:rPr>
        <w:t>利息款项</w:t>
      </w:r>
      <w:r>
        <w:rPr>
          <w:rFonts w:hint="eastAsia"/>
        </w:rPr>
        <w:t>预计将于202</w:t>
      </w:r>
      <w:r>
        <w:rPr>
          <w:rFonts w:hint="eastAsia"/>
          <w:lang w:val="en-US" w:eastAsia="zh-CN"/>
        </w:rPr>
        <w:t>3</w:t>
      </w:r>
      <w:r>
        <w:rPr>
          <w:rFonts w:hint="eastAsia"/>
        </w:rPr>
        <w:t>年6月21日收回。</w:t>
      </w:r>
    </w:p>
    <w:p>
      <w:pPr>
        <w:pStyle w:val="24"/>
        <w:rPr>
          <w:rFonts w:hint="eastAsia"/>
        </w:rPr>
      </w:pPr>
      <w:r>
        <w:rPr>
          <w:rFonts w:hint="eastAsia"/>
          <w:lang w:val="en-US" w:eastAsia="zh-CN"/>
        </w:rPr>
        <w:t>7</w:t>
      </w:r>
      <w:r>
        <w:rPr>
          <w:rFonts w:hint="eastAsia"/>
        </w:rPr>
        <w:t>、本基金最后运作日</w:t>
      </w:r>
      <w:r>
        <w:rPr>
          <w:rFonts w:hint="eastAsia"/>
          <w:lang w:val="en-US" w:eastAsia="zh-CN"/>
        </w:rPr>
        <w:t>沪</w:t>
      </w:r>
      <w:r>
        <w:rPr>
          <w:rFonts w:hint="eastAsia"/>
        </w:rPr>
        <w:t>港通风控资金应计利息为0.56元，该款项预计将于202</w:t>
      </w:r>
      <w:r>
        <w:rPr>
          <w:rFonts w:hint="eastAsia"/>
          <w:lang w:val="en-US" w:eastAsia="zh-CN"/>
        </w:rPr>
        <w:t>3</w:t>
      </w:r>
      <w:r>
        <w:rPr>
          <w:rFonts w:hint="eastAsia"/>
        </w:rPr>
        <w:t>年6月2</w:t>
      </w:r>
      <w:r>
        <w:rPr>
          <w:rFonts w:hint="eastAsia"/>
          <w:lang w:val="en-US" w:eastAsia="zh-CN"/>
        </w:rPr>
        <w:t>2</w:t>
      </w:r>
      <w:r>
        <w:rPr>
          <w:rFonts w:hint="eastAsia"/>
        </w:rPr>
        <w:t>日收回。</w:t>
      </w:r>
    </w:p>
    <w:p>
      <w:pPr>
        <w:pStyle w:val="24"/>
        <w:rPr>
          <w:rFonts w:hint="default" w:eastAsia="宋体"/>
          <w:lang w:val="en-US" w:eastAsia="zh-CN"/>
        </w:rPr>
      </w:pPr>
      <w:r>
        <w:rPr>
          <w:rFonts w:hint="eastAsia"/>
          <w:lang w:val="en-US" w:eastAsia="zh-CN"/>
        </w:rPr>
        <w:t>8、</w:t>
      </w:r>
      <w:r>
        <w:rPr>
          <w:rFonts w:hint="eastAsia"/>
        </w:rPr>
        <w:t>本基金最后运作日</w:t>
      </w:r>
      <w:r>
        <w:rPr>
          <w:rFonts w:hint="eastAsia"/>
          <w:lang w:val="en-US" w:eastAsia="zh-CN"/>
        </w:rPr>
        <w:t>应收申购款29.98元，</w:t>
      </w:r>
      <w:r>
        <w:rPr>
          <w:rFonts w:hint="eastAsia"/>
        </w:rPr>
        <w:t>该款项</w:t>
      </w:r>
      <w:r>
        <w:rPr>
          <w:rFonts w:hint="eastAsia"/>
          <w:lang w:val="en-US" w:eastAsia="zh-CN"/>
        </w:rPr>
        <w:t>已</w:t>
      </w:r>
      <w:r>
        <w:rPr>
          <w:rFonts w:hint="eastAsia"/>
        </w:rPr>
        <w:t>于202</w:t>
      </w:r>
      <w:r>
        <w:rPr>
          <w:rFonts w:hint="eastAsia"/>
          <w:lang w:val="en-US" w:eastAsia="zh-CN"/>
        </w:rPr>
        <w:t>3</w:t>
      </w:r>
      <w:r>
        <w:rPr>
          <w:rFonts w:hint="eastAsia"/>
        </w:rPr>
        <w:t>年</w:t>
      </w:r>
      <w:r>
        <w:rPr>
          <w:rFonts w:hint="eastAsia"/>
          <w:lang w:val="en-US" w:eastAsia="zh-CN"/>
        </w:rPr>
        <w:t>5</w:t>
      </w:r>
      <w:r>
        <w:rPr>
          <w:rFonts w:hint="eastAsia"/>
        </w:rPr>
        <w:t>月2</w:t>
      </w:r>
      <w:r>
        <w:rPr>
          <w:rFonts w:hint="eastAsia"/>
          <w:lang w:val="en-US" w:eastAsia="zh-CN"/>
        </w:rPr>
        <w:t>2</w:t>
      </w:r>
      <w:r>
        <w:rPr>
          <w:rFonts w:hint="eastAsia"/>
        </w:rPr>
        <w:t>日收</w:t>
      </w:r>
      <w:r>
        <w:rPr>
          <w:rFonts w:hint="eastAsia"/>
          <w:lang w:val="en-US" w:eastAsia="zh-CN"/>
        </w:rPr>
        <w:t>到</w:t>
      </w:r>
      <w:r>
        <w:rPr>
          <w:rFonts w:hint="eastAsia"/>
        </w:rPr>
        <w:t>。</w:t>
      </w:r>
    </w:p>
    <w:p>
      <w:pPr>
        <w:pStyle w:val="24"/>
      </w:pPr>
      <w:r>
        <w:rPr>
          <w:rFonts w:hint="eastAsia"/>
          <w:lang w:val="en-US" w:eastAsia="zh-CN"/>
        </w:rPr>
        <w:t>9</w:t>
      </w:r>
      <w:r>
        <w:rPr>
          <w:rFonts w:hint="eastAsia"/>
        </w:rPr>
        <w:t>、本基金最后运作日的应付赎回款为人民币2</w:t>
      </w:r>
      <w:r>
        <w:rPr>
          <w:rFonts w:hint="eastAsia"/>
          <w:lang w:val="en-US" w:eastAsia="zh-CN"/>
        </w:rPr>
        <w:t>,</w:t>
      </w:r>
      <w:r>
        <w:rPr>
          <w:rFonts w:hint="eastAsia"/>
        </w:rPr>
        <w:t>635</w:t>
      </w:r>
      <w:r>
        <w:rPr>
          <w:rFonts w:hint="eastAsia"/>
          <w:lang w:val="en-US" w:eastAsia="zh-CN"/>
        </w:rPr>
        <w:t>,</w:t>
      </w:r>
      <w:r>
        <w:rPr>
          <w:rFonts w:hint="eastAsia"/>
        </w:rPr>
        <w:t>496.88元，该款项已于20</w:t>
      </w:r>
      <w:r>
        <w:t>2</w:t>
      </w:r>
      <w:r>
        <w:rPr>
          <w:rFonts w:hint="eastAsia"/>
          <w:lang w:val="en-US" w:eastAsia="zh-CN"/>
        </w:rPr>
        <w:t>3</w:t>
      </w:r>
      <w:r>
        <w:rPr>
          <w:rFonts w:hint="eastAsia"/>
        </w:rPr>
        <w:t>年</w:t>
      </w:r>
      <w:r>
        <w:t>5</w:t>
      </w:r>
      <w:r>
        <w:rPr>
          <w:rFonts w:hint="eastAsia"/>
        </w:rPr>
        <w:t>月</w:t>
      </w:r>
      <w:r>
        <w:rPr>
          <w:rFonts w:hint="eastAsia"/>
          <w:lang w:val="en-US" w:eastAsia="zh-CN"/>
        </w:rPr>
        <w:t>22</w:t>
      </w:r>
      <w:r>
        <w:rPr>
          <w:rFonts w:hint="eastAsia"/>
        </w:rPr>
        <w:t>日至202</w:t>
      </w:r>
      <w:r>
        <w:rPr>
          <w:rFonts w:hint="eastAsia"/>
          <w:lang w:val="en-US" w:eastAsia="zh-CN"/>
        </w:rPr>
        <w:t>3</w:t>
      </w:r>
      <w:r>
        <w:rPr>
          <w:rFonts w:hint="eastAsia"/>
        </w:rPr>
        <w:t>年</w:t>
      </w:r>
      <w:r>
        <w:t>5</w:t>
      </w:r>
      <w:r>
        <w:rPr>
          <w:rFonts w:hint="eastAsia"/>
        </w:rPr>
        <w:t>月</w:t>
      </w:r>
      <w:r>
        <w:t>24</w:t>
      </w:r>
      <w:r>
        <w:rPr>
          <w:rFonts w:hint="eastAsia"/>
        </w:rPr>
        <w:t>日期间全部划出。</w:t>
      </w:r>
    </w:p>
    <w:p>
      <w:pPr>
        <w:pStyle w:val="24"/>
      </w:pPr>
      <w:r>
        <w:rPr>
          <w:rFonts w:hint="eastAsia"/>
          <w:lang w:val="en-US" w:eastAsia="zh-CN"/>
        </w:rPr>
        <w:t>10</w:t>
      </w:r>
      <w:r>
        <w:rPr>
          <w:rFonts w:hint="eastAsia"/>
        </w:rPr>
        <w:t>、本基金最后运作日应付管理人报酬为人民币17</w:t>
      </w:r>
      <w:r>
        <w:rPr>
          <w:rFonts w:hint="eastAsia"/>
          <w:lang w:val="en-US" w:eastAsia="zh-CN"/>
        </w:rPr>
        <w:t>,</w:t>
      </w:r>
      <w:r>
        <w:rPr>
          <w:rFonts w:hint="eastAsia"/>
        </w:rPr>
        <w:t>235.86元，该款项已于</w:t>
      </w:r>
      <w:r>
        <w:t>202</w:t>
      </w:r>
      <w:r>
        <w:rPr>
          <w:rFonts w:hint="eastAsia"/>
          <w:lang w:val="en-US" w:eastAsia="zh-CN"/>
        </w:rPr>
        <w:t>3</w:t>
      </w:r>
      <w:r>
        <w:rPr>
          <w:rFonts w:hint="eastAsia"/>
        </w:rPr>
        <w:t>年</w:t>
      </w:r>
      <w:r>
        <w:t>5</w:t>
      </w:r>
      <w:r>
        <w:rPr>
          <w:rFonts w:hint="eastAsia"/>
        </w:rPr>
        <w:t>月</w:t>
      </w:r>
      <w:r>
        <w:t>2</w:t>
      </w:r>
      <w:r>
        <w:rPr>
          <w:rFonts w:hint="eastAsia"/>
          <w:lang w:val="en-US" w:eastAsia="zh-CN"/>
        </w:rPr>
        <w:t>9</w:t>
      </w:r>
      <w:r>
        <w:rPr>
          <w:rFonts w:hint="eastAsia"/>
        </w:rPr>
        <w:t>日支付。</w:t>
      </w:r>
    </w:p>
    <w:p>
      <w:pPr>
        <w:pStyle w:val="24"/>
        <w:rPr>
          <w:rFonts w:hint="eastAsia"/>
        </w:rPr>
      </w:pPr>
      <w:r>
        <w:rPr>
          <w:rFonts w:hint="eastAsia"/>
        </w:rPr>
        <w:t>1</w:t>
      </w:r>
      <w:r>
        <w:rPr>
          <w:rFonts w:hint="eastAsia"/>
          <w:lang w:val="en-US" w:eastAsia="zh-CN"/>
        </w:rPr>
        <w:t>1</w:t>
      </w:r>
      <w:r>
        <w:rPr>
          <w:rFonts w:hint="eastAsia"/>
        </w:rPr>
        <w:t>、本基金最后运作日应付托管费为人民币4</w:t>
      </w:r>
      <w:r>
        <w:rPr>
          <w:rFonts w:hint="eastAsia"/>
          <w:lang w:val="en-US" w:eastAsia="zh-CN"/>
        </w:rPr>
        <w:t>,</w:t>
      </w:r>
      <w:r>
        <w:rPr>
          <w:rFonts w:hint="eastAsia"/>
        </w:rPr>
        <w:t>308.95元，该款项已于</w:t>
      </w:r>
      <w:r>
        <w:t>202</w:t>
      </w:r>
      <w:r>
        <w:rPr>
          <w:rFonts w:hint="eastAsia"/>
          <w:lang w:val="en-US" w:eastAsia="zh-CN"/>
        </w:rPr>
        <w:t>3</w:t>
      </w:r>
      <w:r>
        <w:rPr>
          <w:rFonts w:hint="eastAsia"/>
        </w:rPr>
        <w:t>年</w:t>
      </w:r>
      <w:r>
        <w:t>5</w:t>
      </w:r>
      <w:r>
        <w:rPr>
          <w:rFonts w:hint="eastAsia"/>
        </w:rPr>
        <w:t>月</w:t>
      </w:r>
      <w:r>
        <w:t>2</w:t>
      </w:r>
      <w:r>
        <w:rPr>
          <w:rFonts w:hint="eastAsia"/>
          <w:lang w:val="en-US" w:eastAsia="zh-CN"/>
        </w:rPr>
        <w:t>9</w:t>
      </w:r>
      <w:r>
        <w:rPr>
          <w:rFonts w:hint="eastAsia"/>
        </w:rPr>
        <w:t>日支付。</w:t>
      </w:r>
    </w:p>
    <w:p>
      <w:pPr>
        <w:pStyle w:val="24"/>
        <w:rPr>
          <w:rFonts w:hint="eastAsia"/>
        </w:rPr>
      </w:pPr>
      <w:r>
        <w:rPr>
          <w:rFonts w:hint="eastAsia"/>
          <w:lang w:val="en-US" w:eastAsia="zh-CN"/>
        </w:rPr>
        <w:t>12、</w:t>
      </w:r>
      <w:r>
        <w:rPr>
          <w:rFonts w:hint="eastAsia"/>
        </w:rPr>
        <w:t>本基金最后运作日应付</w:t>
      </w:r>
      <w:r>
        <w:rPr>
          <w:rFonts w:hint="eastAsia"/>
          <w:lang w:val="en-US" w:eastAsia="zh-CN"/>
        </w:rPr>
        <w:t>销售服务费</w:t>
      </w:r>
      <w:r>
        <w:rPr>
          <w:rFonts w:hint="eastAsia"/>
        </w:rPr>
        <w:t>为人民币1</w:t>
      </w:r>
      <w:r>
        <w:rPr>
          <w:rFonts w:hint="eastAsia"/>
          <w:lang w:val="en-US" w:eastAsia="zh-CN"/>
        </w:rPr>
        <w:t>,</w:t>
      </w:r>
      <w:r>
        <w:rPr>
          <w:rFonts w:hint="eastAsia"/>
        </w:rPr>
        <w:t>111.40元，该款项已于</w:t>
      </w:r>
      <w:r>
        <w:t>202</w:t>
      </w:r>
      <w:r>
        <w:rPr>
          <w:rFonts w:hint="eastAsia"/>
          <w:lang w:val="en-US" w:eastAsia="zh-CN"/>
        </w:rPr>
        <w:t>3</w:t>
      </w:r>
      <w:r>
        <w:rPr>
          <w:rFonts w:hint="eastAsia"/>
        </w:rPr>
        <w:t>年</w:t>
      </w:r>
      <w:r>
        <w:t>5</w:t>
      </w:r>
      <w:r>
        <w:rPr>
          <w:rFonts w:hint="eastAsia"/>
        </w:rPr>
        <w:t>月</w:t>
      </w:r>
      <w:r>
        <w:t>2</w:t>
      </w:r>
      <w:r>
        <w:rPr>
          <w:rFonts w:hint="eastAsia"/>
          <w:lang w:val="en-US" w:eastAsia="zh-CN"/>
        </w:rPr>
        <w:t>9</w:t>
      </w:r>
      <w:r>
        <w:rPr>
          <w:rFonts w:hint="eastAsia"/>
        </w:rPr>
        <w:t>日支付。</w:t>
      </w:r>
    </w:p>
    <w:p>
      <w:pPr>
        <w:pStyle w:val="24"/>
        <w:rPr>
          <w:rFonts w:hint="default" w:eastAsia="宋体"/>
          <w:lang w:val="en-US" w:eastAsia="zh-CN"/>
        </w:rPr>
      </w:pPr>
      <w:r>
        <w:rPr>
          <w:rFonts w:hint="eastAsia"/>
          <w:lang w:val="en-US" w:eastAsia="zh-CN"/>
        </w:rPr>
        <w:t>13、</w:t>
      </w:r>
      <w:r>
        <w:rPr>
          <w:rFonts w:hint="eastAsia"/>
        </w:rPr>
        <w:t>本基金最后运作日应付</w:t>
      </w:r>
      <w:r>
        <w:rPr>
          <w:rFonts w:hint="eastAsia"/>
          <w:lang w:val="en-US" w:eastAsia="zh-CN"/>
        </w:rPr>
        <w:t>增值税费为0.06元，</w:t>
      </w:r>
      <w:r>
        <w:rPr>
          <w:rFonts w:hint="eastAsia"/>
        </w:rPr>
        <w:t>该款项</w:t>
      </w:r>
      <w:r>
        <w:rPr>
          <w:rFonts w:hint="eastAsia"/>
          <w:lang w:val="en-US" w:eastAsia="zh-CN"/>
        </w:rPr>
        <w:t>已于</w:t>
      </w:r>
      <w:r>
        <w:t>202</w:t>
      </w:r>
      <w:r>
        <w:rPr>
          <w:rFonts w:hint="eastAsia"/>
          <w:lang w:val="en-US" w:eastAsia="zh-CN"/>
        </w:rPr>
        <w:t>3</w:t>
      </w:r>
      <w:r>
        <w:rPr>
          <w:rFonts w:hint="eastAsia"/>
        </w:rPr>
        <w:t>年</w:t>
      </w:r>
      <w:r>
        <w:rPr>
          <w:rFonts w:hint="eastAsia"/>
          <w:lang w:val="en-US" w:eastAsia="zh-CN"/>
        </w:rPr>
        <w:t>6</w:t>
      </w:r>
      <w:r>
        <w:rPr>
          <w:rFonts w:hint="eastAsia"/>
        </w:rPr>
        <w:t>月</w:t>
      </w:r>
      <w:r>
        <w:rPr>
          <w:rFonts w:hint="eastAsia"/>
          <w:lang w:val="en-US" w:eastAsia="zh-CN"/>
        </w:rPr>
        <w:t>8</w:t>
      </w:r>
      <w:r>
        <w:rPr>
          <w:rFonts w:hint="eastAsia"/>
        </w:rPr>
        <w:t>日支付。</w:t>
      </w:r>
    </w:p>
    <w:p>
      <w:pPr>
        <w:pStyle w:val="24"/>
        <w:rPr>
          <w:rFonts w:hint="default" w:eastAsia="宋体"/>
          <w:lang w:val="en-US" w:eastAsia="zh-CN"/>
        </w:rPr>
      </w:pPr>
      <w:r>
        <w:rPr>
          <w:rFonts w:hint="eastAsia"/>
        </w:rPr>
        <w:t>1</w:t>
      </w:r>
      <w:r>
        <w:rPr>
          <w:rFonts w:hint="eastAsia"/>
          <w:lang w:val="en-US" w:eastAsia="zh-CN"/>
        </w:rPr>
        <w:t>4</w:t>
      </w:r>
      <w:r>
        <w:rPr>
          <w:rFonts w:hint="eastAsia"/>
        </w:rPr>
        <w:t>、本基金最后运作日其他负债为人民币</w:t>
      </w:r>
      <w:r>
        <w:rPr>
          <w:rFonts w:hint="eastAsia"/>
          <w:lang w:val="en-US" w:eastAsia="zh-CN"/>
        </w:rPr>
        <w:t>90,627.07</w:t>
      </w:r>
      <w:r>
        <w:rPr>
          <w:rFonts w:hint="eastAsia"/>
        </w:rPr>
        <w:t>元，包括预提律师费、预提审计费</w:t>
      </w:r>
      <w:r>
        <w:rPr>
          <w:rFonts w:hint="eastAsia"/>
          <w:lang w:eastAsia="zh-CN"/>
        </w:rPr>
        <w:t>、</w:t>
      </w:r>
      <w:r>
        <w:rPr>
          <w:rFonts w:hint="eastAsia"/>
        </w:rPr>
        <w:t>应付交易费用</w:t>
      </w:r>
      <w:r>
        <w:rPr>
          <w:rFonts w:hint="eastAsia"/>
          <w:lang w:eastAsia="zh-CN"/>
        </w:rPr>
        <w:t>、</w:t>
      </w:r>
      <w:r>
        <w:rPr>
          <w:rFonts w:hint="eastAsia"/>
          <w:lang w:val="en-US" w:eastAsia="zh-CN"/>
        </w:rPr>
        <w:t>预提银行间账户维护费、预提信息披露费</w:t>
      </w:r>
      <w:r>
        <w:rPr>
          <w:rFonts w:hint="eastAsia"/>
        </w:rPr>
        <w:t>。预提律师费人民币</w:t>
      </w:r>
      <w:r>
        <w:rPr>
          <w:rFonts w:hint="eastAsia"/>
          <w:lang w:val="en-US" w:eastAsia="zh-CN"/>
        </w:rPr>
        <w:t>10</w:t>
      </w:r>
      <w:r>
        <w:rPr>
          <w:rFonts w:hint="eastAsia"/>
        </w:rPr>
        <w:t>,000元，该款项将于取得律师费发票后支付；预提审计费人民币17</w:t>
      </w:r>
      <w:r>
        <w:rPr>
          <w:rFonts w:hint="eastAsia"/>
          <w:lang w:val="en-US" w:eastAsia="zh-CN"/>
        </w:rPr>
        <w:t>,</w:t>
      </w:r>
      <w:r>
        <w:rPr>
          <w:rFonts w:hint="eastAsia"/>
        </w:rPr>
        <w:t>100.00元，该款项将于取得审计费发票后支付。</w:t>
      </w:r>
      <w:r>
        <w:rPr>
          <w:rFonts w:hint="eastAsia"/>
          <w:lang w:val="en-US" w:eastAsia="zh-CN"/>
        </w:rPr>
        <w:t>预提信息披露费24,383.56</w:t>
      </w:r>
      <w:r>
        <w:rPr>
          <w:rFonts w:hint="eastAsia"/>
        </w:rPr>
        <w:t>元，该款项将于取得发票后支付</w:t>
      </w:r>
      <w:r>
        <w:rPr>
          <w:rFonts w:hint="eastAsia"/>
          <w:lang w:eastAsia="zh-CN"/>
        </w:rPr>
        <w:t>；</w:t>
      </w:r>
      <w:r>
        <w:rPr>
          <w:rFonts w:hint="eastAsia"/>
          <w:lang w:val="en-US" w:eastAsia="zh-CN"/>
        </w:rPr>
        <w:t>预提银行间账户维护费6,234.20，该款项已支付；</w:t>
      </w:r>
      <w:r>
        <w:rPr>
          <w:rFonts w:hint="eastAsia"/>
        </w:rPr>
        <w:t>应付交易费用</w:t>
      </w:r>
      <w:r>
        <w:rPr>
          <w:rFonts w:hint="eastAsia"/>
          <w:lang w:val="en-US" w:eastAsia="zh-CN"/>
        </w:rPr>
        <w:t>32,909.31</w:t>
      </w:r>
      <w:r>
        <w:rPr>
          <w:rFonts w:hint="eastAsia"/>
        </w:rPr>
        <w:t>元，</w:t>
      </w:r>
      <w:r>
        <w:rPr>
          <w:rFonts w:hint="eastAsia"/>
          <w:lang w:val="en-US" w:eastAsia="zh-CN"/>
        </w:rPr>
        <w:t>除25元外汇交易中心费用外，其余</w:t>
      </w:r>
      <w:r>
        <w:rPr>
          <w:rFonts w:hint="eastAsia"/>
        </w:rPr>
        <w:t>款项</w:t>
      </w:r>
      <w:r>
        <w:rPr>
          <w:rFonts w:hint="eastAsia"/>
          <w:lang w:val="en-US" w:eastAsia="zh-CN"/>
        </w:rPr>
        <w:t>已于5月26日至5月29日支付。</w:t>
      </w:r>
    </w:p>
    <w:p>
      <w:pPr>
        <w:pStyle w:val="24"/>
        <w:rPr>
          <w:rFonts w:hint="eastAsia"/>
        </w:rPr>
      </w:pPr>
      <w:r>
        <w:rPr>
          <w:rFonts w:hint="eastAsia"/>
        </w:rPr>
        <w:t>1</w:t>
      </w:r>
      <w:r>
        <w:rPr>
          <w:rFonts w:hint="eastAsia"/>
          <w:lang w:val="en-US" w:eastAsia="zh-CN"/>
        </w:rPr>
        <w:t>5</w:t>
      </w:r>
      <w:r>
        <w:rPr>
          <w:rFonts w:hint="eastAsia"/>
        </w:rPr>
        <w:t>、本基金最后运作日</w:t>
      </w:r>
      <w:r>
        <w:rPr>
          <w:rFonts w:hint="eastAsia"/>
          <w:lang w:val="en-US" w:eastAsia="zh-CN"/>
        </w:rPr>
        <w:t>债券</w:t>
      </w:r>
      <w:r>
        <w:rPr>
          <w:rFonts w:hint="eastAsia"/>
        </w:rPr>
        <w:t>投资市值为1</w:t>
      </w:r>
      <w:r>
        <w:rPr>
          <w:rFonts w:hint="eastAsia"/>
          <w:lang w:val="en-US" w:eastAsia="zh-CN"/>
        </w:rPr>
        <w:t>,</w:t>
      </w:r>
      <w:r>
        <w:rPr>
          <w:rFonts w:hint="eastAsia"/>
        </w:rPr>
        <w:t>743</w:t>
      </w:r>
      <w:r>
        <w:rPr>
          <w:rFonts w:hint="eastAsia"/>
          <w:lang w:val="en-US" w:eastAsia="zh-CN"/>
        </w:rPr>
        <w:t>,</w:t>
      </w:r>
      <w:r>
        <w:rPr>
          <w:rFonts w:hint="eastAsia"/>
        </w:rPr>
        <w:t>520.00元，截至202</w:t>
      </w:r>
      <w:r>
        <w:rPr>
          <w:rFonts w:hint="eastAsia"/>
          <w:lang w:val="en-US" w:eastAsia="zh-CN"/>
        </w:rPr>
        <w:t>3</w:t>
      </w:r>
      <w:r>
        <w:rPr>
          <w:rFonts w:hint="eastAsia"/>
        </w:rPr>
        <w:t>年5月2</w:t>
      </w:r>
      <w:r>
        <w:rPr>
          <w:rFonts w:hint="eastAsia"/>
          <w:lang w:val="en-US" w:eastAsia="zh-CN"/>
        </w:rPr>
        <w:t>2</w:t>
      </w:r>
      <w:r>
        <w:rPr>
          <w:rFonts w:hint="eastAsia"/>
        </w:rPr>
        <w:t>日已完成清仓。</w:t>
      </w:r>
    </w:p>
    <w:p>
      <w:pPr>
        <w:pStyle w:val="24"/>
        <w:rPr>
          <w:rFonts w:hint="eastAsia"/>
        </w:rPr>
      </w:pPr>
      <w:r>
        <w:rPr>
          <w:rFonts w:hint="eastAsia"/>
        </w:rPr>
        <w:t>1</w:t>
      </w:r>
      <w:r>
        <w:rPr>
          <w:rFonts w:hint="eastAsia"/>
          <w:lang w:val="en-US" w:eastAsia="zh-CN"/>
        </w:rPr>
        <w:t>6</w:t>
      </w:r>
      <w:r>
        <w:rPr>
          <w:rFonts w:hint="eastAsia"/>
        </w:rPr>
        <w:t>、本基金最后运作日</w:t>
      </w:r>
      <w:r>
        <w:rPr>
          <w:rFonts w:hint="eastAsia"/>
          <w:lang w:val="en-US" w:eastAsia="zh-CN"/>
        </w:rPr>
        <w:t>买入返售金融资产余额</w:t>
      </w:r>
      <w:r>
        <w:rPr>
          <w:rFonts w:hint="eastAsia"/>
        </w:rPr>
        <w:t>为13</w:t>
      </w:r>
      <w:r>
        <w:rPr>
          <w:rFonts w:hint="eastAsia"/>
          <w:lang w:val="en-US" w:eastAsia="zh-CN"/>
        </w:rPr>
        <w:t>,</w:t>
      </w:r>
      <w:r>
        <w:rPr>
          <w:rFonts w:hint="eastAsia"/>
        </w:rPr>
        <w:t>598</w:t>
      </w:r>
      <w:r>
        <w:rPr>
          <w:rFonts w:hint="eastAsia"/>
          <w:lang w:val="en-US" w:eastAsia="zh-CN"/>
        </w:rPr>
        <w:t>,</w:t>
      </w:r>
      <w:r>
        <w:rPr>
          <w:rFonts w:hint="eastAsia"/>
        </w:rPr>
        <w:t>599.97元，截至202</w:t>
      </w:r>
      <w:r>
        <w:rPr>
          <w:rFonts w:hint="eastAsia"/>
          <w:lang w:val="en-US" w:eastAsia="zh-CN"/>
        </w:rPr>
        <w:t>3</w:t>
      </w:r>
      <w:r>
        <w:rPr>
          <w:rFonts w:hint="eastAsia"/>
        </w:rPr>
        <w:t>年5月2</w:t>
      </w:r>
      <w:r>
        <w:rPr>
          <w:rFonts w:hint="eastAsia"/>
          <w:lang w:val="en-US" w:eastAsia="zh-CN"/>
        </w:rPr>
        <w:t>2</w:t>
      </w:r>
      <w:r>
        <w:rPr>
          <w:rFonts w:hint="eastAsia"/>
        </w:rPr>
        <w:t>日已完成清仓。</w:t>
      </w:r>
    </w:p>
    <w:p>
      <w:pPr>
        <w:pStyle w:val="24"/>
        <w:rPr>
          <w:rFonts w:hint="default" w:eastAsia="宋体"/>
          <w:lang w:val="en-US" w:eastAsia="zh-CN"/>
        </w:rPr>
      </w:pPr>
      <w:r>
        <w:rPr>
          <w:rFonts w:hint="eastAsia"/>
          <w:lang w:val="en-US" w:eastAsia="zh-CN"/>
        </w:rPr>
        <w:t>17、</w:t>
      </w:r>
      <w:r>
        <w:rPr>
          <w:rFonts w:hint="eastAsia"/>
        </w:rPr>
        <w:t>本基金最后运作日</w:t>
      </w:r>
      <w:r>
        <w:rPr>
          <w:rFonts w:hint="eastAsia"/>
          <w:lang w:val="en-US" w:eastAsia="zh-CN"/>
        </w:rPr>
        <w:t>应收清算款为418,072.56，</w:t>
      </w:r>
      <w:r>
        <w:rPr>
          <w:rFonts w:hint="eastAsia"/>
        </w:rPr>
        <w:t>该款项</w:t>
      </w:r>
      <w:r>
        <w:rPr>
          <w:rFonts w:hint="eastAsia"/>
          <w:lang w:val="en-US" w:eastAsia="zh-CN"/>
        </w:rPr>
        <w:t>已于</w:t>
      </w:r>
      <w:r>
        <w:rPr>
          <w:rFonts w:hint="eastAsia"/>
        </w:rPr>
        <w:t>202</w:t>
      </w:r>
      <w:r>
        <w:rPr>
          <w:rFonts w:hint="eastAsia"/>
          <w:lang w:val="en-US" w:eastAsia="zh-CN"/>
        </w:rPr>
        <w:t>3</w:t>
      </w:r>
      <w:r>
        <w:rPr>
          <w:rFonts w:hint="eastAsia"/>
        </w:rPr>
        <w:t>年</w:t>
      </w:r>
      <w:r>
        <w:rPr>
          <w:rFonts w:hint="eastAsia"/>
          <w:lang w:val="en-US" w:eastAsia="zh-CN"/>
        </w:rPr>
        <w:t>5</w:t>
      </w:r>
      <w:r>
        <w:rPr>
          <w:rFonts w:hint="eastAsia"/>
        </w:rPr>
        <w:t>月22日收回</w:t>
      </w:r>
      <w:r>
        <w:rPr>
          <w:rFonts w:hint="eastAsia"/>
          <w:lang w:eastAsia="zh-CN"/>
        </w:rPr>
        <w:t>。</w:t>
      </w:r>
    </w:p>
    <w:bookmarkEnd w:id="49"/>
    <w:p>
      <w:pPr>
        <w:pStyle w:val="3"/>
        <w:spacing w:before="0" w:after="0"/>
        <w:rPr>
          <w:rFonts w:ascii="宋体" w:hAnsi="宋体" w:eastAsia="宋体"/>
          <w:kern w:val="0"/>
          <w:sz w:val="21"/>
          <w:szCs w:val="21"/>
        </w:rPr>
      </w:pPr>
      <w:bookmarkStart w:id="51" w:name="_Toc491963089"/>
      <w:r>
        <w:rPr>
          <w:rFonts w:hint="eastAsia" w:ascii="宋体" w:hAnsi="宋体" w:eastAsia="宋体"/>
          <w:kern w:val="0"/>
          <w:sz w:val="21"/>
          <w:szCs w:val="21"/>
        </w:rPr>
        <w:t>5.2 截至本次清算期结束日的剩余财产情况及剩余财产分配安排</w:t>
      </w:r>
      <w:bookmarkEnd w:id="51"/>
    </w:p>
    <w:tbl>
      <w:tblPr>
        <w:tblStyle w:val="13"/>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97"/>
        <w:gridCol w:w="5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3397" w:type="dxa"/>
            <w:vAlign w:val="center"/>
          </w:tcPr>
          <w:p>
            <w:pPr>
              <w:pStyle w:val="11"/>
              <w:jc w:val="center"/>
              <w:rPr>
                <w:rFonts w:ascii="宋体" w:hAnsi="宋体" w:eastAsia="宋体"/>
                <w:b/>
                <w:color w:val="000000" w:themeColor="text1"/>
                <w:sz w:val="21"/>
                <w:szCs w:val="21"/>
                <w14:textFill>
                  <w14:solidFill>
                    <w14:schemeClr w14:val="tx1"/>
                  </w14:solidFill>
                </w14:textFill>
              </w:rPr>
            </w:pPr>
            <w:r>
              <w:rPr>
                <w:rFonts w:ascii="宋体" w:hAnsi="宋体" w:eastAsia="宋体"/>
                <w:b/>
                <w:color w:val="000000" w:themeColor="text1"/>
                <w:sz w:val="21"/>
                <w:szCs w:val="21"/>
                <w14:textFill>
                  <w14:solidFill>
                    <w14:schemeClr w14:val="tx1"/>
                  </w14:solidFill>
                </w14:textFill>
              </w:rPr>
              <w:t>项目</w:t>
            </w:r>
          </w:p>
        </w:tc>
        <w:tc>
          <w:tcPr>
            <w:tcW w:w="5675" w:type="dxa"/>
            <w:vAlign w:val="center"/>
          </w:tcPr>
          <w:p>
            <w:pPr>
              <w:pStyle w:val="11"/>
              <w:spacing w:before="0" w:beforeAutospacing="0" w:after="0" w:afterAutospacing="0"/>
              <w:jc w:val="center"/>
              <w:rPr>
                <w:rFonts w:ascii="宋体" w:hAnsi="宋体" w:eastAsia="宋体"/>
                <w:b/>
                <w:color w:val="000000" w:themeColor="text1"/>
                <w:sz w:val="21"/>
                <w:szCs w:val="21"/>
                <w:lang w:eastAsia="zh-CN"/>
                <w14:textFill>
                  <w14:solidFill>
                    <w14:schemeClr w14:val="tx1"/>
                  </w14:solidFill>
                </w14:textFill>
              </w:rPr>
            </w:pPr>
            <w:r>
              <w:rPr>
                <w:rFonts w:hint="eastAsia" w:ascii="宋体" w:hAnsi="宋体" w:eastAsia="宋体"/>
                <w:b/>
                <w:color w:val="000000" w:themeColor="text1"/>
                <w:sz w:val="21"/>
                <w:szCs w:val="21"/>
                <w:lang w:eastAsia="zh-CN"/>
                <w14:textFill>
                  <w14:solidFill>
                    <w14:schemeClr w14:val="tx1"/>
                  </w14:solidFill>
                </w14:textFill>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97" w:type="dxa"/>
            <w:vAlign w:val="center"/>
          </w:tcPr>
          <w:p>
            <w:pP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一、</w:t>
            </w:r>
            <w:r>
              <w:rPr>
                <w:rFonts w:hint="eastAsia" w:ascii="宋体" w:hAnsi="宋体"/>
                <w:b/>
                <w:color w:val="000000" w:themeColor="text1"/>
                <w:szCs w:val="21"/>
                <w14:textFill>
                  <w14:solidFill>
                    <w14:schemeClr w14:val="tx1"/>
                  </w14:solidFill>
                </w14:textFill>
              </w:rPr>
              <w:t>最后运作日20</w:t>
            </w:r>
            <w:r>
              <w:rPr>
                <w:rFonts w:ascii="宋体" w:hAnsi="宋体"/>
                <w:b/>
                <w:color w:val="000000" w:themeColor="text1"/>
                <w:szCs w:val="21"/>
                <w14:textFill>
                  <w14:solidFill>
                    <w14:schemeClr w14:val="tx1"/>
                  </w14:solidFill>
                </w14:textFill>
              </w:rPr>
              <w:t>2</w:t>
            </w:r>
            <w:r>
              <w:rPr>
                <w:rFonts w:hint="eastAsia" w:ascii="宋体" w:hAnsi="宋体"/>
                <w:b/>
                <w:color w:val="000000" w:themeColor="text1"/>
                <w:szCs w:val="21"/>
                <w:lang w:val="en-US" w:eastAsia="zh-CN"/>
                <w14:textFill>
                  <w14:solidFill>
                    <w14:schemeClr w14:val="tx1"/>
                  </w14:solidFill>
                </w14:textFill>
              </w:rPr>
              <w:t>3</w:t>
            </w:r>
            <w:r>
              <w:rPr>
                <w:rFonts w:hint="eastAsia" w:ascii="宋体" w:hAnsi="宋体"/>
                <w:b/>
                <w:color w:val="000000" w:themeColor="text1"/>
                <w:szCs w:val="21"/>
                <w14:textFill>
                  <w14:solidFill>
                    <w14:schemeClr w14:val="tx1"/>
                  </w14:solidFill>
                </w14:textFill>
              </w:rPr>
              <w:t>年5月</w:t>
            </w:r>
            <w:r>
              <w:rPr>
                <w:rFonts w:ascii="宋体" w:hAnsi="宋体"/>
                <w:b/>
                <w:color w:val="000000" w:themeColor="text1"/>
                <w:szCs w:val="21"/>
                <w14:textFill>
                  <w14:solidFill>
                    <w14:schemeClr w14:val="tx1"/>
                  </w14:solidFill>
                </w14:textFill>
              </w:rPr>
              <w:t>1</w:t>
            </w:r>
            <w:r>
              <w:rPr>
                <w:rFonts w:hint="eastAsia" w:ascii="宋体" w:hAnsi="宋体"/>
                <w:b/>
                <w:color w:val="000000" w:themeColor="text1"/>
                <w:szCs w:val="21"/>
                <w:lang w:val="en-US" w:eastAsia="zh-CN"/>
                <w14:textFill>
                  <w14:solidFill>
                    <w14:schemeClr w14:val="tx1"/>
                  </w14:solidFill>
                </w14:textFill>
              </w:rPr>
              <w:t>9</w:t>
            </w:r>
            <w:r>
              <w:rPr>
                <w:rFonts w:hint="eastAsia" w:ascii="宋体" w:hAnsi="宋体"/>
                <w:b/>
                <w:color w:val="000000" w:themeColor="text1"/>
                <w:szCs w:val="21"/>
                <w14:textFill>
                  <w14:solidFill>
                    <w14:schemeClr w14:val="tx1"/>
                  </w14:solidFill>
                </w14:textFill>
              </w:rPr>
              <w:t>日基金净资产</w:t>
            </w:r>
          </w:p>
        </w:tc>
        <w:tc>
          <w:tcPr>
            <w:tcW w:w="5675" w:type="dxa"/>
            <w:vAlign w:val="center"/>
          </w:tcPr>
          <w:p>
            <w:pPr>
              <w:ind w:left="-80"/>
              <w:jc w:val="right"/>
              <w:rPr>
                <w:rFonts w:ascii="Arial" w:hAnsi="Arial" w:cs="Arial"/>
                <w:b/>
                <w:color w:val="000000"/>
                <w:sz w:val="24"/>
              </w:rPr>
            </w:pPr>
            <w:r>
              <w:rPr>
                <w:rFonts w:hint="eastAsia" w:ascii="Arial" w:hAnsi="Arial" w:cs="Arial"/>
                <w:b/>
                <w:color w:val="000000"/>
                <w:sz w:val="24"/>
              </w:rPr>
              <w:t>32,143,162.79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97"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减：20</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年</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lang w:val="en-US" w:eastAsia="zh-CN"/>
                <w14:textFill>
                  <w14:solidFill>
                    <w14:schemeClr w14:val="tx1"/>
                  </w14:solidFill>
                </w14:textFill>
              </w:rPr>
              <w:t>22</w:t>
            </w:r>
            <w:r>
              <w:rPr>
                <w:rFonts w:hint="eastAsia" w:ascii="宋体" w:hAnsi="宋体"/>
                <w:color w:val="000000" w:themeColor="text1"/>
                <w:szCs w:val="21"/>
                <w14:textFill>
                  <w14:solidFill>
                    <w14:schemeClr w14:val="tx1"/>
                  </w14:solidFill>
                </w14:textFill>
              </w:rPr>
              <w:t>日确认赎回对价</w:t>
            </w:r>
          </w:p>
        </w:tc>
        <w:tc>
          <w:tcPr>
            <w:tcW w:w="5675" w:type="dxa"/>
            <w:vAlign w:val="center"/>
          </w:tcPr>
          <w:p>
            <w:pPr>
              <w:ind w:left="-80"/>
              <w:jc w:val="right"/>
              <w:rPr>
                <w:rFonts w:hint="default" w:ascii="Arial" w:hAnsi="Arial" w:eastAsia="宋体" w:cs="Arial"/>
                <w:color w:val="000000"/>
                <w:sz w:val="24"/>
                <w:lang w:val="en-US" w:eastAsia="zh-CN"/>
              </w:rPr>
            </w:pPr>
            <w:r>
              <w:rPr>
                <w:rFonts w:hint="eastAsia" w:ascii="Arial" w:hAnsi="Arial" w:cs="Arial"/>
                <w:color w:val="000000"/>
                <w:sz w:val="24"/>
                <w:lang w:val="en-US" w:eastAsia="zh-CN"/>
              </w:rPr>
              <w:t>1,356,382.43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97" w:type="dxa"/>
            <w:vAlign w:val="center"/>
          </w:tcPr>
          <w:p>
            <w:pP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加：20</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年</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lang w:val="en-US" w:eastAsia="zh-CN"/>
                <w14:textFill>
                  <w14:solidFill>
                    <w14:schemeClr w14:val="tx1"/>
                  </w14:solidFill>
                </w14:textFill>
              </w:rPr>
              <w:t>22</w:t>
            </w:r>
            <w:r>
              <w:rPr>
                <w:rFonts w:hint="eastAsia" w:ascii="宋体" w:hAnsi="宋体"/>
                <w:color w:val="000000" w:themeColor="text1"/>
                <w:szCs w:val="21"/>
                <w14:textFill>
                  <w14:solidFill>
                    <w14:schemeClr w14:val="tx1"/>
                  </w14:solidFill>
                </w14:textFill>
              </w:rPr>
              <w:t>日确认</w:t>
            </w:r>
            <w:r>
              <w:rPr>
                <w:rFonts w:hint="eastAsia" w:ascii="宋体" w:hAnsi="宋体"/>
                <w:color w:val="000000" w:themeColor="text1"/>
                <w:szCs w:val="21"/>
                <w:lang w:val="en-US" w:eastAsia="zh-CN"/>
                <w14:textFill>
                  <w14:solidFill>
                    <w14:schemeClr w14:val="tx1"/>
                  </w14:solidFill>
                </w14:textFill>
              </w:rPr>
              <w:t>申购</w:t>
            </w:r>
            <w:r>
              <w:rPr>
                <w:rFonts w:hint="eastAsia" w:ascii="宋体" w:hAnsi="宋体"/>
                <w:color w:val="000000" w:themeColor="text1"/>
                <w:szCs w:val="21"/>
                <w14:textFill>
                  <w14:solidFill>
                    <w14:schemeClr w14:val="tx1"/>
                  </w14:solidFill>
                </w14:textFill>
              </w:rPr>
              <w:t>对价</w:t>
            </w:r>
          </w:p>
        </w:tc>
        <w:tc>
          <w:tcPr>
            <w:tcW w:w="5675" w:type="dxa"/>
            <w:vAlign w:val="center"/>
          </w:tcPr>
          <w:p>
            <w:pPr>
              <w:ind w:left="-80"/>
              <w:jc w:val="right"/>
              <w:rPr>
                <w:rFonts w:hint="eastAsia" w:ascii="Arial" w:hAnsi="Arial" w:cs="Arial"/>
                <w:color w:val="000000"/>
                <w:sz w:val="24"/>
                <w:lang w:val="en-US" w:eastAsia="zh-CN"/>
              </w:rPr>
            </w:pPr>
            <w:r>
              <w:rPr>
                <w:rFonts w:hint="eastAsia" w:ascii="Arial" w:hAnsi="Arial" w:cs="Arial"/>
                <w:color w:val="000000"/>
                <w:sz w:val="24"/>
                <w:lang w:val="en-US" w:eastAsia="zh-CN"/>
              </w:rPr>
              <w:t>29.98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97"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加：清算期间净收益</w:t>
            </w:r>
          </w:p>
        </w:tc>
        <w:tc>
          <w:tcPr>
            <w:tcW w:w="5675" w:type="dxa"/>
            <w:vAlign w:val="center"/>
          </w:tcPr>
          <w:p>
            <w:pPr>
              <w:ind w:left="-80"/>
              <w:jc w:val="right"/>
              <w:rPr>
                <w:rFonts w:ascii="Arial" w:hAnsi="Arial" w:cs="Arial"/>
                <w:color w:val="000000"/>
                <w:sz w:val="24"/>
              </w:rPr>
            </w:pPr>
            <w:r>
              <w:rPr>
                <w:rFonts w:hint="eastAsia" w:ascii="Arial" w:hAnsi="Arial" w:cs="Arial"/>
                <w:b/>
                <w:bCs/>
                <w:color w:val="000000"/>
                <w:sz w:val="24"/>
              </w:rPr>
              <w:t>10,605.76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97" w:type="dxa"/>
            <w:vAlign w:val="center"/>
          </w:tcPr>
          <w:p>
            <w:p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二、</w:t>
            </w:r>
            <w:r>
              <w:rPr>
                <w:rFonts w:ascii="宋体" w:hAnsi="宋体"/>
                <w:b/>
                <w:color w:val="000000" w:themeColor="text1"/>
                <w:szCs w:val="21"/>
                <w14:textFill>
                  <w14:solidFill>
                    <w14:schemeClr w14:val="tx1"/>
                  </w14:solidFill>
                </w14:textFill>
              </w:rPr>
              <w:t>202</w:t>
            </w:r>
            <w:r>
              <w:rPr>
                <w:rFonts w:hint="eastAsia" w:ascii="宋体" w:hAnsi="宋体"/>
                <w:b/>
                <w:color w:val="000000" w:themeColor="text1"/>
                <w:szCs w:val="21"/>
                <w:lang w:val="en-US" w:eastAsia="zh-CN"/>
                <w14:textFill>
                  <w14:solidFill>
                    <w14:schemeClr w14:val="tx1"/>
                  </w14:solidFill>
                </w14:textFill>
              </w:rPr>
              <w:t>3</w:t>
            </w:r>
            <w:r>
              <w:rPr>
                <w:rFonts w:hint="eastAsia" w:ascii="宋体" w:hAnsi="宋体"/>
                <w:b/>
                <w:color w:val="000000" w:themeColor="text1"/>
                <w:szCs w:val="21"/>
                <w14:textFill>
                  <w14:solidFill>
                    <w14:schemeClr w14:val="tx1"/>
                  </w14:solidFill>
                </w14:textFill>
              </w:rPr>
              <w:t>年</w:t>
            </w:r>
            <w:r>
              <w:rPr>
                <w:rFonts w:ascii="宋体" w:hAnsi="宋体"/>
                <w:b/>
                <w:color w:val="000000" w:themeColor="text1"/>
                <w:szCs w:val="21"/>
                <w14:textFill>
                  <w14:solidFill>
                    <w14:schemeClr w14:val="tx1"/>
                  </w14:solidFill>
                </w14:textFill>
              </w:rPr>
              <w:t>6</w:t>
            </w:r>
            <w:r>
              <w:rPr>
                <w:rFonts w:hint="eastAsia" w:ascii="宋体" w:hAnsi="宋体"/>
                <w:b/>
                <w:color w:val="000000" w:themeColor="text1"/>
                <w:szCs w:val="21"/>
                <w14:textFill>
                  <w14:solidFill>
                    <w14:schemeClr w14:val="tx1"/>
                  </w14:solidFill>
                </w14:textFill>
              </w:rPr>
              <w:t>月</w:t>
            </w:r>
            <w:r>
              <w:rPr>
                <w:rFonts w:hint="eastAsia" w:ascii="宋体" w:hAnsi="宋体"/>
                <w:b/>
                <w:color w:val="000000" w:themeColor="text1"/>
                <w:szCs w:val="21"/>
                <w:lang w:val="en-US" w:eastAsia="zh-CN"/>
                <w14:textFill>
                  <w14:solidFill>
                    <w14:schemeClr w14:val="tx1"/>
                  </w14:solidFill>
                </w14:textFill>
              </w:rPr>
              <w:t>15</w:t>
            </w:r>
            <w:r>
              <w:rPr>
                <w:rFonts w:hint="eastAsia" w:ascii="宋体" w:hAnsi="宋体"/>
                <w:b/>
                <w:color w:val="000000" w:themeColor="text1"/>
                <w:szCs w:val="21"/>
                <w14:textFill>
                  <w14:solidFill>
                    <w14:schemeClr w14:val="tx1"/>
                  </w14:solidFill>
                </w14:textFill>
              </w:rPr>
              <w:t>日基金净资产</w:t>
            </w:r>
          </w:p>
        </w:tc>
        <w:tc>
          <w:tcPr>
            <w:tcW w:w="5675" w:type="dxa"/>
            <w:vAlign w:val="center"/>
          </w:tcPr>
          <w:p>
            <w:pPr>
              <w:ind w:left="-80"/>
              <w:jc w:val="right"/>
              <w:rPr>
                <w:rFonts w:ascii="Arial" w:hAnsi="Arial" w:cs="Arial"/>
                <w:b/>
                <w:color w:val="000000"/>
                <w:sz w:val="24"/>
              </w:rPr>
            </w:pPr>
            <w:r>
              <w:rPr>
                <w:rFonts w:hint="eastAsia" w:ascii="Arial" w:hAnsi="Arial" w:cs="Arial"/>
                <w:b/>
                <w:color w:val="000000"/>
                <w:sz w:val="24"/>
              </w:rPr>
              <w:t>30,797,416.10</w:t>
            </w:r>
          </w:p>
        </w:tc>
      </w:tr>
    </w:tbl>
    <w:p>
      <w:pPr>
        <w:pStyle w:val="24"/>
        <w:numPr>
          <w:ilvl w:val="0"/>
          <w:numId w:val="1"/>
        </w:numPr>
      </w:pPr>
      <w:r>
        <w:rPr>
          <w:rFonts w:hint="eastAsia"/>
        </w:rPr>
        <w:t>截至本次清算期结束日202</w:t>
      </w:r>
      <w:r>
        <w:rPr>
          <w:rFonts w:hint="eastAsia"/>
          <w:lang w:val="en-US" w:eastAsia="zh-CN"/>
        </w:rPr>
        <w:t>3</w:t>
      </w:r>
      <w:r>
        <w:rPr>
          <w:rFonts w:hint="eastAsia"/>
        </w:rPr>
        <w:t>年</w:t>
      </w:r>
      <w:r>
        <w:t>6</w:t>
      </w:r>
      <w:r>
        <w:rPr>
          <w:rFonts w:hint="eastAsia"/>
        </w:rPr>
        <w:t>月</w:t>
      </w:r>
      <w:r>
        <w:rPr>
          <w:rFonts w:hint="eastAsia"/>
          <w:lang w:val="en-US" w:eastAsia="zh-CN"/>
        </w:rPr>
        <w:t>15</w:t>
      </w:r>
      <w:r>
        <w:rPr>
          <w:rFonts w:hint="eastAsia"/>
        </w:rPr>
        <w:t>日，本基金剩余财产为人民币</w:t>
      </w:r>
      <w:r>
        <w:rPr>
          <w:rFonts w:hint="eastAsia"/>
          <w:color w:val="000000" w:themeColor="text1"/>
          <w14:textFill>
            <w14:solidFill>
              <w14:schemeClr w14:val="tx1"/>
            </w14:solidFill>
          </w14:textFill>
        </w:rPr>
        <w:t>30,797,416.10</w:t>
      </w:r>
      <w:r>
        <w:rPr>
          <w:rFonts w:hint="eastAsia"/>
        </w:rPr>
        <w:t>元，基金净资产为</w:t>
      </w:r>
      <w:r>
        <w:rPr>
          <w:rFonts w:hint="eastAsia"/>
          <w:color w:val="000000" w:themeColor="text1"/>
          <w14:textFill>
            <w14:solidFill>
              <w14:schemeClr w14:val="tx1"/>
            </w14:solidFill>
          </w14:textFill>
        </w:rPr>
        <w:t>30,797,416.10</w:t>
      </w:r>
      <w:r>
        <w:rPr>
          <w:rFonts w:hint="eastAsia"/>
        </w:rPr>
        <w:t>元。</w:t>
      </w:r>
      <w:r>
        <w:rPr>
          <w:rFonts w:hint="eastAsia"/>
          <w:lang w:val="en-US" w:eastAsia="zh-CN"/>
        </w:rPr>
        <w:t>清算期资产处置及负债清偿安排，已覆盖2023年5月20日至5月21日的资产情况。</w:t>
      </w:r>
      <w:r>
        <w:rPr>
          <w:rFonts w:hint="eastAsia"/>
        </w:rPr>
        <w:t>自本次清算期结束日次日20</w:t>
      </w:r>
      <w:r>
        <w:t>2</w:t>
      </w:r>
      <w:r>
        <w:rPr>
          <w:rFonts w:hint="eastAsia"/>
          <w:lang w:val="en-US" w:eastAsia="zh-CN"/>
        </w:rPr>
        <w:t>3</w:t>
      </w:r>
      <w:r>
        <w:rPr>
          <w:rFonts w:hint="eastAsia"/>
        </w:rPr>
        <w:t>年</w:t>
      </w:r>
      <w:r>
        <w:t>6</w:t>
      </w:r>
      <w:r>
        <w:rPr>
          <w:rFonts w:hint="eastAsia"/>
        </w:rPr>
        <w:t>月</w:t>
      </w:r>
      <w:r>
        <w:rPr>
          <w:rFonts w:hint="eastAsia"/>
          <w:lang w:val="en-US" w:eastAsia="zh-CN"/>
        </w:rPr>
        <w:t>16</w:t>
      </w:r>
      <w:r>
        <w:rPr>
          <w:rFonts w:hint="eastAsia"/>
        </w:rPr>
        <w:t>日至清算款划出前一日的收益和费用由基金份额持有人享有和承担。</w:t>
      </w:r>
    </w:p>
    <w:p>
      <w:pPr>
        <w:spacing w:line="360" w:lineRule="auto"/>
        <w:ind w:firstLine="420" w:firstLineChars="200"/>
        <w:rPr>
          <w:rFonts w:ascii="宋体" w:hAnsi="宋体"/>
          <w:szCs w:val="21"/>
        </w:rPr>
      </w:pPr>
      <w:r>
        <w:rPr>
          <w:rFonts w:hint="eastAsia" w:ascii="宋体" w:hAnsi="宋体"/>
          <w:szCs w:val="21"/>
        </w:rP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pPr>
        <w:pStyle w:val="2"/>
        <w:keepNext/>
        <w:keepLines/>
        <w:widowControl w:val="0"/>
        <w:spacing w:before="312" w:beforeLines="100" w:after="312" w:afterLines="100" w:line="360" w:lineRule="auto"/>
        <w:jc w:val="center"/>
        <w:rPr>
          <w:rStyle w:val="20"/>
          <w:rFonts w:ascii="宋体" w:hAnsi="宋体"/>
        </w:rPr>
      </w:pPr>
      <w:bookmarkStart w:id="52" w:name="_Toc491963090"/>
      <w:bookmarkStart w:id="53" w:name="_Toc225500055"/>
      <w:bookmarkStart w:id="54" w:name="_Toc409100108"/>
      <w:bookmarkStart w:id="55" w:name="_Toc476577307"/>
      <w:bookmarkStart w:id="56" w:name="_Toc361324903"/>
      <w:bookmarkStart w:id="57" w:name="_Toc484769810"/>
      <w:bookmarkStart w:id="58" w:name="_Toc409100471"/>
      <w:r>
        <w:rPr>
          <w:rStyle w:val="20"/>
          <w:rFonts w:hint="eastAsia" w:ascii="宋体" w:hAnsi="宋体"/>
        </w:rPr>
        <w:t>6、</w:t>
      </w:r>
      <w:r>
        <w:rPr>
          <w:rStyle w:val="20"/>
          <w:rFonts w:ascii="宋体" w:hAnsi="宋体"/>
        </w:rPr>
        <w:t>备查文件目录</w:t>
      </w:r>
      <w:bookmarkEnd w:id="52"/>
      <w:bookmarkEnd w:id="53"/>
      <w:bookmarkEnd w:id="54"/>
      <w:bookmarkEnd w:id="55"/>
      <w:bookmarkEnd w:id="56"/>
      <w:bookmarkEnd w:id="57"/>
      <w:bookmarkEnd w:id="58"/>
    </w:p>
    <w:p>
      <w:pPr>
        <w:pStyle w:val="3"/>
        <w:spacing w:before="0" w:after="0"/>
        <w:rPr>
          <w:rFonts w:ascii="宋体" w:hAnsi="宋体" w:eastAsia="宋体"/>
          <w:kern w:val="0"/>
          <w:sz w:val="21"/>
          <w:szCs w:val="21"/>
        </w:rPr>
      </w:pPr>
      <w:bookmarkStart w:id="59" w:name="_Toc484769811"/>
      <w:bookmarkStart w:id="60" w:name="_Toc484607315"/>
      <w:bookmarkStart w:id="61" w:name="_Toc409100109"/>
      <w:bookmarkStart w:id="62" w:name="_Toc409100472"/>
      <w:bookmarkStart w:id="63" w:name="_Toc483396843"/>
      <w:bookmarkStart w:id="64" w:name="_Toc476577308"/>
      <w:bookmarkStart w:id="65" w:name="_Toc361324904"/>
      <w:bookmarkStart w:id="66" w:name="_Toc491963091"/>
      <w:r>
        <w:rPr>
          <w:rFonts w:hint="eastAsia" w:ascii="宋体" w:hAnsi="宋体" w:eastAsia="宋体"/>
          <w:kern w:val="0"/>
          <w:sz w:val="21"/>
          <w:szCs w:val="21"/>
        </w:rPr>
        <w:t>6</w:t>
      </w:r>
      <w:r>
        <w:rPr>
          <w:rFonts w:ascii="宋体" w:hAnsi="宋体" w:eastAsia="宋体"/>
          <w:kern w:val="0"/>
          <w:sz w:val="21"/>
          <w:szCs w:val="21"/>
        </w:rPr>
        <w:t>.1 备查文件目录</w:t>
      </w:r>
      <w:bookmarkEnd w:id="59"/>
      <w:bookmarkEnd w:id="60"/>
      <w:bookmarkEnd w:id="61"/>
      <w:bookmarkEnd w:id="62"/>
      <w:bookmarkEnd w:id="63"/>
      <w:bookmarkEnd w:id="64"/>
      <w:bookmarkEnd w:id="65"/>
      <w:bookmarkEnd w:id="66"/>
    </w:p>
    <w:p>
      <w:pPr>
        <w:spacing w:line="360" w:lineRule="auto"/>
        <w:ind w:firstLine="420" w:firstLineChars="200"/>
        <w:rPr>
          <w:rFonts w:ascii="宋体" w:hAnsi="宋体"/>
          <w:szCs w:val="21"/>
        </w:rPr>
      </w:pPr>
      <w:r>
        <w:rPr>
          <w:rFonts w:hint="eastAsia" w:ascii="宋体" w:hAnsi="宋体"/>
          <w:color w:val="000000"/>
          <w:szCs w:val="21"/>
        </w:rPr>
        <w:t>6.</w:t>
      </w:r>
      <w:r>
        <w:rPr>
          <w:rFonts w:ascii="宋体" w:hAnsi="宋体"/>
          <w:color w:val="000000"/>
          <w:szCs w:val="21"/>
        </w:rPr>
        <w:t>1.1</w:t>
      </w:r>
      <w:r>
        <w:rPr>
          <w:rFonts w:hint="eastAsia"/>
        </w:rPr>
        <w:t>博时恒荣一年持有期混合型证券投资基金</w:t>
      </w:r>
      <w:r>
        <w:rPr>
          <w:rFonts w:ascii="宋体" w:hAnsi="宋体"/>
          <w:color w:val="000000"/>
          <w:szCs w:val="21"/>
        </w:rPr>
        <w:t>清算财务报表及审计报告</w:t>
      </w:r>
    </w:p>
    <w:p>
      <w:pPr>
        <w:spacing w:line="360" w:lineRule="auto"/>
        <w:ind w:firstLine="420" w:firstLineChars="200"/>
        <w:rPr>
          <w:rFonts w:ascii="宋体" w:hAnsi="宋体"/>
          <w:color w:val="000000"/>
          <w:szCs w:val="21"/>
        </w:rPr>
      </w:pPr>
      <w:r>
        <w:rPr>
          <w:rFonts w:hint="eastAsia" w:ascii="宋体" w:hAnsi="宋体"/>
          <w:color w:val="000000"/>
          <w:szCs w:val="21"/>
        </w:rPr>
        <w:t>6</w:t>
      </w:r>
      <w:r>
        <w:rPr>
          <w:rFonts w:ascii="宋体" w:hAnsi="宋体"/>
          <w:color w:val="000000"/>
          <w:szCs w:val="21"/>
        </w:rPr>
        <w:t>.1.2上海</w:t>
      </w:r>
      <w:r>
        <w:rPr>
          <w:rFonts w:hint="eastAsia" w:ascii="宋体" w:hAnsi="宋体"/>
          <w:color w:val="000000"/>
          <w:szCs w:val="21"/>
        </w:rPr>
        <w:t>市通力</w:t>
      </w:r>
      <w:r>
        <w:rPr>
          <w:rFonts w:ascii="宋体" w:hAnsi="宋体"/>
          <w:color w:val="000000"/>
          <w:szCs w:val="21"/>
        </w:rPr>
        <w:t>律师事务所</w:t>
      </w:r>
      <w:r>
        <w:rPr>
          <w:rFonts w:hint="eastAsia" w:ascii="宋体" w:hAnsi="宋体"/>
          <w:color w:val="000000"/>
          <w:szCs w:val="21"/>
        </w:rPr>
        <w:t>关于</w:t>
      </w:r>
      <w:r>
        <w:rPr>
          <w:rFonts w:hint="eastAsia"/>
        </w:rPr>
        <w:t>博时恒荣一年持有期混合型证券投资基金</w:t>
      </w:r>
      <w:r>
        <w:rPr>
          <w:rFonts w:hint="eastAsia" w:ascii="宋体" w:hAnsi="宋体"/>
          <w:color w:val="000000"/>
          <w:szCs w:val="21"/>
        </w:rPr>
        <w:t>清算事宜之</w:t>
      </w:r>
      <w:r>
        <w:rPr>
          <w:rFonts w:ascii="宋体" w:hAnsi="宋体"/>
          <w:color w:val="000000"/>
          <w:szCs w:val="21"/>
        </w:rPr>
        <w:t>法律意见</w:t>
      </w:r>
    </w:p>
    <w:p>
      <w:pPr>
        <w:pStyle w:val="3"/>
        <w:spacing w:before="0" w:after="0"/>
        <w:rPr>
          <w:rFonts w:ascii="宋体" w:hAnsi="宋体" w:eastAsia="宋体"/>
          <w:kern w:val="0"/>
          <w:sz w:val="21"/>
          <w:szCs w:val="21"/>
        </w:rPr>
      </w:pPr>
      <w:bookmarkStart w:id="67" w:name="_Toc476577309"/>
      <w:bookmarkStart w:id="68" w:name="_Toc484607316"/>
      <w:bookmarkStart w:id="69" w:name="_Toc483396844"/>
      <w:bookmarkStart w:id="70" w:name="_Toc409100110"/>
      <w:bookmarkStart w:id="71" w:name="_Toc484769812"/>
      <w:bookmarkStart w:id="72" w:name="_Toc361324905"/>
      <w:bookmarkStart w:id="73" w:name="_Toc491963092"/>
      <w:bookmarkStart w:id="74" w:name="_Toc409100473"/>
      <w:r>
        <w:rPr>
          <w:rFonts w:hint="eastAsia" w:ascii="宋体" w:hAnsi="宋体" w:eastAsia="宋体"/>
          <w:kern w:val="0"/>
          <w:sz w:val="21"/>
          <w:szCs w:val="21"/>
        </w:rPr>
        <w:t>6</w:t>
      </w:r>
      <w:r>
        <w:rPr>
          <w:rFonts w:ascii="宋体" w:hAnsi="宋体" w:eastAsia="宋体"/>
          <w:kern w:val="0"/>
          <w:sz w:val="21"/>
          <w:szCs w:val="21"/>
        </w:rPr>
        <w:t>.2 存放地点</w:t>
      </w:r>
      <w:bookmarkEnd w:id="67"/>
      <w:bookmarkEnd w:id="68"/>
      <w:bookmarkEnd w:id="69"/>
      <w:bookmarkEnd w:id="70"/>
      <w:bookmarkEnd w:id="71"/>
      <w:bookmarkEnd w:id="72"/>
      <w:bookmarkEnd w:id="73"/>
      <w:bookmarkEnd w:id="74"/>
    </w:p>
    <w:p>
      <w:pPr>
        <w:spacing w:line="360" w:lineRule="auto"/>
        <w:ind w:firstLine="420" w:firstLineChars="200"/>
        <w:rPr>
          <w:rFonts w:ascii="宋体" w:hAnsi="宋体"/>
          <w:color w:val="000000"/>
          <w:szCs w:val="21"/>
        </w:rPr>
      </w:pPr>
      <w:r>
        <w:rPr>
          <w:rFonts w:ascii="宋体" w:hAnsi="宋体"/>
          <w:color w:val="000000"/>
          <w:szCs w:val="21"/>
        </w:rPr>
        <w:t>基金管理人、基金托管人处</w:t>
      </w:r>
    </w:p>
    <w:p>
      <w:pPr>
        <w:pStyle w:val="3"/>
        <w:spacing w:before="0" w:after="0"/>
        <w:rPr>
          <w:rFonts w:ascii="宋体" w:hAnsi="宋体" w:eastAsia="宋体"/>
          <w:kern w:val="0"/>
          <w:sz w:val="21"/>
          <w:szCs w:val="21"/>
        </w:rPr>
      </w:pPr>
      <w:bookmarkStart w:id="75" w:name="_Toc483396845"/>
      <w:bookmarkStart w:id="76" w:name="_Toc409100111"/>
      <w:bookmarkStart w:id="77" w:name="_Toc361324906"/>
      <w:bookmarkStart w:id="78" w:name="_Toc484607317"/>
      <w:bookmarkStart w:id="79" w:name="_Toc476577310"/>
      <w:bookmarkStart w:id="80" w:name="_Toc484769813"/>
      <w:bookmarkStart w:id="81" w:name="_Toc409100474"/>
      <w:bookmarkStart w:id="82" w:name="_Toc491963093"/>
      <w:r>
        <w:rPr>
          <w:rFonts w:hint="eastAsia" w:ascii="宋体" w:hAnsi="宋体" w:eastAsia="宋体"/>
          <w:kern w:val="0"/>
          <w:sz w:val="21"/>
          <w:szCs w:val="21"/>
        </w:rPr>
        <w:t>6</w:t>
      </w:r>
      <w:r>
        <w:rPr>
          <w:rFonts w:ascii="宋体" w:hAnsi="宋体" w:eastAsia="宋体"/>
          <w:kern w:val="0"/>
          <w:sz w:val="21"/>
          <w:szCs w:val="21"/>
        </w:rPr>
        <w:t>.3 查阅方式</w:t>
      </w:r>
      <w:bookmarkEnd w:id="75"/>
      <w:bookmarkEnd w:id="76"/>
      <w:bookmarkEnd w:id="77"/>
      <w:bookmarkEnd w:id="78"/>
      <w:bookmarkEnd w:id="79"/>
      <w:bookmarkEnd w:id="80"/>
      <w:bookmarkEnd w:id="81"/>
      <w:bookmarkEnd w:id="82"/>
    </w:p>
    <w:p>
      <w:pPr>
        <w:spacing w:line="360" w:lineRule="auto"/>
        <w:ind w:firstLine="420" w:firstLineChars="200"/>
        <w:rPr>
          <w:rFonts w:ascii="宋体" w:hAnsi="宋体"/>
          <w:color w:val="000000"/>
          <w:szCs w:val="21"/>
        </w:rPr>
      </w:pPr>
      <w:r>
        <w:rPr>
          <w:rFonts w:ascii="宋体" w:hAnsi="宋体"/>
          <w:color w:val="000000"/>
          <w:szCs w:val="21"/>
        </w:rPr>
        <w:t>投资者可在营业时间免费查阅，也可按工本费购买复印件</w:t>
      </w:r>
    </w:p>
    <w:p>
      <w:pPr>
        <w:spacing w:line="360" w:lineRule="auto"/>
        <w:ind w:firstLine="420" w:firstLineChars="200"/>
        <w:rPr>
          <w:rFonts w:ascii="宋体" w:hAnsi="宋体"/>
          <w:color w:val="000000"/>
          <w:szCs w:val="21"/>
        </w:rPr>
      </w:pPr>
      <w:r>
        <w:rPr>
          <w:rFonts w:ascii="宋体" w:hAnsi="宋体"/>
          <w:color w:val="000000"/>
          <w:szCs w:val="21"/>
        </w:rPr>
        <w:t>投资者对本报告书如有疑问，可咨询本基金管理人博时基金管理有限公司</w:t>
      </w:r>
    </w:p>
    <w:p>
      <w:pPr>
        <w:spacing w:line="360" w:lineRule="auto"/>
        <w:ind w:firstLine="420" w:firstLineChars="200"/>
        <w:rPr>
          <w:rFonts w:ascii="宋体" w:hAnsi="宋体"/>
          <w:color w:val="000000"/>
          <w:szCs w:val="21"/>
        </w:rPr>
      </w:pPr>
      <w:r>
        <w:rPr>
          <w:rFonts w:ascii="宋体" w:hAnsi="宋体"/>
          <w:color w:val="000000"/>
          <w:szCs w:val="21"/>
        </w:rPr>
        <w:t>博时一线通：95105568（免长途话费）</w:t>
      </w:r>
    </w:p>
    <w:p>
      <w:pPr>
        <w:spacing w:line="360" w:lineRule="auto"/>
        <w:ind w:firstLine="315" w:firstLineChars="150"/>
        <w:rPr>
          <w:rFonts w:ascii="宋体" w:hAnsi="宋体"/>
          <w:bCs/>
          <w:color w:val="000000" w:themeColor="text1"/>
          <w:szCs w:val="21"/>
          <w14:textFill>
            <w14:solidFill>
              <w14:schemeClr w14:val="tx1"/>
            </w14:solidFill>
          </w14:textFill>
        </w:rPr>
      </w:pPr>
    </w:p>
    <w:p>
      <w:pPr>
        <w:spacing w:line="360" w:lineRule="auto"/>
        <w:ind w:firstLine="315" w:firstLineChars="150"/>
        <w:rPr>
          <w:rFonts w:ascii="宋体" w:hAnsi="宋体"/>
          <w:bCs/>
          <w:color w:val="000000" w:themeColor="text1"/>
          <w:szCs w:val="21"/>
          <w14:textFill>
            <w14:solidFill>
              <w14:schemeClr w14:val="tx1"/>
            </w14:solidFill>
          </w14:textFill>
        </w:rPr>
      </w:pPr>
    </w:p>
    <w:p>
      <w:pPr>
        <w:spacing w:line="360" w:lineRule="auto"/>
        <w:ind w:firstLine="315" w:firstLineChars="150"/>
        <w:rPr>
          <w:rFonts w:ascii="宋体" w:hAnsi="宋体"/>
          <w:bCs/>
          <w:color w:val="000000" w:themeColor="text1"/>
          <w:szCs w:val="21"/>
          <w14:textFill>
            <w14:solidFill>
              <w14:schemeClr w14:val="tx1"/>
            </w14:solidFill>
          </w14:textFill>
        </w:rPr>
      </w:pPr>
    </w:p>
    <w:p>
      <w:pPr>
        <w:spacing w:line="360" w:lineRule="auto"/>
        <w:ind w:left="840"/>
        <w:jc w:val="right"/>
        <w:rPr>
          <w:rFonts w:ascii="宋体" w:hAnsi="宋体"/>
          <w:bCs/>
          <w:szCs w:val="21"/>
        </w:rPr>
      </w:pPr>
      <w:r>
        <w:rPr>
          <w:rFonts w:hint="eastAsia"/>
        </w:rPr>
        <w:t>博时恒荣一年持有期混合型证券投资基金</w:t>
      </w:r>
      <w:r>
        <w:rPr>
          <w:rFonts w:hint="eastAsia" w:ascii="宋体" w:hAnsi="宋体"/>
          <w:bCs/>
          <w:szCs w:val="21"/>
        </w:rPr>
        <w:t>基金财产清算小组</w:t>
      </w:r>
    </w:p>
    <w:p>
      <w:pPr>
        <w:wordWrap w:val="0"/>
        <w:spacing w:line="360" w:lineRule="auto"/>
        <w:ind w:left="840" w:right="420" w:firstLine="3885" w:firstLineChars="1850"/>
        <w:jc w:val="right"/>
      </w:pPr>
      <w:r>
        <w:rPr>
          <w:rFonts w:ascii="宋体" w:hAnsi="宋体"/>
          <w:bCs/>
          <w:szCs w:val="21"/>
        </w:rPr>
        <w:t>二〇</w:t>
      </w:r>
      <w:bookmarkStart w:id="83" w:name="_GoBack"/>
      <w:bookmarkEnd w:id="83"/>
      <w:r>
        <w:rPr>
          <w:rFonts w:hint="eastAsia" w:ascii="宋体" w:hAnsi="宋体"/>
          <w:bCs/>
          <w:szCs w:val="21"/>
        </w:rPr>
        <w:t>二</w:t>
      </w:r>
      <w:r>
        <w:rPr>
          <w:rFonts w:hint="eastAsia" w:ascii="宋体" w:hAnsi="宋体"/>
          <w:bCs/>
          <w:szCs w:val="21"/>
          <w:lang w:val="en-US" w:eastAsia="zh-CN"/>
        </w:rPr>
        <w:t>三</w:t>
      </w:r>
      <w:r>
        <w:rPr>
          <w:rFonts w:ascii="宋体" w:hAnsi="宋体"/>
          <w:bCs/>
          <w:szCs w:val="21"/>
        </w:rPr>
        <w:t>年</w:t>
      </w:r>
      <w:r>
        <w:rPr>
          <w:rFonts w:hint="eastAsia" w:ascii="宋体" w:hAnsi="宋体"/>
          <w:bCs/>
          <w:szCs w:val="21"/>
        </w:rPr>
        <w:t>六</w:t>
      </w:r>
      <w:r>
        <w:rPr>
          <w:rFonts w:ascii="宋体" w:hAnsi="宋体"/>
          <w:bCs/>
          <w:szCs w:val="21"/>
        </w:rPr>
        <w:t>月</w:t>
      </w:r>
      <w:r>
        <w:rPr>
          <w:rFonts w:hint="eastAsia" w:ascii="宋体" w:hAnsi="宋体"/>
          <w:bCs/>
          <w:szCs w:val="21"/>
          <w:lang w:val="en-US" w:eastAsia="zh-CN"/>
        </w:rPr>
        <w:t>二十九</w:t>
      </w:r>
      <w:r>
        <w:rPr>
          <w:rFonts w:ascii="宋体" w:hAnsi="宋体"/>
          <w:bCs/>
          <w:szCs w:val="21"/>
        </w:rPr>
        <w:t>日</w:t>
      </w: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宋体棬　僬　.">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0446840"/>
      <w:docPartObj>
        <w:docPartGallery w:val="autotext"/>
      </w:docPartObj>
    </w:sdtPr>
    <w:sdtContent>
      <w:p>
        <w:pPr>
          <w:pStyle w:val="7"/>
          <w:jc w:val="center"/>
        </w:pPr>
        <w:r>
          <w:fldChar w:fldCharType="begin"/>
        </w:r>
        <w:r>
          <w:instrText xml:space="preserve">PAGE   \* MERGEFORMAT</w:instrText>
        </w:r>
        <w:r>
          <w:fldChar w:fldCharType="separate"/>
        </w:r>
        <w:r>
          <w:rPr>
            <w:lang w:val="zh-CN"/>
          </w:rPr>
          <w:t>10</w:t>
        </w:r>
        <w: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0"/>
      </w:pBdr>
      <w:tabs>
        <w:tab w:val="left" w:pos="3105"/>
        <w:tab w:val="right" w:pos="9090"/>
      </w:tabs>
      <w:jc w:val="left"/>
    </w:pPr>
    <w:r>
      <w:rPr>
        <w:sz w:val="21"/>
        <w:szCs w:val="21"/>
      </w:rPr>
      <w:tab/>
    </w:r>
    <w:r>
      <w:rPr>
        <w:sz w:val="21"/>
        <w:szCs w:val="21"/>
      </w:rPr>
      <w:tab/>
    </w:r>
    <w:r>
      <w:drawing>
        <wp:anchor distT="0" distB="0" distL="114300" distR="114300" simplePos="0" relativeHeight="251660288"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7300" cy="3143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0"/>
      </w:pBdr>
      <w:tabs>
        <w:tab w:val="left" w:pos="3105"/>
        <w:tab w:val="right" w:pos="9090"/>
      </w:tabs>
      <w:jc w:val="left"/>
    </w:pPr>
    <w:r>
      <w:rPr>
        <w:sz w:val="21"/>
        <w:szCs w:val="21"/>
      </w:rPr>
      <w:tab/>
    </w:r>
    <w:r>
      <w:rPr>
        <w:sz w:val="21"/>
        <w:szCs w:val="21"/>
      </w:rPr>
      <w:tab/>
    </w:r>
    <w:r>
      <w:drawing>
        <wp:anchor distT="0" distB="0" distL="114300" distR="114300" simplePos="0" relativeHeight="251659264"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4" name="图片 4"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7300" cy="3143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5C6ED4"/>
    <w:multiLevelType w:val="singleLevel"/>
    <w:tmpl w:val="8B5C6ED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6A"/>
    <w:rsid w:val="0000095F"/>
    <w:rsid w:val="000137FB"/>
    <w:rsid w:val="00044D6A"/>
    <w:rsid w:val="00047E84"/>
    <w:rsid w:val="00052B79"/>
    <w:rsid w:val="000539E5"/>
    <w:rsid w:val="000565B3"/>
    <w:rsid w:val="00077D1B"/>
    <w:rsid w:val="000843E5"/>
    <w:rsid w:val="000A67AD"/>
    <w:rsid w:val="000C1A89"/>
    <w:rsid w:val="000D2477"/>
    <w:rsid w:val="000F0DB6"/>
    <w:rsid w:val="000F38A7"/>
    <w:rsid w:val="000F38C0"/>
    <w:rsid w:val="000F582E"/>
    <w:rsid w:val="00106078"/>
    <w:rsid w:val="001461B5"/>
    <w:rsid w:val="001469B6"/>
    <w:rsid w:val="00155FBE"/>
    <w:rsid w:val="00167779"/>
    <w:rsid w:val="0017203A"/>
    <w:rsid w:val="001837B1"/>
    <w:rsid w:val="00192433"/>
    <w:rsid w:val="001943DA"/>
    <w:rsid w:val="001A25D5"/>
    <w:rsid w:val="001A6186"/>
    <w:rsid w:val="001A64D9"/>
    <w:rsid w:val="001B142B"/>
    <w:rsid w:val="001B27AC"/>
    <w:rsid w:val="001B307F"/>
    <w:rsid w:val="001B6418"/>
    <w:rsid w:val="001C5110"/>
    <w:rsid w:val="001C5F1E"/>
    <w:rsid w:val="001E1155"/>
    <w:rsid w:val="0020164A"/>
    <w:rsid w:val="002025EA"/>
    <w:rsid w:val="00214EB4"/>
    <w:rsid w:val="00234000"/>
    <w:rsid w:val="0023623C"/>
    <w:rsid w:val="0025064B"/>
    <w:rsid w:val="00256EF7"/>
    <w:rsid w:val="002653B2"/>
    <w:rsid w:val="00265EEB"/>
    <w:rsid w:val="002661A0"/>
    <w:rsid w:val="00283A99"/>
    <w:rsid w:val="002873D1"/>
    <w:rsid w:val="002A78CA"/>
    <w:rsid w:val="002B2C22"/>
    <w:rsid w:val="002B3940"/>
    <w:rsid w:val="002B3A7F"/>
    <w:rsid w:val="002B64F0"/>
    <w:rsid w:val="002C1EB1"/>
    <w:rsid w:val="002C206A"/>
    <w:rsid w:val="002D012A"/>
    <w:rsid w:val="002D2D31"/>
    <w:rsid w:val="002E63F9"/>
    <w:rsid w:val="00301ED8"/>
    <w:rsid w:val="00306C8D"/>
    <w:rsid w:val="003123B6"/>
    <w:rsid w:val="0033114F"/>
    <w:rsid w:val="00352E52"/>
    <w:rsid w:val="0035409D"/>
    <w:rsid w:val="00355DCE"/>
    <w:rsid w:val="003835CB"/>
    <w:rsid w:val="00385C7D"/>
    <w:rsid w:val="00386448"/>
    <w:rsid w:val="003B1FF9"/>
    <w:rsid w:val="003C5210"/>
    <w:rsid w:val="003C62D7"/>
    <w:rsid w:val="003E2B75"/>
    <w:rsid w:val="003E5A9A"/>
    <w:rsid w:val="003F58E5"/>
    <w:rsid w:val="004346F7"/>
    <w:rsid w:val="00434B13"/>
    <w:rsid w:val="00436D7F"/>
    <w:rsid w:val="0044360C"/>
    <w:rsid w:val="0044397B"/>
    <w:rsid w:val="004454E6"/>
    <w:rsid w:val="00450E11"/>
    <w:rsid w:val="00455ED0"/>
    <w:rsid w:val="00456810"/>
    <w:rsid w:val="00463891"/>
    <w:rsid w:val="00467B21"/>
    <w:rsid w:val="004850AB"/>
    <w:rsid w:val="00492EFF"/>
    <w:rsid w:val="004A1313"/>
    <w:rsid w:val="004A4000"/>
    <w:rsid w:val="004C29F5"/>
    <w:rsid w:val="004D6178"/>
    <w:rsid w:val="00502816"/>
    <w:rsid w:val="00506722"/>
    <w:rsid w:val="00516AB2"/>
    <w:rsid w:val="00521F84"/>
    <w:rsid w:val="00523B76"/>
    <w:rsid w:val="00523D2E"/>
    <w:rsid w:val="00534804"/>
    <w:rsid w:val="00564FC0"/>
    <w:rsid w:val="005660DC"/>
    <w:rsid w:val="00573CCA"/>
    <w:rsid w:val="00586184"/>
    <w:rsid w:val="00587EB1"/>
    <w:rsid w:val="00591E34"/>
    <w:rsid w:val="005A5F19"/>
    <w:rsid w:val="005B00B8"/>
    <w:rsid w:val="005B1DA8"/>
    <w:rsid w:val="005B7910"/>
    <w:rsid w:val="005C2636"/>
    <w:rsid w:val="005D2BBF"/>
    <w:rsid w:val="005D3C26"/>
    <w:rsid w:val="005E066D"/>
    <w:rsid w:val="005E3053"/>
    <w:rsid w:val="00602945"/>
    <w:rsid w:val="00612741"/>
    <w:rsid w:val="00620453"/>
    <w:rsid w:val="0063424C"/>
    <w:rsid w:val="00635B20"/>
    <w:rsid w:val="006458AE"/>
    <w:rsid w:val="00652E32"/>
    <w:rsid w:val="00662751"/>
    <w:rsid w:val="006631AD"/>
    <w:rsid w:val="00665EC2"/>
    <w:rsid w:val="00680A32"/>
    <w:rsid w:val="0068199C"/>
    <w:rsid w:val="00683CCD"/>
    <w:rsid w:val="006845C6"/>
    <w:rsid w:val="00693EDA"/>
    <w:rsid w:val="006A0CA9"/>
    <w:rsid w:val="006A3E46"/>
    <w:rsid w:val="006C1070"/>
    <w:rsid w:val="006C1BF7"/>
    <w:rsid w:val="006D3ABB"/>
    <w:rsid w:val="006F22C0"/>
    <w:rsid w:val="006F661D"/>
    <w:rsid w:val="006F6EDE"/>
    <w:rsid w:val="00707F9D"/>
    <w:rsid w:val="00714FE5"/>
    <w:rsid w:val="00716C2D"/>
    <w:rsid w:val="0072089C"/>
    <w:rsid w:val="007249F8"/>
    <w:rsid w:val="007302D4"/>
    <w:rsid w:val="00733FD6"/>
    <w:rsid w:val="007446B8"/>
    <w:rsid w:val="007654B6"/>
    <w:rsid w:val="00765C51"/>
    <w:rsid w:val="00772D62"/>
    <w:rsid w:val="00772F4C"/>
    <w:rsid w:val="00784118"/>
    <w:rsid w:val="007A111F"/>
    <w:rsid w:val="007A1382"/>
    <w:rsid w:val="007A4276"/>
    <w:rsid w:val="007C224B"/>
    <w:rsid w:val="007C7E15"/>
    <w:rsid w:val="007D01A7"/>
    <w:rsid w:val="007D2C21"/>
    <w:rsid w:val="007D368E"/>
    <w:rsid w:val="00800E5D"/>
    <w:rsid w:val="00801C52"/>
    <w:rsid w:val="00815886"/>
    <w:rsid w:val="00815FC5"/>
    <w:rsid w:val="008225D8"/>
    <w:rsid w:val="00834E30"/>
    <w:rsid w:val="00845FBE"/>
    <w:rsid w:val="00846CD0"/>
    <w:rsid w:val="00862C4E"/>
    <w:rsid w:val="00872860"/>
    <w:rsid w:val="008761E7"/>
    <w:rsid w:val="00876515"/>
    <w:rsid w:val="00881D41"/>
    <w:rsid w:val="00893D5F"/>
    <w:rsid w:val="008A2534"/>
    <w:rsid w:val="008A2CED"/>
    <w:rsid w:val="008A3541"/>
    <w:rsid w:val="008A37AA"/>
    <w:rsid w:val="008A3F14"/>
    <w:rsid w:val="008B2371"/>
    <w:rsid w:val="008B50E8"/>
    <w:rsid w:val="008D28CA"/>
    <w:rsid w:val="008E44B4"/>
    <w:rsid w:val="008F313A"/>
    <w:rsid w:val="00912B1F"/>
    <w:rsid w:val="0091569A"/>
    <w:rsid w:val="009164BB"/>
    <w:rsid w:val="00916F0F"/>
    <w:rsid w:val="00924654"/>
    <w:rsid w:val="00933D33"/>
    <w:rsid w:val="009837FE"/>
    <w:rsid w:val="00987D82"/>
    <w:rsid w:val="00993E2D"/>
    <w:rsid w:val="009E6B28"/>
    <w:rsid w:val="009F6E54"/>
    <w:rsid w:val="00A01676"/>
    <w:rsid w:val="00A14A60"/>
    <w:rsid w:val="00A23D46"/>
    <w:rsid w:val="00A44F0D"/>
    <w:rsid w:val="00A46614"/>
    <w:rsid w:val="00A50F44"/>
    <w:rsid w:val="00A5445B"/>
    <w:rsid w:val="00A56FA3"/>
    <w:rsid w:val="00A7090F"/>
    <w:rsid w:val="00A728B4"/>
    <w:rsid w:val="00A74683"/>
    <w:rsid w:val="00A862A8"/>
    <w:rsid w:val="00A91EE9"/>
    <w:rsid w:val="00A93929"/>
    <w:rsid w:val="00AA2704"/>
    <w:rsid w:val="00AA33F7"/>
    <w:rsid w:val="00AA5F1B"/>
    <w:rsid w:val="00AA6506"/>
    <w:rsid w:val="00AB4223"/>
    <w:rsid w:val="00AC75BE"/>
    <w:rsid w:val="00AD1682"/>
    <w:rsid w:val="00AE14B8"/>
    <w:rsid w:val="00AE5F6A"/>
    <w:rsid w:val="00B04DF8"/>
    <w:rsid w:val="00B12304"/>
    <w:rsid w:val="00B16F0F"/>
    <w:rsid w:val="00B233AC"/>
    <w:rsid w:val="00B23421"/>
    <w:rsid w:val="00B2597B"/>
    <w:rsid w:val="00B339F1"/>
    <w:rsid w:val="00B43A95"/>
    <w:rsid w:val="00B65F7A"/>
    <w:rsid w:val="00B92205"/>
    <w:rsid w:val="00BB4559"/>
    <w:rsid w:val="00BB63F5"/>
    <w:rsid w:val="00BB738A"/>
    <w:rsid w:val="00BC4087"/>
    <w:rsid w:val="00BE0577"/>
    <w:rsid w:val="00BE2945"/>
    <w:rsid w:val="00BE4A70"/>
    <w:rsid w:val="00BF5EF2"/>
    <w:rsid w:val="00C04232"/>
    <w:rsid w:val="00C11810"/>
    <w:rsid w:val="00C135C6"/>
    <w:rsid w:val="00C14A9A"/>
    <w:rsid w:val="00C16C1F"/>
    <w:rsid w:val="00C210B3"/>
    <w:rsid w:val="00C34DAD"/>
    <w:rsid w:val="00C403BF"/>
    <w:rsid w:val="00C4132F"/>
    <w:rsid w:val="00C41BC6"/>
    <w:rsid w:val="00C46B5E"/>
    <w:rsid w:val="00C525B7"/>
    <w:rsid w:val="00C70690"/>
    <w:rsid w:val="00C80BA7"/>
    <w:rsid w:val="00C80C26"/>
    <w:rsid w:val="00C81D4D"/>
    <w:rsid w:val="00C8253B"/>
    <w:rsid w:val="00C8353B"/>
    <w:rsid w:val="00CA1B80"/>
    <w:rsid w:val="00CA5C95"/>
    <w:rsid w:val="00CB0C41"/>
    <w:rsid w:val="00CC015D"/>
    <w:rsid w:val="00CC6E89"/>
    <w:rsid w:val="00CD5F8A"/>
    <w:rsid w:val="00CD7E4B"/>
    <w:rsid w:val="00CE52AA"/>
    <w:rsid w:val="00CF22FE"/>
    <w:rsid w:val="00D00B39"/>
    <w:rsid w:val="00D05B80"/>
    <w:rsid w:val="00D454FE"/>
    <w:rsid w:val="00D54D70"/>
    <w:rsid w:val="00D77529"/>
    <w:rsid w:val="00D908BA"/>
    <w:rsid w:val="00DA69B2"/>
    <w:rsid w:val="00DA6F9B"/>
    <w:rsid w:val="00DB3DDE"/>
    <w:rsid w:val="00DD0701"/>
    <w:rsid w:val="00DD0AF4"/>
    <w:rsid w:val="00DD447D"/>
    <w:rsid w:val="00DF0830"/>
    <w:rsid w:val="00DF0A36"/>
    <w:rsid w:val="00E036D0"/>
    <w:rsid w:val="00E04E1A"/>
    <w:rsid w:val="00E120A8"/>
    <w:rsid w:val="00E1270D"/>
    <w:rsid w:val="00E142CD"/>
    <w:rsid w:val="00E21B3B"/>
    <w:rsid w:val="00E444C3"/>
    <w:rsid w:val="00E6420A"/>
    <w:rsid w:val="00E667C5"/>
    <w:rsid w:val="00E7448F"/>
    <w:rsid w:val="00E83CB9"/>
    <w:rsid w:val="00E94390"/>
    <w:rsid w:val="00F01202"/>
    <w:rsid w:val="00F03A4C"/>
    <w:rsid w:val="00F31C2E"/>
    <w:rsid w:val="00F349E5"/>
    <w:rsid w:val="00F374DD"/>
    <w:rsid w:val="00F4536A"/>
    <w:rsid w:val="00F45604"/>
    <w:rsid w:val="00F52468"/>
    <w:rsid w:val="00F52622"/>
    <w:rsid w:val="00F53DBF"/>
    <w:rsid w:val="00F54305"/>
    <w:rsid w:val="00F84D89"/>
    <w:rsid w:val="00F869AE"/>
    <w:rsid w:val="00FB4D56"/>
    <w:rsid w:val="00FB67B2"/>
    <w:rsid w:val="00FB68D0"/>
    <w:rsid w:val="00FC3755"/>
    <w:rsid w:val="00FC5621"/>
    <w:rsid w:val="00FC685E"/>
    <w:rsid w:val="00FC7F9D"/>
    <w:rsid w:val="00FE3491"/>
    <w:rsid w:val="00FE7CDD"/>
    <w:rsid w:val="00FF26D8"/>
    <w:rsid w:val="022D79A1"/>
    <w:rsid w:val="097F097C"/>
    <w:rsid w:val="0B215EFC"/>
    <w:rsid w:val="13624F7B"/>
    <w:rsid w:val="1A3B6D03"/>
    <w:rsid w:val="1B143A8E"/>
    <w:rsid w:val="1C25527C"/>
    <w:rsid w:val="1C5B06E2"/>
    <w:rsid w:val="1CAD1B92"/>
    <w:rsid w:val="2C417794"/>
    <w:rsid w:val="2C8331C5"/>
    <w:rsid w:val="3A154CF6"/>
    <w:rsid w:val="443F27DA"/>
    <w:rsid w:val="4D42742A"/>
    <w:rsid w:val="4FD11EC3"/>
    <w:rsid w:val="629F233C"/>
    <w:rsid w:val="675D77E7"/>
    <w:rsid w:val="67EF58C0"/>
    <w:rsid w:val="755C4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9"/>
    <w:pPr>
      <w:widowControl/>
      <w:jc w:val="left"/>
      <w:outlineLvl w:val="0"/>
    </w:pPr>
    <w:rPr>
      <w:kern w:val="0"/>
      <w:sz w:val="24"/>
      <w:szCs w:val="20"/>
      <w:lang w:val="en-GB"/>
    </w:rPr>
  </w:style>
  <w:style w:type="paragraph" w:styleId="3">
    <w:name w:val="heading 2"/>
    <w:basedOn w:val="1"/>
    <w:next w:val="1"/>
    <w:link w:val="2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9"/>
    <w:semiHidden/>
    <w:unhideWhenUsed/>
    <w:qFormat/>
    <w:uiPriority w:val="99"/>
    <w:pPr>
      <w:jc w:val="left"/>
    </w:pPr>
  </w:style>
  <w:style w:type="paragraph" w:styleId="5">
    <w:name w:val="Body Text Indent 2"/>
    <w:basedOn w:val="1"/>
    <w:link w:val="27"/>
    <w:qFormat/>
    <w:uiPriority w:val="0"/>
    <w:pPr>
      <w:spacing w:line="560" w:lineRule="exact"/>
      <w:ind w:firstLine="480" w:firstLineChars="200"/>
    </w:pPr>
    <w:rPr>
      <w:rFonts w:ascii="宋体" w:hAnsi="宋体"/>
      <w:color w:val="FF0000"/>
      <w:sz w:val="24"/>
    </w:rPr>
  </w:style>
  <w:style w:type="paragraph" w:styleId="6">
    <w:name w:val="Balloon Text"/>
    <w:basedOn w:val="1"/>
    <w:link w:val="31"/>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Normal (Web)"/>
    <w:basedOn w:val="1"/>
    <w:unhideWhenUsed/>
    <w:qFormat/>
    <w:uiPriority w:val="0"/>
    <w:pPr>
      <w:widowControl/>
      <w:spacing w:before="100" w:beforeAutospacing="1" w:after="100" w:afterAutospacing="1"/>
      <w:jc w:val="left"/>
    </w:pPr>
    <w:rPr>
      <w:rFonts w:ascii="Arial Unicode MS" w:hAnsi="Arial Unicode MS" w:eastAsia="Arial Unicode MS" w:cs="Arial Unicode MS"/>
      <w:kern w:val="0"/>
      <w:sz w:val="24"/>
      <w:lang w:val="en-GB" w:eastAsia="en-US"/>
    </w:rPr>
  </w:style>
  <w:style w:type="paragraph" w:styleId="12">
    <w:name w:val="annotation subject"/>
    <w:basedOn w:val="4"/>
    <w:next w:val="4"/>
    <w:link w:val="30"/>
    <w:semiHidden/>
    <w:unhideWhenUsed/>
    <w:qFormat/>
    <w:uiPriority w:val="99"/>
    <w:rPr>
      <w:b/>
      <w:bCs/>
    </w:r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character" w:styleId="16">
    <w:name w:val="annotation reference"/>
    <w:basedOn w:val="14"/>
    <w:semiHidden/>
    <w:unhideWhenUsed/>
    <w:qFormat/>
    <w:uiPriority w:val="99"/>
    <w:rPr>
      <w:sz w:val="21"/>
      <w:szCs w:val="21"/>
    </w:rPr>
  </w:style>
  <w:style w:type="character" w:customStyle="1" w:styleId="17">
    <w:name w:val="页眉 Char"/>
    <w:basedOn w:val="14"/>
    <w:link w:val="8"/>
    <w:qFormat/>
    <w:uiPriority w:val="0"/>
    <w:rPr>
      <w:sz w:val="18"/>
      <w:szCs w:val="18"/>
    </w:rPr>
  </w:style>
  <w:style w:type="character" w:customStyle="1" w:styleId="18">
    <w:name w:val="页脚 Char"/>
    <w:basedOn w:val="14"/>
    <w:link w:val="7"/>
    <w:qFormat/>
    <w:uiPriority w:val="99"/>
    <w:rPr>
      <w:sz w:val="18"/>
      <w:szCs w:val="18"/>
    </w:rPr>
  </w:style>
  <w:style w:type="character" w:customStyle="1" w:styleId="19">
    <w:name w:val="标题 1 Char"/>
    <w:basedOn w:val="14"/>
    <w:link w:val="2"/>
    <w:qFormat/>
    <w:uiPriority w:val="99"/>
    <w:rPr>
      <w:rFonts w:ascii="Times New Roman" w:hAnsi="Times New Roman" w:eastAsia="宋体" w:cs="Times New Roman"/>
      <w:kern w:val="0"/>
      <w:sz w:val="24"/>
      <w:szCs w:val="20"/>
      <w:lang w:val="en-GB"/>
    </w:rPr>
  </w:style>
  <w:style w:type="character" w:customStyle="1" w:styleId="20">
    <w:name w:val="标题 2 Char Char Char"/>
    <w:qFormat/>
    <w:uiPriority w:val="0"/>
    <w:rPr>
      <w:rFonts w:ascii="Arial" w:hAnsi="Arial" w:eastAsia="宋体"/>
      <w:b/>
      <w:kern w:val="2"/>
      <w:sz w:val="28"/>
      <w:szCs w:val="28"/>
      <w:lang w:val="en-US" w:eastAsia="zh-CN" w:bidi="ar-SA"/>
    </w:rPr>
  </w:style>
  <w:style w:type="character" w:customStyle="1" w:styleId="21">
    <w:name w:val="标题 2 Char"/>
    <w:basedOn w:val="14"/>
    <w:link w:val="3"/>
    <w:semiHidden/>
    <w:qFormat/>
    <w:uiPriority w:val="9"/>
    <w:rPr>
      <w:rFonts w:asciiTheme="majorHAnsi" w:hAnsiTheme="majorHAnsi" w:eastAsiaTheme="majorEastAsia" w:cstheme="majorBidi"/>
      <w:b/>
      <w:bCs/>
      <w:sz w:val="32"/>
      <w:szCs w:val="32"/>
    </w:rPr>
  </w:style>
  <w:style w:type="paragraph" w:customStyle="1" w:styleId="22">
    <w:name w:val="2级"/>
    <w:basedOn w:val="1"/>
    <w:link w:val="23"/>
    <w:qFormat/>
    <w:uiPriority w:val="0"/>
    <w:pPr>
      <w:keepNext/>
      <w:keepLines/>
      <w:widowControl/>
      <w:spacing w:before="260" w:after="260"/>
      <w:jc w:val="left"/>
      <w:outlineLvl w:val="1"/>
    </w:pPr>
    <w:rPr>
      <w:rFonts w:asciiTheme="minorEastAsia" w:hAnsiTheme="minorEastAsia" w:cstheme="minorBidi"/>
      <w:b/>
      <w:bCs/>
      <w:sz w:val="24"/>
    </w:rPr>
  </w:style>
  <w:style w:type="character" w:customStyle="1" w:styleId="23">
    <w:name w:val="2级 Char"/>
    <w:basedOn w:val="14"/>
    <w:link w:val="22"/>
    <w:qFormat/>
    <w:uiPriority w:val="0"/>
    <w:rPr>
      <w:rFonts w:eastAsia="宋体" w:asciiTheme="minorEastAsia" w:hAnsiTheme="minorEastAsia"/>
      <w:b/>
      <w:bCs/>
      <w:sz w:val="24"/>
      <w:szCs w:val="24"/>
    </w:rPr>
  </w:style>
  <w:style w:type="paragraph" w:customStyle="1" w:styleId="24">
    <w:name w:val="正文XB"/>
    <w:basedOn w:val="1"/>
    <w:link w:val="25"/>
    <w:qFormat/>
    <w:uiPriority w:val="0"/>
    <w:pPr>
      <w:spacing w:line="360" w:lineRule="auto"/>
      <w:ind w:firstLine="420" w:firstLineChars="200"/>
    </w:pPr>
    <w:rPr>
      <w:rFonts w:ascii="宋体" w:hAnsi="宋体"/>
      <w:color w:val="000000"/>
      <w:szCs w:val="21"/>
    </w:rPr>
  </w:style>
  <w:style w:type="character" w:customStyle="1" w:styleId="25">
    <w:name w:val="正文XB Char"/>
    <w:basedOn w:val="14"/>
    <w:link w:val="24"/>
    <w:qFormat/>
    <w:uiPriority w:val="0"/>
    <w:rPr>
      <w:rFonts w:ascii="宋体" w:hAnsi="宋体" w:eastAsia="宋体" w:cs="Times New Roman"/>
      <w:color w:val="000000"/>
      <w:szCs w:val="21"/>
    </w:rPr>
  </w:style>
  <w:style w:type="paragraph" w:styleId="26">
    <w:name w:val="List Paragraph"/>
    <w:basedOn w:val="1"/>
    <w:unhideWhenUsed/>
    <w:qFormat/>
    <w:uiPriority w:val="99"/>
    <w:pPr>
      <w:ind w:firstLine="420" w:firstLineChars="200"/>
    </w:pPr>
  </w:style>
  <w:style w:type="character" w:customStyle="1" w:styleId="27">
    <w:name w:val="正文文本缩进 2 Char"/>
    <w:basedOn w:val="14"/>
    <w:link w:val="5"/>
    <w:qFormat/>
    <w:uiPriority w:val="0"/>
    <w:rPr>
      <w:rFonts w:ascii="宋体" w:hAnsi="宋体" w:eastAsia="宋体" w:cs="Times New Roman"/>
      <w:color w:val="FF0000"/>
      <w:sz w:val="24"/>
      <w:szCs w:val="24"/>
    </w:rPr>
  </w:style>
  <w:style w:type="paragraph" w:customStyle="1" w:styleId="28">
    <w:name w:val="Default"/>
    <w:qFormat/>
    <w:uiPriority w:val="0"/>
    <w:pPr>
      <w:widowControl w:val="0"/>
      <w:autoSpaceDE w:val="0"/>
      <w:autoSpaceDN w:val="0"/>
      <w:adjustRightInd w:val="0"/>
    </w:pPr>
    <w:rPr>
      <w:rFonts w:ascii="宋体棬　僬　." w:eastAsia="宋体棬　僬　." w:cs="宋体棬　僬　." w:hAnsiTheme="minorHAnsi"/>
      <w:color w:val="000000"/>
      <w:kern w:val="0"/>
      <w:sz w:val="24"/>
      <w:szCs w:val="24"/>
      <w:lang w:val="en-US" w:eastAsia="zh-CN" w:bidi="ar-SA"/>
    </w:rPr>
  </w:style>
  <w:style w:type="character" w:customStyle="1" w:styleId="29">
    <w:name w:val="批注文字 Char"/>
    <w:basedOn w:val="14"/>
    <w:link w:val="4"/>
    <w:semiHidden/>
    <w:qFormat/>
    <w:uiPriority w:val="99"/>
    <w:rPr>
      <w:rFonts w:ascii="Times New Roman" w:hAnsi="Times New Roman" w:eastAsia="宋体" w:cs="Times New Roman"/>
      <w:szCs w:val="24"/>
    </w:rPr>
  </w:style>
  <w:style w:type="character" w:customStyle="1" w:styleId="30">
    <w:name w:val="批注主题 Char"/>
    <w:basedOn w:val="29"/>
    <w:link w:val="12"/>
    <w:semiHidden/>
    <w:qFormat/>
    <w:uiPriority w:val="99"/>
    <w:rPr>
      <w:rFonts w:ascii="Times New Roman" w:hAnsi="Times New Roman" w:eastAsia="宋体" w:cs="Times New Roman"/>
      <w:b/>
      <w:bCs/>
      <w:szCs w:val="24"/>
    </w:rPr>
  </w:style>
  <w:style w:type="character" w:customStyle="1" w:styleId="31">
    <w:name w:val="批注框文本 Char"/>
    <w:basedOn w:val="14"/>
    <w:link w:val="6"/>
    <w:semiHidden/>
    <w:qFormat/>
    <w:uiPriority w:val="99"/>
    <w:rPr>
      <w:rFonts w:ascii="Times New Roman" w:hAnsi="Times New Roman" w:eastAsia="宋体" w:cs="Times New Roman"/>
      <w:sz w:val="18"/>
      <w:szCs w:val="18"/>
    </w:rPr>
  </w:style>
  <w:style w:type="paragraph" w:customStyle="1" w:styleId="32">
    <w:name w:val="TOC Heading"/>
    <w:basedOn w:val="2"/>
    <w:next w:val="1"/>
    <w:semiHidden/>
    <w:unhideWhenUsed/>
    <w:qFormat/>
    <w:uiPriority w:val="39"/>
    <w:pPr>
      <w:keepNext/>
      <w:keepLines/>
      <w:spacing w:before="480" w:line="276" w:lineRule="auto"/>
      <w:outlineLvl w:val="9"/>
    </w:pPr>
    <w:rPr>
      <w:rFonts w:asciiTheme="majorHAnsi" w:hAnsiTheme="majorHAnsi" w:eastAsiaTheme="majorEastAsia" w:cstheme="majorBidi"/>
      <w:b/>
      <w:bCs/>
      <w:color w:val="376092" w:themeColor="accent1" w:themeShade="BF"/>
      <w:sz w:val="28"/>
      <w:szCs w:val="28"/>
      <w:lang w:val="en-US"/>
    </w:rPr>
  </w:style>
  <w:style w:type="paragraph" w:styleId="33">
    <w:name w:val="No Spacing"/>
    <w:basedOn w:val="1"/>
    <w:link w:val="34"/>
    <w:qFormat/>
    <w:uiPriority w:val="1"/>
    <w:pPr>
      <w:widowControl/>
      <w:jc w:val="left"/>
    </w:pPr>
    <w:rPr>
      <w:rFonts w:asciiTheme="minorHAnsi" w:hAnsiTheme="minorHAnsi" w:eastAsiaTheme="minorEastAsia" w:cstheme="minorBidi"/>
      <w:szCs w:val="21"/>
    </w:rPr>
  </w:style>
  <w:style w:type="character" w:customStyle="1" w:styleId="34">
    <w:name w:val="无间隔 Char"/>
    <w:basedOn w:val="14"/>
    <w:link w:val="33"/>
    <w:qFormat/>
    <w:locked/>
    <w:uiPriority w:val="1"/>
    <w:rPr>
      <w:szCs w:val="21"/>
    </w:rPr>
  </w:style>
  <w:style w:type="paragraph" w:customStyle="1" w:styleId="35">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36">
    <w:name w:val="无缩进备注"/>
    <w:basedOn w:val="1"/>
    <w:link w:val="37"/>
    <w:qFormat/>
    <w:uiPriority w:val="0"/>
    <w:pPr>
      <w:tabs>
        <w:tab w:val="left" w:pos="426"/>
      </w:tabs>
      <w:jc w:val="left"/>
    </w:pPr>
    <w:rPr>
      <w:rFonts w:ascii="宋体" w:hAnsi="宋体"/>
      <w:kern w:val="0"/>
      <w:szCs w:val="21"/>
    </w:rPr>
  </w:style>
  <w:style w:type="character" w:customStyle="1" w:styleId="37">
    <w:name w:val="无缩进备注 Char"/>
    <w:basedOn w:val="14"/>
    <w:link w:val="36"/>
    <w:qFormat/>
    <w:uiPriority w:val="0"/>
    <w:rPr>
      <w:rFonts w:ascii="宋体" w:hAnsi="宋体" w:eastAsia="宋体" w:cs="Times New Roman"/>
      <w:kern w:val="0"/>
      <w:szCs w:val="21"/>
    </w:rPr>
  </w:style>
  <w:style w:type="character" w:customStyle="1" w:styleId="38">
    <w:name w:val="read1"/>
    <w:basedOn w:val="14"/>
    <w:qFormat/>
    <w:uiPriority w:val="0"/>
    <w:rPr>
      <w:rFonts w:hint="default"/>
      <w:color w:val="000000"/>
      <w:spacing w:val="450"/>
      <w:u w:val="none"/>
    </w:rPr>
  </w:style>
  <w:style w:type="character" w:customStyle="1" w:styleId="39">
    <w:name w:val="da"/>
    <w:basedOn w:val="1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89238-77FF-4BFB-BAA4-D6D22B54CFE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1439</Words>
  <Characters>8204</Characters>
  <Lines>68</Lines>
  <Paragraphs>19</Paragraphs>
  <TotalTime>0</TotalTime>
  <ScaleCrop>false</ScaleCrop>
  <LinksUpToDate>false</LinksUpToDate>
  <CharactersWithSpaces>9624</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2022-06-07T10:30:00Z</dcterms:created>
  <dc:creator>段宏竹</dc:creator>
  <cp:lastModifiedBy>fuxj</cp:lastModifiedBy>
  <dcterms:modified xsi:type="dcterms:W3CDTF">2023-06-28T06:09:22Z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4A40CE00B12D45EE84B1661825EA4A16</vt:lpwstr>
  </property>
</Properties>
</file>