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D5" w:rsidRDefault="00C94F09">
      <w:pPr>
        <w:spacing w:line="360" w:lineRule="auto"/>
        <w:jc w:val="center"/>
        <w:rPr>
          <w:rFonts w:asciiTheme="minorEastAsia" w:hAnsiTheme="minorEastAsia"/>
          <w:b/>
          <w:bCs/>
          <w:sz w:val="24"/>
        </w:rPr>
      </w:pPr>
      <w:r>
        <w:rPr>
          <w:rFonts w:asciiTheme="minorEastAsia" w:hAnsiTheme="minorEastAsia" w:hint="eastAsia"/>
          <w:b/>
          <w:bCs/>
          <w:sz w:val="24"/>
        </w:rPr>
        <w:t>渤海汇金证券资产管理有限公司关于旗下部分基金增加博时财富基金销售有限公司为代销机构并参与基金费率优惠活动的公告</w:t>
      </w:r>
    </w:p>
    <w:p w:rsidR="00E972D5" w:rsidRDefault="00E972D5">
      <w:pPr>
        <w:spacing w:line="360" w:lineRule="auto"/>
        <w:jc w:val="center"/>
        <w:rPr>
          <w:rFonts w:asciiTheme="minorEastAsia" w:hAnsiTheme="minorEastAsia"/>
          <w:b/>
          <w:bCs/>
          <w:sz w:val="24"/>
        </w:rPr>
      </w:pPr>
    </w:p>
    <w:p w:rsidR="00E972D5" w:rsidRDefault="00C94F09">
      <w:pPr>
        <w:spacing w:line="360" w:lineRule="auto"/>
        <w:ind w:firstLineChars="200" w:firstLine="480"/>
        <w:rPr>
          <w:rFonts w:asciiTheme="minorEastAsia" w:hAnsiTheme="minorEastAsia"/>
          <w:sz w:val="24"/>
        </w:rPr>
      </w:pPr>
      <w:r>
        <w:rPr>
          <w:rFonts w:asciiTheme="minorEastAsia" w:hAnsiTheme="minorEastAsia" w:hint="eastAsia"/>
          <w:sz w:val="24"/>
        </w:rPr>
        <w:t>根据渤海汇金证券资产管理有限公司（以下简称“本公司”）与博时财富基金销售有限公司（以下简称“博时财富”）签署的基金销售代理服务协议，自202</w:t>
      </w:r>
      <w:r>
        <w:rPr>
          <w:rFonts w:asciiTheme="minorEastAsia" w:hAnsiTheme="minorEastAsia"/>
          <w:sz w:val="24"/>
        </w:rPr>
        <w:t>3年</w:t>
      </w:r>
      <w:r w:rsidR="00D41E8A">
        <w:rPr>
          <w:rFonts w:asciiTheme="minorEastAsia" w:hAnsiTheme="minorEastAsia" w:hint="eastAsia"/>
          <w:sz w:val="24"/>
        </w:rPr>
        <w:t>6</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sidR="00D41E8A">
        <w:rPr>
          <w:rFonts w:asciiTheme="minorEastAsia" w:hAnsiTheme="minorEastAsia"/>
          <w:sz w:val="24"/>
        </w:rPr>
        <w:t>29</w:t>
      </w:r>
      <w:r>
        <w:rPr>
          <w:rFonts w:asciiTheme="minorEastAsia" w:hAnsiTheme="minorEastAsia"/>
          <w:sz w:val="24"/>
        </w:rPr>
        <w:t>日起，本公司增加</w:t>
      </w:r>
      <w:r>
        <w:rPr>
          <w:rFonts w:asciiTheme="minorEastAsia" w:hAnsiTheme="minorEastAsia" w:hint="eastAsia"/>
          <w:sz w:val="24"/>
        </w:rPr>
        <w:t>博时财富</w:t>
      </w:r>
      <w:r>
        <w:rPr>
          <w:rFonts w:asciiTheme="minorEastAsia" w:hAnsiTheme="minorEastAsia"/>
          <w:sz w:val="24"/>
        </w:rPr>
        <w:t>为本公司旗下部分基金的</w:t>
      </w:r>
      <w:r>
        <w:rPr>
          <w:rFonts w:asciiTheme="minorEastAsia" w:hAnsiTheme="minorEastAsia" w:hint="eastAsia"/>
          <w:sz w:val="24"/>
        </w:rPr>
        <w:t>代销</w:t>
      </w:r>
      <w:r>
        <w:rPr>
          <w:rFonts w:asciiTheme="minorEastAsia" w:hAnsiTheme="minorEastAsia"/>
          <w:sz w:val="24"/>
        </w:rPr>
        <w:t>机构</w:t>
      </w:r>
      <w:r>
        <w:rPr>
          <w:rFonts w:asciiTheme="minorEastAsia" w:hAnsiTheme="minorEastAsia" w:hint="eastAsia"/>
          <w:sz w:val="24"/>
        </w:rPr>
        <w:t>，</w:t>
      </w:r>
      <w:r>
        <w:rPr>
          <w:rFonts w:asciiTheme="minorEastAsia" w:hAnsiTheme="minorEastAsia"/>
          <w:sz w:val="24"/>
        </w:rPr>
        <w:t>同时参加其费率优惠活动，现将有关事项公告如下：</w:t>
      </w:r>
    </w:p>
    <w:p w:rsidR="004E431E" w:rsidRPr="004E431E" w:rsidRDefault="004E431E">
      <w:pPr>
        <w:spacing w:line="360" w:lineRule="auto"/>
        <w:ind w:firstLineChars="200" w:firstLine="480"/>
        <w:rPr>
          <w:rFonts w:asciiTheme="minorEastAsia" w:hAnsiTheme="minorEastAsia"/>
          <w:sz w:val="24"/>
        </w:rPr>
      </w:pPr>
    </w:p>
    <w:p w:rsidR="00E972D5" w:rsidRDefault="00C94F09">
      <w:pPr>
        <w:spacing w:line="360" w:lineRule="auto"/>
        <w:ind w:firstLineChars="200" w:firstLine="480"/>
        <w:outlineLvl w:val="0"/>
        <w:rPr>
          <w:rFonts w:asciiTheme="minorEastAsia" w:hAnsiTheme="minorEastAsia"/>
          <w:sz w:val="24"/>
        </w:rPr>
      </w:pPr>
      <w:r>
        <w:rPr>
          <w:rFonts w:asciiTheme="minorEastAsia" w:hAnsiTheme="minorEastAsia"/>
          <w:sz w:val="24"/>
        </w:rPr>
        <w:t>一、适用基金及业务范围</w:t>
      </w:r>
    </w:p>
    <w:tbl>
      <w:tblPr>
        <w:tblStyle w:val="a7"/>
        <w:tblW w:w="0" w:type="auto"/>
        <w:jc w:val="center"/>
        <w:tblLook w:val="04A0"/>
      </w:tblPr>
      <w:tblGrid>
        <w:gridCol w:w="845"/>
        <w:gridCol w:w="5795"/>
        <w:gridCol w:w="1656"/>
      </w:tblGrid>
      <w:tr w:rsidR="00E972D5">
        <w:trPr>
          <w:jc w:val="center"/>
        </w:trPr>
        <w:tc>
          <w:tcPr>
            <w:tcW w:w="845" w:type="dxa"/>
          </w:tcPr>
          <w:p w:rsidR="00E972D5" w:rsidRDefault="00C94F09">
            <w:pPr>
              <w:spacing w:line="360" w:lineRule="auto"/>
              <w:jc w:val="center"/>
              <w:rPr>
                <w:rFonts w:asciiTheme="minorEastAsia" w:hAnsiTheme="minorEastAsia"/>
                <w:sz w:val="24"/>
              </w:rPr>
            </w:pPr>
            <w:r>
              <w:rPr>
                <w:rFonts w:asciiTheme="minorEastAsia" w:hAnsiTheme="minorEastAsia" w:hint="eastAsia"/>
                <w:sz w:val="24"/>
              </w:rPr>
              <w:t>序号</w:t>
            </w:r>
          </w:p>
        </w:tc>
        <w:tc>
          <w:tcPr>
            <w:tcW w:w="5795" w:type="dxa"/>
          </w:tcPr>
          <w:p w:rsidR="00E972D5" w:rsidRDefault="00C94F09">
            <w:pPr>
              <w:spacing w:line="360" w:lineRule="auto"/>
              <w:jc w:val="center"/>
              <w:rPr>
                <w:rFonts w:asciiTheme="minorEastAsia" w:hAnsiTheme="minorEastAsia"/>
                <w:sz w:val="24"/>
              </w:rPr>
            </w:pPr>
            <w:r>
              <w:rPr>
                <w:rFonts w:asciiTheme="minorEastAsia" w:hAnsiTheme="minorEastAsia" w:hint="eastAsia"/>
                <w:sz w:val="24"/>
              </w:rPr>
              <w:t>基金名称</w:t>
            </w:r>
          </w:p>
        </w:tc>
        <w:tc>
          <w:tcPr>
            <w:tcW w:w="1656" w:type="dxa"/>
          </w:tcPr>
          <w:p w:rsidR="00E972D5" w:rsidRDefault="00C94F09">
            <w:pPr>
              <w:spacing w:line="360" w:lineRule="auto"/>
              <w:jc w:val="center"/>
              <w:rPr>
                <w:rFonts w:asciiTheme="minorEastAsia" w:hAnsiTheme="minorEastAsia"/>
                <w:sz w:val="24"/>
              </w:rPr>
            </w:pPr>
            <w:r>
              <w:rPr>
                <w:rFonts w:asciiTheme="minorEastAsia" w:hAnsiTheme="minorEastAsia" w:hint="eastAsia"/>
                <w:sz w:val="24"/>
              </w:rPr>
              <w:t>基金代码</w:t>
            </w:r>
          </w:p>
        </w:tc>
      </w:tr>
      <w:tr w:rsidR="00E972D5">
        <w:trPr>
          <w:trHeight w:val="747"/>
          <w:jc w:val="center"/>
        </w:trPr>
        <w:tc>
          <w:tcPr>
            <w:tcW w:w="845" w:type="dxa"/>
          </w:tcPr>
          <w:p w:rsidR="00E972D5" w:rsidRDefault="00C94F09">
            <w:pPr>
              <w:spacing w:line="360" w:lineRule="auto"/>
              <w:jc w:val="center"/>
              <w:rPr>
                <w:rFonts w:asciiTheme="minorEastAsia" w:hAnsiTheme="minorEastAsia"/>
                <w:sz w:val="24"/>
              </w:rPr>
            </w:pPr>
            <w:r>
              <w:rPr>
                <w:rFonts w:asciiTheme="minorEastAsia" w:hAnsiTheme="minorEastAsia" w:hint="eastAsia"/>
                <w:sz w:val="24"/>
              </w:rPr>
              <w:t>1</w:t>
            </w:r>
          </w:p>
        </w:tc>
        <w:tc>
          <w:tcPr>
            <w:tcW w:w="5795" w:type="dxa"/>
          </w:tcPr>
          <w:p w:rsidR="00E972D5" w:rsidRDefault="00C94F09">
            <w:pPr>
              <w:jc w:val="center"/>
              <w:rPr>
                <w:rFonts w:asciiTheme="minorEastAsia" w:hAnsiTheme="minorEastAsia"/>
                <w:sz w:val="24"/>
              </w:rPr>
            </w:pPr>
            <w:r>
              <w:rPr>
                <w:rFonts w:asciiTheme="minorEastAsia" w:hAnsiTheme="minorEastAsia" w:hint="eastAsia"/>
                <w:sz w:val="24"/>
              </w:rPr>
              <w:t>渤海汇金汇添金货币市场基金</w:t>
            </w:r>
          </w:p>
        </w:tc>
        <w:tc>
          <w:tcPr>
            <w:tcW w:w="1656" w:type="dxa"/>
          </w:tcPr>
          <w:p w:rsidR="00E972D5" w:rsidRDefault="00C94F09">
            <w:pPr>
              <w:jc w:val="center"/>
              <w:rPr>
                <w:rFonts w:asciiTheme="minorEastAsia" w:hAnsiTheme="minorEastAsia"/>
                <w:sz w:val="24"/>
              </w:rPr>
            </w:pPr>
            <w:r>
              <w:rPr>
                <w:rFonts w:asciiTheme="minorEastAsia" w:hAnsiTheme="minorEastAsia"/>
                <w:sz w:val="24"/>
              </w:rPr>
              <w:t>A</w:t>
            </w:r>
            <w:r>
              <w:rPr>
                <w:rFonts w:asciiTheme="minorEastAsia" w:hAnsiTheme="minorEastAsia" w:hint="eastAsia"/>
                <w:sz w:val="24"/>
              </w:rPr>
              <w:t>类：</w:t>
            </w:r>
            <w:r>
              <w:rPr>
                <w:rFonts w:asciiTheme="minorEastAsia" w:hAnsiTheme="minorEastAsia"/>
                <w:sz w:val="24"/>
              </w:rPr>
              <w:t>004786</w:t>
            </w:r>
          </w:p>
          <w:p w:rsidR="00E972D5" w:rsidRDefault="00C94F09">
            <w:pPr>
              <w:jc w:val="center"/>
              <w:rPr>
                <w:rFonts w:asciiTheme="minorEastAsia" w:hAnsiTheme="minorEastAsia"/>
                <w:sz w:val="24"/>
              </w:rPr>
            </w:pPr>
            <w:r>
              <w:rPr>
                <w:rFonts w:asciiTheme="minorEastAsia" w:hAnsiTheme="minorEastAsia" w:hint="eastAsia"/>
                <w:sz w:val="24"/>
              </w:rPr>
              <w:t>B类：</w:t>
            </w:r>
            <w:r>
              <w:rPr>
                <w:rFonts w:asciiTheme="minorEastAsia" w:hAnsiTheme="minorEastAsia"/>
                <w:sz w:val="24"/>
              </w:rPr>
              <w:t>004787</w:t>
            </w:r>
          </w:p>
        </w:tc>
      </w:tr>
      <w:tr w:rsidR="00E972D5">
        <w:trPr>
          <w:jc w:val="center"/>
        </w:trPr>
        <w:tc>
          <w:tcPr>
            <w:tcW w:w="845" w:type="dxa"/>
          </w:tcPr>
          <w:p w:rsidR="00E972D5" w:rsidRDefault="00C94F09">
            <w:pPr>
              <w:spacing w:line="360" w:lineRule="auto"/>
              <w:jc w:val="center"/>
              <w:rPr>
                <w:rFonts w:asciiTheme="minorEastAsia" w:hAnsiTheme="minorEastAsia"/>
                <w:sz w:val="24"/>
              </w:rPr>
            </w:pPr>
            <w:r>
              <w:rPr>
                <w:rFonts w:asciiTheme="minorEastAsia" w:hAnsiTheme="minorEastAsia" w:hint="eastAsia"/>
                <w:sz w:val="24"/>
              </w:rPr>
              <w:t>2</w:t>
            </w:r>
          </w:p>
        </w:tc>
        <w:tc>
          <w:tcPr>
            <w:tcW w:w="5795" w:type="dxa"/>
          </w:tcPr>
          <w:p w:rsidR="00E972D5" w:rsidRDefault="00C94F09">
            <w:pPr>
              <w:jc w:val="center"/>
              <w:rPr>
                <w:rFonts w:asciiTheme="minorEastAsia" w:hAnsiTheme="minorEastAsia"/>
                <w:sz w:val="24"/>
              </w:rPr>
            </w:pPr>
            <w:r>
              <w:rPr>
                <w:rFonts w:asciiTheme="minorEastAsia" w:hAnsiTheme="minorEastAsia" w:hint="eastAsia"/>
                <w:sz w:val="24"/>
              </w:rPr>
              <w:t>渤海汇金创新价值一年持有期混合型发起式证券投资基金</w:t>
            </w:r>
          </w:p>
        </w:tc>
        <w:tc>
          <w:tcPr>
            <w:tcW w:w="1656" w:type="dxa"/>
          </w:tcPr>
          <w:p w:rsidR="00E972D5" w:rsidRDefault="00C94F09">
            <w:pPr>
              <w:jc w:val="center"/>
              <w:rPr>
                <w:rFonts w:asciiTheme="minorEastAsia" w:hAnsiTheme="minorEastAsia"/>
                <w:sz w:val="24"/>
              </w:rPr>
            </w:pPr>
            <w:r>
              <w:rPr>
                <w:rFonts w:asciiTheme="minorEastAsia" w:hAnsiTheme="minorEastAsia"/>
                <w:sz w:val="24"/>
              </w:rPr>
              <w:t>012272</w:t>
            </w:r>
          </w:p>
        </w:tc>
      </w:tr>
      <w:tr w:rsidR="00E972D5">
        <w:trPr>
          <w:jc w:val="center"/>
        </w:trPr>
        <w:tc>
          <w:tcPr>
            <w:tcW w:w="845" w:type="dxa"/>
          </w:tcPr>
          <w:p w:rsidR="00E972D5" w:rsidRDefault="00C94F09">
            <w:pPr>
              <w:spacing w:line="360" w:lineRule="auto"/>
              <w:jc w:val="center"/>
              <w:rPr>
                <w:rFonts w:asciiTheme="minorEastAsia" w:hAnsiTheme="minorEastAsia"/>
                <w:sz w:val="24"/>
              </w:rPr>
            </w:pPr>
            <w:r>
              <w:rPr>
                <w:rFonts w:asciiTheme="minorEastAsia" w:hAnsiTheme="minorEastAsia" w:hint="eastAsia"/>
                <w:sz w:val="24"/>
              </w:rPr>
              <w:t>3</w:t>
            </w:r>
          </w:p>
        </w:tc>
        <w:tc>
          <w:tcPr>
            <w:tcW w:w="5795" w:type="dxa"/>
          </w:tcPr>
          <w:p w:rsidR="00E972D5" w:rsidRDefault="00C94F09">
            <w:pPr>
              <w:jc w:val="center"/>
              <w:rPr>
                <w:rFonts w:asciiTheme="minorEastAsia" w:hAnsiTheme="minorEastAsia"/>
                <w:sz w:val="24"/>
              </w:rPr>
            </w:pPr>
            <w:r>
              <w:rPr>
                <w:rFonts w:asciiTheme="minorEastAsia" w:hAnsiTheme="minorEastAsia" w:hint="eastAsia"/>
                <w:sz w:val="24"/>
              </w:rPr>
              <w:t>渤海汇金30天滚动持有中短债债券型发起式证券投资基金</w:t>
            </w:r>
          </w:p>
        </w:tc>
        <w:tc>
          <w:tcPr>
            <w:tcW w:w="1656" w:type="dxa"/>
          </w:tcPr>
          <w:p w:rsidR="00E972D5" w:rsidRDefault="00C94F09">
            <w:pPr>
              <w:jc w:val="center"/>
              <w:rPr>
                <w:rFonts w:asciiTheme="minorEastAsia" w:hAnsiTheme="minorEastAsia"/>
                <w:sz w:val="24"/>
              </w:rPr>
            </w:pPr>
            <w:r>
              <w:rPr>
                <w:rFonts w:asciiTheme="minorEastAsia" w:hAnsiTheme="minorEastAsia" w:hint="eastAsia"/>
                <w:sz w:val="24"/>
              </w:rPr>
              <w:t>A类：</w:t>
            </w:r>
            <w:r>
              <w:rPr>
                <w:rFonts w:asciiTheme="minorEastAsia" w:hAnsiTheme="minorEastAsia"/>
                <w:sz w:val="24"/>
              </w:rPr>
              <w:t>016693</w:t>
            </w:r>
          </w:p>
          <w:p w:rsidR="00E972D5" w:rsidRDefault="00C94F09">
            <w:pPr>
              <w:jc w:val="center"/>
              <w:rPr>
                <w:rFonts w:asciiTheme="minorEastAsia" w:hAnsiTheme="minorEastAsia"/>
                <w:sz w:val="24"/>
              </w:rPr>
            </w:pPr>
            <w:r>
              <w:rPr>
                <w:rFonts w:asciiTheme="minorEastAsia" w:hAnsiTheme="minorEastAsia"/>
                <w:sz w:val="24"/>
              </w:rPr>
              <w:t>C</w:t>
            </w:r>
            <w:r>
              <w:rPr>
                <w:rFonts w:asciiTheme="minorEastAsia" w:hAnsiTheme="minorEastAsia" w:hint="eastAsia"/>
                <w:sz w:val="24"/>
              </w:rPr>
              <w:t>类：</w:t>
            </w:r>
            <w:r>
              <w:rPr>
                <w:rFonts w:asciiTheme="minorEastAsia" w:hAnsiTheme="minorEastAsia"/>
                <w:sz w:val="24"/>
              </w:rPr>
              <w:t>016694</w:t>
            </w:r>
          </w:p>
        </w:tc>
      </w:tr>
      <w:tr w:rsidR="00E972D5">
        <w:trPr>
          <w:jc w:val="center"/>
        </w:trPr>
        <w:tc>
          <w:tcPr>
            <w:tcW w:w="845" w:type="dxa"/>
          </w:tcPr>
          <w:p w:rsidR="00E972D5" w:rsidRDefault="00C94F09">
            <w:pPr>
              <w:spacing w:line="360" w:lineRule="auto"/>
              <w:jc w:val="center"/>
              <w:rPr>
                <w:rFonts w:asciiTheme="minorEastAsia" w:hAnsiTheme="minorEastAsia"/>
                <w:sz w:val="24"/>
              </w:rPr>
            </w:pPr>
            <w:r>
              <w:rPr>
                <w:rFonts w:asciiTheme="minorEastAsia" w:hAnsiTheme="minorEastAsia" w:hint="eastAsia"/>
                <w:sz w:val="24"/>
              </w:rPr>
              <w:t>4</w:t>
            </w:r>
          </w:p>
        </w:tc>
        <w:tc>
          <w:tcPr>
            <w:tcW w:w="5795" w:type="dxa"/>
          </w:tcPr>
          <w:p w:rsidR="00E972D5" w:rsidRDefault="00C94F09">
            <w:pPr>
              <w:jc w:val="center"/>
              <w:rPr>
                <w:rFonts w:asciiTheme="minorEastAsia" w:hAnsiTheme="minorEastAsia"/>
                <w:sz w:val="24"/>
              </w:rPr>
            </w:pPr>
            <w:r>
              <w:rPr>
                <w:rFonts w:asciiTheme="minorEastAsia" w:hAnsiTheme="minorEastAsia" w:hint="eastAsia"/>
                <w:sz w:val="24"/>
              </w:rPr>
              <w:t>渤海汇金新动能主题混合型证券投资基金</w:t>
            </w:r>
          </w:p>
        </w:tc>
        <w:tc>
          <w:tcPr>
            <w:tcW w:w="1656" w:type="dxa"/>
          </w:tcPr>
          <w:p w:rsidR="00E972D5" w:rsidRDefault="00C94F09">
            <w:pPr>
              <w:jc w:val="center"/>
              <w:rPr>
                <w:rFonts w:asciiTheme="minorEastAsia" w:hAnsiTheme="minorEastAsia"/>
                <w:sz w:val="24"/>
              </w:rPr>
            </w:pPr>
            <w:r>
              <w:rPr>
                <w:rFonts w:asciiTheme="minorEastAsia" w:hAnsiTheme="minorEastAsia" w:hint="eastAsia"/>
                <w:sz w:val="24"/>
              </w:rPr>
              <w:t>010584</w:t>
            </w:r>
          </w:p>
        </w:tc>
      </w:tr>
      <w:tr w:rsidR="00E972D5">
        <w:trPr>
          <w:jc w:val="center"/>
        </w:trPr>
        <w:tc>
          <w:tcPr>
            <w:tcW w:w="845" w:type="dxa"/>
          </w:tcPr>
          <w:p w:rsidR="00E972D5" w:rsidRDefault="00C94F09">
            <w:pPr>
              <w:spacing w:line="360" w:lineRule="auto"/>
              <w:jc w:val="center"/>
              <w:rPr>
                <w:rFonts w:asciiTheme="minorEastAsia" w:hAnsiTheme="minorEastAsia"/>
                <w:sz w:val="24"/>
              </w:rPr>
            </w:pPr>
            <w:r>
              <w:rPr>
                <w:rFonts w:asciiTheme="minorEastAsia" w:hAnsiTheme="minorEastAsia" w:hint="eastAsia"/>
                <w:sz w:val="24"/>
              </w:rPr>
              <w:t>5</w:t>
            </w:r>
          </w:p>
        </w:tc>
        <w:tc>
          <w:tcPr>
            <w:tcW w:w="5795" w:type="dxa"/>
          </w:tcPr>
          <w:p w:rsidR="00E972D5" w:rsidRDefault="00C94F09">
            <w:pPr>
              <w:jc w:val="center"/>
              <w:rPr>
                <w:rFonts w:asciiTheme="minorEastAsia" w:hAnsiTheme="minorEastAsia"/>
                <w:sz w:val="24"/>
              </w:rPr>
            </w:pPr>
            <w:r>
              <w:rPr>
                <w:rFonts w:asciiTheme="minorEastAsia" w:hAnsiTheme="minorEastAsia" w:hint="eastAsia"/>
                <w:sz w:val="24"/>
              </w:rPr>
              <w:t>渤海汇金低碳经济一年持有期混合型发起式证券投资基金</w:t>
            </w:r>
          </w:p>
        </w:tc>
        <w:tc>
          <w:tcPr>
            <w:tcW w:w="1656" w:type="dxa"/>
          </w:tcPr>
          <w:p w:rsidR="00E972D5" w:rsidRDefault="00C94F09">
            <w:pPr>
              <w:jc w:val="center"/>
              <w:rPr>
                <w:rFonts w:asciiTheme="minorEastAsia" w:hAnsiTheme="minorEastAsia"/>
                <w:sz w:val="24"/>
              </w:rPr>
            </w:pPr>
            <w:r>
              <w:rPr>
                <w:rFonts w:asciiTheme="minorEastAsia" w:hAnsiTheme="minorEastAsia"/>
                <w:sz w:val="24"/>
              </w:rPr>
              <w:t>016700</w:t>
            </w:r>
          </w:p>
        </w:tc>
      </w:tr>
      <w:tr w:rsidR="00E972D5">
        <w:trPr>
          <w:jc w:val="center"/>
        </w:trPr>
        <w:tc>
          <w:tcPr>
            <w:tcW w:w="845" w:type="dxa"/>
          </w:tcPr>
          <w:p w:rsidR="00E972D5" w:rsidRDefault="00C94F09">
            <w:pPr>
              <w:spacing w:line="360" w:lineRule="auto"/>
              <w:jc w:val="center"/>
              <w:rPr>
                <w:rFonts w:asciiTheme="minorEastAsia" w:hAnsiTheme="minorEastAsia"/>
                <w:sz w:val="24"/>
              </w:rPr>
            </w:pPr>
            <w:r>
              <w:rPr>
                <w:rFonts w:asciiTheme="minorEastAsia" w:hAnsiTheme="minorEastAsia"/>
                <w:sz w:val="24"/>
              </w:rPr>
              <w:t>6</w:t>
            </w:r>
          </w:p>
        </w:tc>
        <w:tc>
          <w:tcPr>
            <w:tcW w:w="5795" w:type="dxa"/>
          </w:tcPr>
          <w:p w:rsidR="00E972D5" w:rsidRDefault="00C94F09">
            <w:pPr>
              <w:jc w:val="center"/>
              <w:rPr>
                <w:rFonts w:asciiTheme="minorEastAsia" w:hAnsiTheme="minorEastAsia"/>
                <w:sz w:val="24"/>
              </w:rPr>
            </w:pPr>
            <w:r>
              <w:rPr>
                <w:rFonts w:asciiTheme="minorEastAsia" w:hAnsiTheme="minorEastAsia" w:hint="eastAsia"/>
                <w:sz w:val="24"/>
              </w:rPr>
              <w:t>渤海汇金量化成长混合型发起式证券投资基金</w:t>
            </w:r>
          </w:p>
        </w:tc>
        <w:tc>
          <w:tcPr>
            <w:tcW w:w="1656" w:type="dxa"/>
          </w:tcPr>
          <w:p w:rsidR="00E972D5" w:rsidRDefault="00C94F09">
            <w:pPr>
              <w:jc w:val="center"/>
              <w:rPr>
                <w:rFonts w:asciiTheme="minorEastAsia" w:hAnsiTheme="minorEastAsia"/>
                <w:sz w:val="24"/>
              </w:rPr>
            </w:pPr>
            <w:r>
              <w:rPr>
                <w:rFonts w:asciiTheme="minorEastAsia" w:hAnsiTheme="minorEastAsia" w:hint="eastAsia"/>
                <w:sz w:val="24"/>
              </w:rPr>
              <w:t>005536</w:t>
            </w:r>
          </w:p>
        </w:tc>
      </w:tr>
      <w:tr w:rsidR="00E972D5">
        <w:trPr>
          <w:jc w:val="center"/>
        </w:trPr>
        <w:tc>
          <w:tcPr>
            <w:tcW w:w="845" w:type="dxa"/>
          </w:tcPr>
          <w:p w:rsidR="00E972D5" w:rsidRDefault="00C94F09">
            <w:pPr>
              <w:spacing w:line="360" w:lineRule="auto"/>
              <w:jc w:val="center"/>
              <w:rPr>
                <w:rFonts w:asciiTheme="minorEastAsia" w:hAnsiTheme="minorEastAsia"/>
                <w:sz w:val="24"/>
              </w:rPr>
            </w:pPr>
            <w:r>
              <w:rPr>
                <w:rFonts w:asciiTheme="minorEastAsia" w:hAnsiTheme="minorEastAsia" w:hint="eastAsia"/>
                <w:sz w:val="24"/>
              </w:rPr>
              <w:t>7</w:t>
            </w:r>
          </w:p>
        </w:tc>
        <w:tc>
          <w:tcPr>
            <w:tcW w:w="5795" w:type="dxa"/>
          </w:tcPr>
          <w:p w:rsidR="00E972D5" w:rsidRDefault="00C94F09">
            <w:pPr>
              <w:jc w:val="center"/>
              <w:rPr>
                <w:rFonts w:asciiTheme="minorEastAsia" w:hAnsiTheme="minorEastAsia"/>
                <w:sz w:val="24"/>
              </w:rPr>
            </w:pPr>
            <w:r>
              <w:rPr>
                <w:rFonts w:asciiTheme="minorEastAsia" w:hAnsiTheme="minorEastAsia" w:hint="eastAsia"/>
                <w:sz w:val="24"/>
              </w:rPr>
              <w:t>渤海汇金优选平衡一年持有期混合型发起式基金中基金（FOF）</w:t>
            </w:r>
          </w:p>
        </w:tc>
        <w:tc>
          <w:tcPr>
            <w:tcW w:w="1656" w:type="dxa"/>
          </w:tcPr>
          <w:p w:rsidR="00E972D5" w:rsidRDefault="00C94F09">
            <w:pPr>
              <w:rPr>
                <w:rFonts w:asciiTheme="minorEastAsia" w:hAnsiTheme="minorEastAsia"/>
                <w:sz w:val="24"/>
              </w:rPr>
            </w:pPr>
            <w:r>
              <w:rPr>
                <w:rFonts w:asciiTheme="minorEastAsia" w:hAnsiTheme="minorEastAsia" w:hint="eastAsia"/>
                <w:sz w:val="24"/>
              </w:rPr>
              <w:t>A类：018498</w:t>
            </w:r>
          </w:p>
          <w:p w:rsidR="00E972D5" w:rsidRDefault="00C94F09">
            <w:pPr>
              <w:rPr>
                <w:rFonts w:asciiTheme="minorEastAsia" w:hAnsiTheme="minorEastAsia"/>
                <w:sz w:val="24"/>
              </w:rPr>
            </w:pPr>
            <w:r>
              <w:rPr>
                <w:rFonts w:asciiTheme="minorEastAsia" w:hAnsiTheme="minorEastAsia" w:hint="eastAsia"/>
                <w:sz w:val="24"/>
              </w:rPr>
              <w:t>C类：018499</w:t>
            </w:r>
          </w:p>
        </w:tc>
      </w:tr>
      <w:tr w:rsidR="00E972D5">
        <w:trPr>
          <w:jc w:val="center"/>
        </w:trPr>
        <w:tc>
          <w:tcPr>
            <w:tcW w:w="845" w:type="dxa"/>
          </w:tcPr>
          <w:p w:rsidR="00E972D5" w:rsidRDefault="00C94F09">
            <w:pPr>
              <w:spacing w:line="360" w:lineRule="auto"/>
              <w:jc w:val="center"/>
              <w:rPr>
                <w:rFonts w:asciiTheme="minorEastAsia" w:hAnsiTheme="minorEastAsia"/>
                <w:sz w:val="24"/>
              </w:rPr>
            </w:pPr>
            <w:r>
              <w:rPr>
                <w:rFonts w:asciiTheme="minorEastAsia" w:hAnsiTheme="minorEastAsia" w:hint="eastAsia"/>
                <w:sz w:val="24"/>
              </w:rPr>
              <w:t>8</w:t>
            </w:r>
          </w:p>
        </w:tc>
        <w:tc>
          <w:tcPr>
            <w:tcW w:w="5795" w:type="dxa"/>
          </w:tcPr>
          <w:p w:rsidR="00E972D5" w:rsidRDefault="00C94F09">
            <w:pPr>
              <w:jc w:val="center"/>
              <w:rPr>
                <w:rFonts w:asciiTheme="minorEastAsia" w:hAnsiTheme="minorEastAsia"/>
                <w:sz w:val="24"/>
              </w:rPr>
            </w:pPr>
            <w:r>
              <w:rPr>
                <w:rFonts w:asciiTheme="minorEastAsia" w:hAnsiTheme="minorEastAsia" w:hint="eastAsia"/>
                <w:sz w:val="24"/>
              </w:rPr>
              <w:t>渤海汇金汇鑫益3个月定期开放债券型发起式证券投资基金</w:t>
            </w:r>
          </w:p>
        </w:tc>
        <w:tc>
          <w:tcPr>
            <w:tcW w:w="1656" w:type="dxa"/>
          </w:tcPr>
          <w:p w:rsidR="00E972D5" w:rsidRDefault="00C94F09">
            <w:pPr>
              <w:jc w:val="center"/>
              <w:rPr>
                <w:rFonts w:asciiTheme="minorEastAsia" w:hAnsiTheme="minorEastAsia"/>
                <w:sz w:val="24"/>
              </w:rPr>
            </w:pPr>
            <w:r>
              <w:rPr>
                <w:rFonts w:asciiTheme="minorEastAsia" w:hAnsiTheme="minorEastAsia"/>
                <w:sz w:val="24"/>
              </w:rPr>
              <w:t>016026</w:t>
            </w:r>
          </w:p>
        </w:tc>
      </w:tr>
    </w:tbl>
    <w:p w:rsidR="004E431E" w:rsidRDefault="004E431E">
      <w:pPr>
        <w:spacing w:line="360" w:lineRule="auto"/>
        <w:ind w:firstLineChars="200" w:firstLine="480"/>
        <w:rPr>
          <w:rFonts w:asciiTheme="minorEastAsia" w:hAnsiTheme="minorEastAsia"/>
          <w:sz w:val="24"/>
        </w:rPr>
      </w:pPr>
    </w:p>
    <w:p w:rsidR="00E972D5" w:rsidRDefault="00C94F09">
      <w:pPr>
        <w:spacing w:line="360" w:lineRule="auto"/>
        <w:ind w:firstLineChars="200" w:firstLine="480"/>
        <w:rPr>
          <w:rFonts w:asciiTheme="minorEastAsia" w:hAnsiTheme="minorEastAsia"/>
          <w:sz w:val="24"/>
        </w:rPr>
      </w:pPr>
      <w:r>
        <w:rPr>
          <w:rFonts w:asciiTheme="minorEastAsia" w:hAnsiTheme="minorEastAsia" w:hint="eastAsia"/>
          <w:sz w:val="24"/>
        </w:rPr>
        <w:t>自202</w:t>
      </w:r>
      <w:r>
        <w:rPr>
          <w:rFonts w:asciiTheme="minorEastAsia" w:hAnsiTheme="minorEastAsia"/>
          <w:sz w:val="24"/>
        </w:rPr>
        <w:t>3</w:t>
      </w:r>
      <w:r>
        <w:rPr>
          <w:rFonts w:asciiTheme="minorEastAsia" w:hAnsiTheme="minorEastAsia" w:hint="eastAsia"/>
          <w:sz w:val="24"/>
        </w:rPr>
        <w:t>年</w:t>
      </w:r>
      <w:r w:rsidR="00D41E8A">
        <w:rPr>
          <w:rFonts w:asciiTheme="minorEastAsia" w:hAnsiTheme="minorEastAsia" w:hint="eastAsia"/>
          <w:sz w:val="24"/>
        </w:rPr>
        <w:t>6</w:t>
      </w:r>
      <w:r>
        <w:rPr>
          <w:rFonts w:asciiTheme="minorEastAsia" w:hAnsiTheme="minorEastAsia"/>
          <w:sz w:val="24"/>
        </w:rPr>
        <w:t xml:space="preserve"> 月</w:t>
      </w:r>
      <w:r w:rsidR="00D41E8A">
        <w:rPr>
          <w:rFonts w:asciiTheme="minorEastAsia" w:hAnsiTheme="minorEastAsia" w:hint="eastAsia"/>
          <w:sz w:val="24"/>
        </w:rPr>
        <w:t>2</w:t>
      </w:r>
      <w:r w:rsidR="00D41E8A">
        <w:rPr>
          <w:rFonts w:asciiTheme="minorEastAsia" w:hAnsiTheme="minorEastAsia"/>
          <w:sz w:val="24"/>
        </w:rPr>
        <w:t>9</w:t>
      </w:r>
      <w:r>
        <w:rPr>
          <w:rFonts w:asciiTheme="minorEastAsia" w:hAnsiTheme="minorEastAsia"/>
          <w:sz w:val="24"/>
        </w:rPr>
        <w:t xml:space="preserve"> 日</w:t>
      </w:r>
      <w:r>
        <w:rPr>
          <w:rFonts w:asciiTheme="minorEastAsia" w:hAnsiTheme="minorEastAsia" w:hint="eastAsia"/>
          <w:sz w:val="24"/>
        </w:rPr>
        <w:t>起，投资者可在博时财富的营业网点办理上述基金的开户、申购、赎回、定投等业务，进行相关信息查询并享受相应的售后服务。具体办理程序请遵循代销机构的规定。</w:t>
      </w:r>
    </w:p>
    <w:p w:rsidR="004E431E" w:rsidRDefault="004E431E">
      <w:pPr>
        <w:spacing w:line="360" w:lineRule="auto"/>
        <w:ind w:firstLineChars="200" w:firstLine="480"/>
        <w:rPr>
          <w:rFonts w:asciiTheme="minorEastAsia" w:hAnsiTheme="minorEastAsia"/>
          <w:sz w:val="24"/>
        </w:rPr>
      </w:pPr>
    </w:p>
    <w:p w:rsidR="00E972D5" w:rsidRDefault="00C94F09">
      <w:pPr>
        <w:spacing w:line="360" w:lineRule="auto"/>
        <w:ind w:leftChars="200" w:left="420"/>
        <w:outlineLvl w:val="0"/>
        <w:rPr>
          <w:rFonts w:asciiTheme="minorEastAsia" w:hAnsiTheme="minorEastAsia"/>
          <w:sz w:val="24"/>
        </w:rPr>
      </w:pPr>
      <w:r>
        <w:rPr>
          <w:rFonts w:asciiTheme="minorEastAsia" w:hAnsiTheme="minorEastAsia"/>
          <w:sz w:val="24"/>
        </w:rPr>
        <w:t xml:space="preserve">二、费率优惠活动具体安排 </w:t>
      </w:r>
      <w:r>
        <w:rPr>
          <w:rFonts w:asciiTheme="minorEastAsia" w:hAnsiTheme="minorEastAsia"/>
          <w:sz w:val="24"/>
        </w:rPr>
        <w:br/>
        <w:t xml:space="preserve">1、费率优惠内容 </w:t>
      </w:r>
    </w:p>
    <w:p w:rsidR="00E972D5" w:rsidRDefault="00C94F09">
      <w:pPr>
        <w:spacing w:line="360" w:lineRule="auto"/>
        <w:ind w:firstLineChars="200" w:firstLine="480"/>
        <w:rPr>
          <w:rFonts w:asciiTheme="minorEastAsia" w:hAnsiTheme="minorEastAsia"/>
          <w:sz w:val="24"/>
        </w:rPr>
      </w:pPr>
      <w:r>
        <w:rPr>
          <w:rFonts w:asciiTheme="minorEastAsia" w:hAnsiTheme="minorEastAsia"/>
          <w:sz w:val="24"/>
        </w:rPr>
        <w:t>自20</w:t>
      </w:r>
      <w:r>
        <w:rPr>
          <w:rFonts w:asciiTheme="minorEastAsia" w:hAnsiTheme="minorEastAsia" w:hint="eastAsia"/>
          <w:sz w:val="24"/>
        </w:rPr>
        <w:t>2</w:t>
      </w:r>
      <w:r>
        <w:rPr>
          <w:rFonts w:asciiTheme="minorEastAsia" w:hAnsiTheme="minorEastAsia"/>
          <w:sz w:val="24"/>
        </w:rPr>
        <w:t>3年</w:t>
      </w:r>
      <w:r w:rsidR="00D41E8A">
        <w:rPr>
          <w:rFonts w:asciiTheme="minorEastAsia" w:hAnsiTheme="minorEastAsia" w:hint="eastAsia"/>
          <w:sz w:val="24"/>
        </w:rPr>
        <w:t>6</w:t>
      </w:r>
      <w:r>
        <w:rPr>
          <w:rFonts w:asciiTheme="minorEastAsia" w:hAnsiTheme="minorEastAsia" w:hint="eastAsia"/>
          <w:sz w:val="24"/>
        </w:rPr>
        <w:t xml:space="preserve"> </w:t>
      </w:r>
      <w:r>
        <w:rPr>
          <w:rFonts w:asciiTheme="minorEastAsia" w:hAnsiTheme="minorEastAsia"/>
          <w:sz w:val="24"/>
        </w:rPr>
        <w:t>月</w:t>
      </w:r>
      <w:r w:rsidR="00D41E8A">
        <w:rPr>
          <w:rFonts w:asciiTheme="minorEastAsia" w:hAnsiTheme="minorEastAsia" w:hint="eastAsia"/>
          <w:sz w:val="24"/>
        </w:rPr>
        <w:t>2</w:t>
      </w:r>
      <w:r w:rsidR="00D41E8A">
        <w:rPr>
          <w:rFonts w:asciiTheme="minorEastAsia" w:hAnsiTheme="minorEastAsia"/>
          <w:sz w:val="24"/>
        </w:rPr>
        <w:t>9</w:t>
      </w:r>
      <w:r>
        <w:rPr>
          <w:rFonts w:asciiTheme="minorEastAsia" w:hAnsiTheme="minorEastAsia" w:hint="eastAsia"/>
          <w:sz w:val="24"/>
        </w:rPr>
        <w:t xml:space="preserve"> </w:t>
      </w:r>
      <w:r>
        <w:rPr>
          <w:rFonts w:asciiTheme="minorEastAsia" w:hAnsiTheme="minorEastAsia"/>
          <w:sz w:val="24"/>
        </w:rPr>
        <w:t>日起，投资者通过</w:t>
      </w:r>
      <w:r>
        <w:rPr>
          <w:rFonts w:asciiTheme="minorEastAsia" w:hAnsiTheme="minorEastAsia" w:hint="eastAsia"/>
          <w:sz w:val="24"/>
        </w:rPr>
        <w:t>博时财富</w:t>
      </w:r>
      <w:r>
        <w:rPr>
          <w:rFonts w:asciiTheme="minorEastAsia" w:hAnsiTheme="minorEastAsia"/>
          <w:sz w:val="24"/>
        </w:rPr>
        <w:t>申购本公司旗下上述基金，申购</w:t>
      </w:r>
      <w:r>
        <w:rPr>
          <w:rFonts w:asciiTheme="minorEastAsia" w:hAnsiTheme="minorEastAsia" w:hint="eastAsia"/>
          <w:sz w:val="24"/>
        </w:rPr>
        <w:t>（含定期定额申购）</w:t>
      </w:r>
      <w:r>
        <w:rPr>
          <w:rFonts w:asciiTheme="minorEastAsia" w:hAnsiTheme="minorEastAsia"/>
          <w:sz w:val="24"/>
        </w:rPr>
        <w:t>费率不设折扣限制，具体折扣费率以</w:t>
      </w:r>
      <w:r>
        <w:rPr>
          <w:rFonts w:asciiTheme="minorEastAsia" w:hAnsiTheme="minorEastAsia" w:hint="eastAsia"/>
          <w:sz w:val="24"/>
        </w:rPr>
        <w:t>博时财富</w:t>
      </w:r>
      <w:r>
        <w:rPr>
          <w:rFonts w:asciiTheme="minorEastAsia" w:hAnsiTheme="minorEastAsia"/>
          <w:sz w:val="24"/>
        </w:rPr>
        <w:t>所示公告</w:t>
      </w:r>
      <w:r>
        <w:rPr>
          <w:rFonts w:asciiTheme="minorEastAsia" w:hAnsiTheme="minorEastAsia"/>
          <w:sz w:val="24"/>
        </w:rPr>
        <w:lastRenderedPageBreak/>
        <w:t>为准，但</w:t>
      </w:r>
      <w:r>
        <w:rPr>
          <w:rFonts w:asciiTheme="minorEastAsia" w:hAnsiTheme="minorEastAsia" w:hint="eastAsia"/>
          <w:sz w:val="24"/>
        </w:rPr>
        <w:t>博时财富</w:t>
      </w:r>
      <w:r>
        <w:rPr>
          <w:rFonts w:asciiTheme="minorEastAsia" w:hAnsiTheme="minorEastAsia"/>
          <w:sz w:val="24"/>
        </w:rPr>
        <w:t xml:space="preserve">不得低于成本销售上述基金。基金原申购费率请详见基金合同、招募说明书（更新）等法律文件，以及本公司发布的最新业务公告。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费率优惠期限内，如本公司新增通过</w:t>
      </w:r>
      <w:r>
        <w:rPr>
          <w:rFonts w:asciiTheme="minorEastAsia" w:hAnsiTheme="minorEastAsia" w:hint="eastAsia"/>
          <w:sz w:val="24"/>
        </w:rPr>
        <w:t>博时财富</w:t>
      </w:r>
      <w:r>
        <w:rPr>
          <w:rFonts w:asciiTheme="minorEastAsia" w:hAnsiTheme="minorEastAsia"/>
          <w:sz w:val="24"/>
        </w:rPr>
        <w:t>的其他旗下基金，则自该基金在</w:t>
      </w:r>
      <w:r>
        <w:rPr>
          <w:rFonts w:asciiTheme="minorEastAsia" w:hAnsiTheme="minorEastAsia" w:hint="eastAsia"/>
          <w:sz w:val="24"/>
        </w:rPr>
        <w:t>博时财富</w:t>
      </w:r>
      <w:r>
        <w:rPr>
          <w:rFonts w:asciiTheme="minorEastAsia" w:hAnsiTheme="minorEastAsia"/>
          <w:sz w:val="24"/>
        </w:rPr>
        <w:t xml:space="preserve">开放申（认）购当日起，将同时开通该基金上述优惠活动。 </w:t>
      </w:r>
      <w:r>
        <w:rPr>
          <w:rFonts w:asciiTheme="minorEastAsia" w:hAnsiTheme="minorEastAsia"/>
          <w:sz w:val="24"/>
        </w:rPr>
        <w:br/>
        <w:t xml:space="preserve">    2、费率优惠期限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以</w:t>
      </w:r>
      <w:r>
        <w:rPr>
          <w:rFonts w:asciiTheme="minorEastAsia" w:hAnsiTheme="minorEastAsia" w:hint="eastAsia"/>
          <w:sz w:val="24"/>
        </w:rPr>
        <w:t>博时财富</w:t>
      </w:r>
      <w:r>
        <w:rPr>
          <w:rFonts w:asciiTheme="minorEastAsia" w:hAnsiTheme="minorEastAsia"/>
          <w:sz w:val="24"/>
        </w:rPr>
        <w:t>所示公告为准。</w:t>
      </w:r>
    </w:p>
    <w:p w:rsidR="004E431E" w:rsidRDefault="004E431E">
      <w:pPr>
        <w:spacing w:line="360" w:lineRule="auto"/>
        <w:ind w:firstLineChars="200" w:firstLine="480"/>
        <w:rPr>
          <w:rFonts w:asciiTheme="minorEastAsia" w:hAnsiTheme="minorEastAsia"/>
          <w:sz w:val="24"/>
        </w:rPr>
      </w:pPr>
    </w:p>
    <w:p w:rsidR="00E972D5" w:rsidRDefault="00C94F09">
      <w:pPr>
        <w:spacing w:line="360" w:lineRule="auto"/>
        <w:ind w:leftChars="200" w:left="420"/>
        <w:jc w:val="left"/>
        <w:outlineLvl w:val="0"/>
        <w:rPr>
          <w:rFonts w:asciiTheme="minorEastAsia" w:hAnsiTheme="minorEastAsia"/>
          <w:sz w:val="24"/>
        </w:rPr>
      </w:pPr>
      <w:r>
        <w:rPr>
          <w:rFonts w:asciiTheme="minorEastAsia" w:hAnsiTheme="minorEastAsia"/>
          <w:sz w:val="24"/>
        </w:rPr>
        <w:t xml:space="preserve">三、重要提示 </w:t>
      </w:r>
    </w:p>
    <w:p w:rsidR="004E431E" w:rsidRDefault="00C94F09">
      <w:pPr>
        <w:spacing w:line="360" w:lineRule="auto"/>
        <w:ind w:firstLineChars="200" w:firstLine="480"/>
        <w:rPr>
          <w:rFonts w:asciiTheme="minorEastAsia" w:hAnsiTheme="minorEastAsia"/>
          <w:sz w:val="24"/>
        </w:rPr>
      </w:pPr>
      <w:r>
        <w:rPr>
          <w:rFonts w:asciiTheme="minorEastAsia" w:hAnsiTheme="minorEastAsia"/>
          <w:sz w:val="24"/>
        </w:rPr>
        <w:t>1、本优惠活动仅适用于本公司旗下基金在</w:t>
      </w:r>
      <w:r>
        <w:rPr>
          <w:rFonts w:asciiTheme="minorEastAsia" w:hAnsiTheme="minorEastAsia" w:hint="eastAsia"/>
          <w:sz w:val="24"/>
        </w:rPr>
        <w:t>博时财富</w:t>
      </w:r>
      <w:r>
        <w:rPr>
          <w:rFonts w:asciiTheme="minorEastAsia" w:hAnsiTheme="minorEastAsia"/>
          <w:sz w:val="24"/>
        </w:rPr>
        <w:t>处于正常申购期的基金的前端收费模式的申购</w:t>
      </w:r>
      <w:r>
        <w:rPr>
          <w:rFonts w:asciiTheme="minorEastAsia" w:hAnsiTheme="minorEastAsia" w:hint="eastAsia"/>
          <w:sz w:val="24"/>
        </w:rPr>
        <w:t>（含定期定额申购）</w:t>
      </w:r>
      <w:r>
        <w:rPr>
          <w:rFonts w:asciiTheme="minorEastAsia" w:hAnsiTheme="minorEastAsia"/>
          <w:sz w:val="24"/>
        </w:rPr>
        <w:t xml:space="preserve">手续费，不包括基金赎回业务等其他业务的手续费。 </w:t>
      </w:r>
      <w:r>
        <w:rPr>
          <w:rFonts w:asciiTheme="minorEastAsia" w:hAnsiTheme="minorEastAsia"/>
          <w:sz w:val="24"/>
        </w:rPr>
        <w:br/>
        <w:t xml:space="preserve">    2、费率优惠活动解释权归</w:t>
      </w:r>
      <w:r>
        <w:rPr>
          <w:rFonts w:asciiTheme="minorEastAsia" w:hAnsiTheme="minorEastAsia" w:hint="eastAsia"/>
          <w:sz w:val="24"/>
        </w:rPr>
        <w:t>博时财富</w:t>
      </w:r>
      <w:r>
        <w:rPr>
          <w:rFonts w:asciiTheme="minorEastAsia" w:hAnsiTheme="minorEastAsia"/>
          <w:sz w:val="24"/>
        </w:rPr>
        <w:t>所有，有关优惠活动的具体规定如有变化，敬请投资者留意</w:t>
      </w:r>
      <w:r>
        <w:rPr>
          <w:rFonts w:asciiTheme="minorEastAsia" w:hAnsiTheme="minorEastAsia" w:hint="eastAsia"/>
          <w:sz w:val="24"/>
        </w:rPr>
        <w:t>博时财富</w:t>
      </w:r>
      <w:r>
        <w:rPr>
          <w:rFonts w:asciiTheme="minorEastAsia" w:hAnsiTheme="minorEastAsia"/>
          <w:sz w:val="24"/>
        </w:rPr>
        <w:t xml:space="preserve">的有关公告。 </w:t>
      </w:r>
      <w:r>
        <w:rPr>
          <w:rFonts w:asciiTheme="minorEastAsia" w:hAnsiTheme="minorEastAsia"/>
          <w:sz w:val="24"/>
        </w:rPr>
        <w:br/>
        <w:t xml:space="preserve">    3、费率优惠活动期间，业务办理的流程以</w:t>
      </w:r>
      <w:r>
        <w:rPr>
          <w:rFonts w:asciiTheme="minorEastAsia" w:hAnsiTheme="minorEastAsia" w:hint="eastAsia"/>
          <w:sz w:val="24"/>
        </w:rPr>
        <w:t>博时财富</w:t>
      </w:r>
      <w:r>
        <w:rPr>
          <w:rFonts w:asciiTheme="minorEastAsia" w:hAnsiTheme="minorEastAsia"/>
          <w:sz w:val="24"/>
        </w:rPr>
        <w:t xml:space="preserve">的规定为准。投资者欲了解基金的详细情况，请仔细阅读基金的基金合同、招募说明书等法律文件。 </w:t>
      </w:r>
    </w:p>
    <w:p w:rsidR="00E972D5" w:rsidRDefault="00C94F09">
      <w:pPr>
        <w:spacing w:line="360" w:lineRule="auto"/>
        <w:ind w:firstLineChars="200" w:firstLine="480"/>
        <w:rPr>
          <w:rFonts w:asciiTheme="minorEastAsia" w:hAnsiTheme="minorEastAsia"/>
          <w:sz w:val="24"/>
        </w:rPr>
      </w:pP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四、</w:t>
      </w:r>
      <w:r>
        <w:rPr>
          <w:rFonts w:asciiTheme="minorEastAsia" w:hAnsiTheme="minorEastAsia" w:hint="eastAsia"/>
          <w:sz w:val="24"/>
        </w:rPr>
        <w:t>投资者可通过以下途径咨询有关详情：</w:t>
      </w:r>
    </w:p>
    <w:p w:rsidR="00E972D5" w:rsidRDefault="00C94F09">
      <w:pPr>
        <w:spacing w:line="360" w:lineRule="auto"/>
        <w:ind w:firstLineChars="200" w:firstLine="480"/>
        <w:rPr>
          <w:rFonts w:asciiTheme="minorEastAsia" w:hAnsiTheme="minorEastAsia"/>
          <w:sz w:val="24"/>
        </w:rPr>
      </w:pPr>
      <w:r>
        <w:rPr>
          <w:rFonts w:asciiTheme="minorEastAsia" w:hAnsiTheme="minorEastAsia" w:hint="eastAsia"/>
          <w:sz w:val="24"/>
        </w:rPr>
        <w:t>1、博时财富基金销售有限公司</w:t>
      </w:r>
    </w:p>
    <w:p w:rsidR="00E972D5" w:rsidRDefault="00C94F09">
      <w:pPr>
        <w:spacing w:line="360" w:lineRule="auto"/>
        <w:ind w:firstLineChars="200" w:firstLine="480"/>
        <w:rPr>
          <w:rStyle w:val="aa"/>
          <w:color w:val="0070C0"/>
        </w:rPr>
      </w:pPr>
      <w:r>
        <w:rPr>
          <w:rFonts w:asciiTheme="minorEastAsia" w:hAnsiTheme="minorEastAsia" w:hint="eastAsia"/>
          <w:sz w:val="24"/>
        </w:rPr>
        <w:t>网址</w:t>
      </w:r>
      <w:r>
        <w:rPr>
          <w:rStyle w:val="aa"/>
          <w:rFonts w:hint="eastAsia"/>
          <w:color w:val="0070C0"/>
        </w:rPr>
        <w:t>：</w:t>
      </w:r>
      <w:r w:rsidRPr="004053DC">
        <w:rPr>
          <w:rStyle w:val="aa"/>
          <w:rFonts w:ascii="宋体" w:eastAsia="宋体" w:hAnsi="宋体" w:cs="宋体"/>
          <w:color w:val="0070C0"/>
          <w:sz w:val="24"/>
          <w:szCs w:val="32"/>
        </w:rPr>
        <w:t>www.boserawealth.com</w:t>
      </w:r>
    </w:p>
    <w:p w:rsidR="00E972D5" w:rsidRDefault="00C94F09">
      <w:pPr>
        <w:spacing w:line="360" w:lineRule="auto"/>
        <w:ind w:firstLineChars="200" w:firstLine="480"/>
        <w:rPr>
          <w:rFonts w:asciiTheme="minorEastAsia" w:hAnsiTheme="minorEastAsia"/>
          <w:sz w:val="24"/>
        </w:rPr>
      </w:pPr>
      <w:r>
        <w:rPr>
          <w:rFonts w:asciiTheme="minorEastAsia" w:hAnsiTheme="minorEastAsia" w:hint="eastAsia"/>
          <w:sz w:val="24"/>
        </w:rPr>
        <w:t>客服电话:400-610-5568</w:t>
      </w:r>
      <w:r>
        <w:rPr>
          <w:rFonts w:asciiTheme="minorEastAsia" w:hAnsiTheme="minorEastAsia"/>
          <w:sz w:val="24"/>
        </w:rPr>
        <w:t xml:space="preserve"> </w:t>
      </w:r>
    </w:p>
    <w:p w:rsidR="00E972D5" w:rsidRDefault="00C94F09">
      <w:pPr>
        <w:spacing w:line="360" w:lineRule="auto"/>
        <w:ind w:firstLineChars="200" w:firstLine="480"/>
        <w:rPr>
          <w:rFonts w:asciiTheme="minorEastAsia" w:hAnsiTheme="minorEastAsia"/>
          <w:sz w:val="24"/>
        </w:rPr>
      </w:pPr>
      <w:r>
        <w:rPr>
          <w:rFonts w:asciiTheme="minorEastAsia" w:hAnsiTheme="minorEastAsia" w:hint="eastAsia"/>
          <w:sz w:val="24"/>
        </w:rPr>
        <w:t>2、渤海汇金证券资产管理有限公司</w:t>
      </w:r>
    </w:p>
    <w:p w:rsidR="00E972D5" w:rsidRDefault="00C94F09">
      <w:pPr>
        <w:spacing w:line="360" w:lineRule="auto"/>
        <w:ind w:firstLineChars="200" w:firstLine="480"/>
        <w:rPr>
          <w:rFonts w:asciiTheme="minorEastAsia" w:hAnsiTheme="minorEastAsia"/>
          <w:color w:val="0070C0"/>
          <w:sz w:val="24"/>
        </w:rPr>
      </w:pPr>
      <w:r>
        <w:rPr>
          <w:rFonts w:asciiTheme="minorEastAsia" w:hAnsiTheme="minorEastAsia" w:hint="eastAsia"/>
          <w:sz w:val="24"/>
        </w:rPr>
        <w:t>网址：</w:t>
      </w:r>
      <w:hyperlink r:id="rId6" w:history="1">
        <w:r>
          <w:rPr>
            <w:rStyle w:val="aa"/>
            <w:rFonts w:asciiTheme="minorEastAsia" w:hAnsiTheme="minorEastAsia"/>
            <w:color w:val="0070C0"/>
            <w:sz w:val="24"/>
          </w:rPr>
          <w:t>http://www.bhhjamc.com/</w:t>
        </w:r>
      </w:hyperlink>
    </w:p>
    <w:p w:rsidR="00E972D5" w:rsidRDefault="00C94F09">
      <w:pPr>
        <w:spacing w:line="360" w:lineRule="auto"/>
        <w:ind w:firstLineChars="200" w:firstLine="480"/>
        <w:rPr>
          <w:rFonts w:asciiTheme="minorEastAsia" w:hAnsiTheme="minorEastAsia"/>
          <w:sz w:val="24"/>
        </w:rPr>
      </w:pPr>
      <w:r>
        <w:rPr>
          <w:rFonts w:asciiTheme="minorEastAsia" w:hAnsiTheme="minorEastAsia" w:hint="eastAsia"/>
          <w:sz w:val="24"/>
        </w:rPr>
        <w:t>客服电话：</w:t>
      </w:r>
      <w:r>
        <w:rPr>
          <w:rFonts w:asciiTheme="minorEastAsia" w:hAnsiTheme="minorEastAsia"/>
          <w:sz w:val="24"/>
        </w:rPr>
        <w:t>400-651-1717</w:t>
      </w:r>
    </w:p>
    <w:p w:rsidR="00E972D5" w:rsidRDefault="00C94F09">
      <w:pPr>
        <w:spacing w:line="360" w:lineRule="auto"/>
        <w:ind w:firstLineChars="200" w:firstLine="480"/>
        <w:rPr>
          <w:rFonts w:asciiTheme="minorEastAsia" w:hAnsiTheme="minorEastAsia"/>
          <w:sz w:val="24"/>
        </w:rPr>
      </w:pPr>
      <w:r>
        <w:rPr>
          <w:rFonts w:asciiTheme="minorEastAsia" w:hAnsiTheme="minorEastAsia" w:hint="eastAsia"/>
          <w:sz w:val="24"/>
        </w:rPr>
        <w:t>风险提示：本基金管理人承诺依照恪尽职守、诚实信用、谨慎勤勉的原则管理和运用基金财产，但不保证投资本基金一定盈利，也不保证最低收益。基金的过往业绩并不预示其未来表现，基金管理人管理的其他基金的业绩并不构成对本基金业绩表现的保证。</w:t>
      </w:r>
    </w:p>
    <w:p w:rsidR="00E972D5" w:rsidRDefault="00C94F09">
      <w:pPr>
        <w:spacing w:line="360" w:lineRule="auto"/>
        <w:ind w:firstLineChars="200" w:firstLine="480"/>
        <w:rPr>
          <w:rFonts w:asciiTheme="minorEastAsia" w:hAnsiTheme="minorEastAsia"/>
          <w:sz w:val="24"/>
        </w:rPr>
      </w:pPr>
      <w:r>
        <w:rPr>
          <w:rFonts w:asciiTheme="minorEastAsia" w:hAnsiTheme="minorEastAsia" w:hint="eastAsia"/>
          <w:sz w:val="24"/>
        </w:rPr>
        <w:t>投资有风险，投资者根据所持有的基金份额享受基金收益，同时承担相应的投资风险。投资者在投资本基金之前，请仔细阅读本基金的招募说明书和基金合</w:t>
      </w:r>
      <w:r>
        <w:rPr>
          <w:rFonts w:asciiTheme="minorEastAsia" w:hAnsiTheme="minorEastAsia" w:hint="eastAsia"/>
          <w:sz w:val="24"/>
        </w:rPr>
        <w:lastRenderedPageBreak/>
        <w:t>同等信息披露文件，全面认识本基金的风险收益特征和产品特性，并充分考虑自身的风险承受能力，理性判断市场，谨慎做出投资决策，自行承担投资风险。敬请投资者注意投资风险。</w:t>
      </w:r>
    </w:p>
    <w:p w:rsidR="00E972D5" w:rsidRDefault="00C94F09">
      <w:pPr>
        <w:spacing w:line="360" w:lineRule="auto"/>
        <w:ind w:firstLineChars="200" w:firstLine="480"/>
        <w:rPr>
          <w:rFonts w:asciiTheme="minorEastAsia" w:hAnsiTheme="minorEastAsia"/>
          <w:sz w:val="24"/>
        </w:rPr>
      </w:pPr>
      <w:r>
        <w:rPr>
          <w:rFonts w:asciiTheme="minorEastAsia" w:hAnsiTheme="minorEastAsia" w:hint="eastAsia"/>
          <w:sz w:val="24"/>
        </w:rPr>
        <w:t>特此公告。</w:t>
      </w:r>
    </w:p>
    <w:p w:rsidR="004E431E" w:rsidRDefault="004E431E">
      <w:pPr>
        <w:spacing w:line="360" w:lineRule="auto"/>
        <w:ind w:firstLineChars="200" w:firstLine="480"/>
        <w:rPr>
          <w:rFonts w:asciiTheme="minorEastAsia" w:hAnsiTheme="minorEastAsia"/>
          <w:sz w:val="24"/>
        </w:rPr>
      </w:pPr>
      <w:bookmarkStart w:id="0" w:name="_GoBack"/>
      <w:bookmarkEnd w:id="0"/>
    </w:p>
    <w:p w:rsidR="00E972D5" w:rsidRDefault="00C94F09">
      <w:pPr>
        <w:spacing w:line="360" w:lineRule="auto"/>
        <w:ind w:firstLineChars="200" w:firstLine="480"/>
        <w:jc w:val="right"/>
        <w:rPr>
          <w:rFonts w:asciiTheme="minorEastAsia" w:hAnsiTheme="minorEastAsia"/>
          <w:sz w:val="24"/>
        </w:rPr>
      </w:pPr>
      <w:r>
        <w:rPr>
          <w:rFonts w:asciiTheme="minorEastAsia" w:hAnsiTheme="minorEastAsia" w:hint="eastAsia"/>
          <w:sz w:val="24"/>
        </w:rPr>
        <w:t>渤海汇金证券资产管理有限公司</w:t>
      </w:r>
    </w:p>
    <w:p w:rsidR="00E972D5" w:rsidRDefault="00C94F09">
      <w:pPr>
        <w:spacing w:line="360" w:lineRule="auto"/>
        <w:ind w:firstLineChars="200" w:firstLine="480"/>
        <w:jc w:val="right"/>
        <w:rPr>
          <w:rFonts w:asciiTheme="minorEastAsia" w:hAnsiTheme="minorEastAsia"/>
          <w:sz w:val="24"/>
        </w:rPr>
      </w:pPr>
      <w:r>
        <w:rPr>
          <w:rFonts w:asciiTheme="minorEastAsia" w:hAnsiTheme="minorEastAsia" w:hint="eastAsia"/>
          <w:sz w:val="24"/>
        </w:rPr>
        <w:t>2</w:t>
      </w:r>
      <w:r>
        <w:rPr>
          <w:rFonts w:asciiTheme="minorEastAsia" w:hAnsiTheme="minorEastAsia"/>
          <w:sz w:val="24"/>
        </w:rPr>
        <w:t>023</w:t>
      </w:r>
      <w:r>
        <w:rPr>
          <w:rFonts w:asciiTheme="minorEastAsia" w:hAnsiTheme="minorEastAsia" w:hint="eastAsia"/>
          <w:sz w:val="24"/>
        </w:rPr>
        <w:t>年</w:t>
      </w:r>
      <w:r w:rsidR="00D41E8A">
        <w:rPr>
          <w:rFonts w:asciiTheme="minorEastAsia" w:hAnsiTheme="minorEastAsia" w:hint="eastAsia"/>
          <w:sz w:val="24"/>
        </w:rPr>
        <w:t>6</w:t>
      </w:r>
      <w:r>
        <w:rPr>
          <w:rFonts w:asciiTheme="minorEastAsia" w:hAnsiTheme="minorEastAsia" w:hint="eastAsia"/>
          <w:sz w:val="24"/>
        </w:rPr>
        <w:t xml:space="preserve"> 月</w:t>
      </w:r>
      <w:r w:rsidR="00D41E8A">
        <w:rPr>
          <w:rFonts w:asciiTheme="minorEastAsia" w:hAnsiTheme="minorEastAsia" w:hint="eastAsia"/>
          <w:sz w:val="24"/>
        </w:rPr>
        <w:t>2</w:t>
      </w:r>
      <w:r w:rsidR="00D41E8A">
        <w:rPr>
          <w:rFonts w:asciiTheme="minorEastAsia" w:hAnsiTheme="minorEastAsia"/>
          <w:sz w:val="24"/>
        </w:rPr>
        <w:t>9</w:t>
      </w:r>
      <w:r>
        <w:rPr>
          <w:rFonts w:asciiTheme="minorEastAsia" w:hAnsiTheme="minorEastAsia" w:hint="eastAsia"/>
          <w:sz w:val="24"/>
        </w:rPr>
        <w:t xml:space="preserve"> 日</w:t>
      </w:r>
    </w:p>
    <w:sectPr w:rsidR="00E972D5" w:rsidSect="0061722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370" w:rsidRDefault="00EE5370">
      <w:r>
        <w:separator/>
      </w:r>
    </w:p>
  </w:endnote>
  <w:endnote w:type="continuationSeparator" w:id="0">
    <w:p w:rsidR="00EE5370" w:rsidRDefault="00EE53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楷体">
    <w:altName w:val="宋体"/>
    <w:panose1 w:val="02010600040101010101"/>
    <w:charset w:val="86"/>
    <w:family w:val="auto"/>
    <w:pitch w:val="default"/>
    <w:sig w:usb0="00000000" w:usb1="00000000" w:usb2="00000010" w:usb3="00000000" w:csb0="0004009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370" w:rsidRDefault="00EE5370">
      <w:r>
        <w:separator/>
      </w:r>
    </w:p>
  </w:footnote>
  <w:footnote w:type="continuationSeparator" w:id="0">
    <w:p w:rsidR="00EE5370" w:rsidRDefault="00EE5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2D5" w:rsidRDefault="00C94F09">
    <w:pPr>
      <w:pStyle w:val="a6"/>
    </w:pPr>
    <w:r>
      <w:rPr>
        <w:rFonts w:ascii="华文楷体" w:eastAsia="华文楷体" w:hAnsi="华文楷体"/>
        <w:noProof/>
        <w:sz w:val="22"/>
        <w:szCs w:val="22"/>
      </w:rPr>
      <w:drawing>
        <wp:anchor distT="0" distB="0" distL="114300" distR="114300" simplePos="0" relativeHeight="251659264" behindDoc="0" locked="0" layoutInCell="1" allowOverlap="1">
          <wp:simplePos x="0" y="0"/>
          <wp:positionH relativeFrom="column">
            <wp:posOffset>0</wp:posOffset>
          </wp:positionH>
          <wp:positionV relativeFrom="paragraph">
            <wp:posOffset>-209550</wp:posOffset>
          </wp:positionV>
          <wp:extent cx="2917825" cy="556260"/>
          <wp:effectExtent l="0" t="0" r="0" b="0"/>
          <wp:wrapSquare wrapText="bothSides"/>
          <wp:docPr id="2" name="图片 0" descr="渤海汇金资管logo带slogan-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渤海汇金资管logo带slogan-03.png"/>
                  <pic:cNvPicPr>
                    <a:picLocks noChangeAspect="1"/>
                  </pic:cNvPicPr>
                </pic:nvPicPr>
                <pic:blipFill>
                  <a:blip r:embed="rId1"/>
                  <a:stretch>
                    <a:fillRect/>
                  </a:stretch>
                </pic:blipFill>
                <pic:spPr>
                  <a:xfrm>
                    <a:off x="0" y="0"/>
                    <a:ext cx="2917825" cy="556260"/>
                  </a:xfrm>
                  <a:prstGeom prst="rect">
                    <a:avLst/>
                  </a:prstGeom>
                </pic:spPr>
              </pic:pic>
            </a:graphicData>
          </a:graphic>
        </wp:anchor>
      </w:drawing>
    </w:r>
    <w:r>
      <w:rPr>
        <w:rFonts w:hint="eastAsia"/>
      </w:rPr>
      <w:t xml:space="preserve"> </w:t>
    </w:r>
    <w:r>
      <w:t xml:space="preserve">                   </w:t>
    </w:r>
  </w:p>
  <w:p w:rsidR="00E972D5" w:rsidRDefault="00C94F09">
    <w:pPr>
      <w:pStyle w:val="a6"/>
      <w:rPr>
        <w:rFonts w:asciiTheme="minorEastAsia" w:hAnsiTheme="minorEastAsia"/>
      </w:rPr>
    </w:pPr>
    <w:r>
      <w:rPr>
        <w:rFonts w:hint="eastAsia"/>
      </w:rPr>
      <w:t xml:space="preserve">                            </w:t>
    </w:r>
    <w:r>
      <w:t xml:space="preserve">                                                     </w:t>
    </w:r>
    <w:r>
      <w:rPr>
        <w:rFonts w:asciiTheme="minorEastAsia" w:hAnsiTheme="minorEastAsia" w:hint="eastAsia"/>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3077"/>
    <w:rsid w:val="00000648"/>
    <w:rsid w:val="00004566"/>
    <w:rsid w:val="00010129"/>
    <w:rsid w:val="000155B6"/>
    <w:rsid w:val="000169E0"/>
    <w:rsid w:val="00025042"/>
    <w:rsid w:val="00042C33"/>
    <w:rsid w:val="00050215"/>
    <w:rsid w:val="00051AB0"/>
    <w:rsid w:val="000930F3"/>
    <w:rsid w:val="000C72DA"/>
    <w:rsid w:val="000D3760"/>
    <w:rsid w:val="000D5D13"/>
    <w:rsid w:val="000E4F55"/>
    <w:rsid w:val="000F195D"/>
    <w:rsid w:val="001051B3"/>
    <w:rsid w:val="00126061"/>
    <w:rsid w:val="001563F0"/>
    <w:rsid w:val="0016149D"/>
    <w:rsid w:val="001762B2"/>
    <w:rsid w:val="0017797E"/>
    <w:rsid w:val="001802F4"/>
    <w:rsid w:val="001834D2"/>
    <w:rsid w:val="001836D6"/>
    <w:rsid w:val="00186D1B"/>
    <w:rsid w:val="00193077"/>
    <w:rsid w:val="00193125"/>
    <w:rsid w:val="001B30BD"/>
    <w:rsid w:val="001C0F19"/>
    <w:rsid w:val="001F54B8"/>
    <w:rsid w:val="0020315D"/>
    <w:rsid w:val="00213A92"/>
    <w:rsid w:val="00221C8F"/>
    <w:rsid w:val="00231425"/>
    <w:rsid w:val="00233F55"/>
    <w:rsid w:val="0025137E"/>
    <w:rsid w:val="00281A55"/>
    <w:rsid w:val="00282B95"/>
    <w:rsid w:val="00292727"/>
    <w:rsid w:val="002B15CC"/>
    <w:rsid w:val="002C4422"/>
    <w:rsid w:val="002C4A74"/>
    <w:rsid w:val="002C5479"/>
    <w:rsid w:val="002D0E47"/>
    <w:rsid w:val="002E1356"/>
    <w:rsid w:val="00312575"/>
    <w:rsid w:val="00327658"/>
    <w:rsid w:val="003349A4"/>
    <w:rsid w:val="00342E70"/>
    <w:rsid w:val="00357BE1"/>
    <w:rsid w:val="003764EA"/>
    <w:rsid w:val="003A7E27"/>
    <w:rsid w:val="003B10A0"/>
    <w:rsid w:val="003C1726"/>
    <w:rsid w:val="003C2C16"/>
    <w:rsid w:val="003C4328"/>
    <w:rsid w:val="003D199D"/>
    <w:rsid w:val="003F233F"/>
    <w:rsid w:val="003F4461"/>
    <w:rsid w:val="003F6F79"/>
    <w:rsid w:val="004053DC"/>
    <w:rsid w:val="00413138"/>
    <w:rsid w:val="00421B5D"/>
    <w:rsid w:val="004455E5"/>
    <w:rsid w:val="00457594"/>
    <w:rsid w:val="00480672"/>
    <w:rsid w:val="004931D8"/>
    <w:rsid w:val="004C4143"/>
    <w:rsid w:val="004D49E4"/>
    <w:rsid w:val="004D5187"/>
    <w:rsid w:val="004E1073"/>
    <w:rsid w:val="004E431E"/>
    <w:rsid w:val="00511678"/>
    <w:rsid w:val="00533678"/>
    <w:rsid w:val="005361A6"/>
    <w:rsid w:val="00544F37"/>
    <w:rsid w:val="00547BBB"/>
    <w:rsid w:val="00556B38"/>
    <w:rsid w:val="005646AE"/>
    <w:rsid w:val="00565F75"/>
    <w:rsid w:val="005D4F91"/>
    <w:rsid w:val="005D6900"/>
    <w:rsid w:val="005E0D1D"/>
    <w:rsid w:val="005E11DA"/>
    <w:rsid w:val="00601F8D"/>
    <w:rsid w:val="00602EA5"/>
    <w:rsid w:val="00617226"/>
    <w:rsid w:val="00644922"/>
    <w:rsid w:val="0065356F"/>
    <w:rsid w:val="0065786F"/>
    <w:rsid w:val="00665C6A"/>
    <w:rsid w:val="00671819"/>
    <w:rsid w:val="006C7ACE"/>
    <w:rsid w:val="006D5DB7"/>
    <w:rsid w:val="006E64B1"/>
    <w:rsid w:val="006E7E76"/>
    <w:rsid w:val="00781099"/>
    <w:rsid w:val="00791EA3"/>
    <w:rsid w:val="00795EF0"/>
    <w:rsid w:val="007D26F9"/>
    <w:rsid w:val="007F1F18"/>
    <w:rsid w:val="008024BC"/>
    <w:rsid w:val="008333A7"/>
    <w:rsid w:val="0084113D"/>
    <w:rsid w:val="00846FFB"/>
    <w:rsid w:val="00850B8F"/>
    <w:rsid w:val="00855E1E"/>
    <w:rsid w:val="008606A1"/>
    <w:rsid w:val="00871654"/>
    <w:rsid w:val="0087475F"/>
    <w:rsid w:val="008B1088"/>
    <w:rsid w:val="008F6D18"/>
    <w:rsid w:val="00940FB6"/>
    <w:rsid w:val="0094730E"/>
    <w:rsid w:val="0096026A"/>
    <w:rsid w:val="009C4A59"/>
    <w:rsid w:val="009C6EF1"/>
    <w:rsid w:val="009E33A7"/>
    <w:rsid w:val="009E7F32"/>
    <w:rsid w:val="009F23C2"/>
    <w:rsid w:val="009F59C7"/>
    <w:rsid w:val="009F7674"/>
    <w:rsid w:val="00A2462F"/>
    <w:rsid w:val="00A33D7A"/>
    <w:rsid w:val="00A42268"/>
    <w:rsid w:val="00A60EE9"/>
    <w:rsid w:val="00A80D26"/>
    <w:rsid w:val="00A84F5C"/>
    <w:rsid w:val="00A911F0"/>
    <w:rsid w:val="00AA4C5A"/>
    <w:rsid w:val="00AC602D"/>
    <w:rsid w:val="00AC60F5"/>
    <w:rsid w:val="00AD57AB"/>
    <w:rsid w:val="00AD7681"/>
    <w:rsid w:val="00B10007"/>
    <w:rsid w:val="00B11692"/>
    <w:rsid w:val="00B21FA3"/>
    <w:rsid w:val="00B348C4"/>
    <w:rsid w:val="00B50DD7"/>
    <w:rsid w:val="00B54D3A"/>
    <w:rsid w:val="00B63AFA"/>
    <w:rsid w:val="00B63C65"/>
    <w:rsid w:val="00B656CA"/>
    <w:rsid w:val="00BA3070"/>
    <w:rsid w:val="00BB619D"/>
    <w:rsid w:val="00BC1EAF"/>
    <w:rsid w:val="00BC21CD"/>
    <w:rsid w:val="00BE5714"/>
    <w:rsid w:val="00BE7B56"/>
    <w:rsid w:val="00C23C32"/>
    <w:rsid w:val="00C33499"/>
    <w:rsid w:val="00C352C4"/>
    <w:rsid w:val="00C529FE"/>
    <w:rsid w:val="00C72B4B"/>
    <w:rsid w:val="00C94F09"/>
    <w:rsid w:val="00C97BCC"/>
    <w:rsid w:val="00CF34B7"/>
    <w:rsid w:val="00CF620D"/>
    <w:rsid w:val="00D052EA"/>
    <w:rsid w:val="00D41E8A"/>
    <w:rsid w:val="00D4339F"/>
    <w:rsid w:val="00D5274D"/>
    <w:rsid w:val="00D57EF8"/>
    <w:rsid w:val="00D62D9A"/>
    <w:rsid w:val="00D65B39"/>
    <w:rsid w:val="00D76C2E"/>
    <w:rsid w:val="00D92410"/>
    <w:rsid w:val="00DC47CC"/>
    <w:rsid w:val="00DC502E"/>
    <w:rsid w:val="00DD5504"/>
    <w:rsid w:val="00E05D7B"/>
    <w:rsid w:val="00E16196"/>
    <w:rsid w:val="00E16CA4"/>
    <w:rsid w:val="00E24E12"/>
    <w:rsid w:val="00E461EA"/>
    <w:rsid w:val="00E472CB"/>
    <w:rsid w:val="00E96E03"/>
    <w:rsid w:val="00E972D5"/>
    <w:rsid w:val="00EE5370"/>
    <w:rsid w:val="00EE69D3"/>
    <w:rsid w:val="00EF69F4"/>
    <w:rsid w:val="00F05559"/>
    <w:rsid w:val="00F15BC9"/>
    <w:rsid w:val="00F35A93"/>
    <w:rsid w:val="00F6560C"/>
    <w:rsid w:val="00F6634F"/>
    <w:rsid w:val="00F7146E"/>
    <w:rsid w:val="00F91006"/>
    <w:rsid w:val="00FA0FB7"/>
    <w:rsid w:val="00FC4565"/>
    <w:rsid w:val="00FF37A6"/>
    <w:rsid w:val="0DBB764E"/>
    <w:rsid w:val="0FBA7221"/>
    <w:rsid w:val="24AC17D6"/>
    <w:rsid w:val="27CF4FFA"/>
    <w:rsid w:val="2E7C35DF"/>
    <w:rsid w:val="44A26AF3"/>
    <w:rsid w:val="48F37E32"/>
    <w:rsid w:val="74E447A9"/>
    <w:rsid w:val="768676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Preformatted"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22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17226"/>
    <w:rPr>
      <w:rFonts w:ascii="Times New Roman" w:hAnsi="Times New Roman" w:cs="Times New Roman"/>
      <w:sz w:val="24"/>
    </w:rPr>
  </w:style>
  <w:style w:type="paragraph" w:styleId="a4">
    <w:name w:val="Balloon Text"/>
    <w:basedOn w:val="a"/>
    <w:link w:val="Char0"/>
    <w:uiPriority w:val="99"/>
    <w:semiHidden/>
    <w:unhideWhenUsed/>
    <w:qFormat/>
    <w:rsid w:val="00617226"/>
    <w:rPr>
      <w:sz w:val="18"/>
      <w:szCs w:val="18"/>
    </w:rPr>
  </w:style>
  <w:style w:type="paragraph" w:styleId="a5">
    <w:name w:val="footer"/>
    <w:basedOn w:val="a"/>
    <w:link w:val="Char1"/>
    <w:uiPriority w:val="99"/>
    <w:unhideWhenUsed/>
    <w:qFormat/>
    <w:rsid w:val="0061722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172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6172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table" w:styleId="a7">
    <w:name w:val="Table Grid"/>
    <w:basedOn w:val="a1"/>
    <w:uiPriority w:val="39"/>
    <w:qFormat/>
    <w:rsid w:val="006172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617226"/>
    <w:rPr>
      <w:b/>
      <w:bCs/>
    </w:rPr>
  </w:style>
  <w:style w:type="character" w:styleId="a9">
    <w:name w:val="FollowedHyperlink"/>
    <w:basedOn w:val="a0"/>
    <w:uiPriority w:val="99"/>
    <w:semiHidden/>
    <w:unhideWhenUsed/>
    <w:qFormat/>
    <w:rsid w:val="00617226"/>
    <w:rPr>
      <w:color w:val="954F72" w:themeColor="followedHyperlink"/>
      <w:u w:val="single"/>
    </w:rPr>
  </w:style>
  <w:style w:type="character" w:styleId="aa">
    <w:name w:val="Hyperlink"/>
    <w:basedOn w:val="a0"/>
    <w:qFormat/>
    <w:rsid w:val="00617226"/>
    <w:rPr>
      <w:color w:val="0563C1" w:themeColor="hyperlink"/>
      <w:u w:val="single"/>
    </w:rPr>
  </w:style>
  <w:style w:type="character" w:customStyle="1" w:styleId="Char2">
    <w:name w:val="页眉 Char"/>
    <w:basedOn w:val="a0"/>
    <w:link w:val="a6"/>
    <w:uiPriority w:val="99"/>
    <w:qFormat/>
    <w:rsid w:val="00617226"/>
    <w:rPr>
      <w:sz w:val="18"/>
      <w:szCs w:val="18"/>
    </w:rPr>
  </w:style>
  <w:style w:type="character" w:customStyle="1" w:styleId="Char1">
    <w:name w:val="页脚 Char"/>
    <w:basedOn w:val="a0"/>
    <w:link w:val="a5"/>
    <w:uiPriority w:val="99"/>
    <w:qFormat/>
    <w:rsid w:val="00617226"/>
    <w:rPr>
      <w:sz w:val="18"/>
      <w:szCs w:val="18"/>
    </w:rPr>
  </w:style>
  <w:style w:type="character" w:customStyle="1" w:styleId="HTMLChar">
    <w:name w:val="HTML 预设格式 Char"/>
    <w:basedOn w:val="a0"/>
    <w:link w:val="HTML"/>
    <w:uiPriority w:val="99"/>
    <w:semiHidden/>
    <w:qFormat/>
    <w:rsid w:val="00617226"/>
    <w:rPr>
      <w:rFonts w:ascii="宋体" w:eastAsia="宋体" w:hAnsi="宋体" w:cs="宋体"/>
      <w:kern w:val="0"/>
      <w:sz w:val="24"/>
      <w:szCs w:val="24"/>
    </w:rPr>
  </w:style>
  <w:style w:type="paragraph" w:styleId="ab">
    <w:name w:val="List Paragraph"/>
    <w:basedOn w:val="a"/>
    <w:uiPriority w:val="34"/>
    <w:qFormat/>
    <w:rsid w:val="00617226"/>
    <w:pPr>
      <w:ind w:firstLineChars="200" w:firstLine="420"/>
    </w:pPr>
  </w:style>
  <w:style w:type="character" w:customStyle="1" w:styleId="1">
    <w:name w:val="未处理的提及1"/>
    <w:basedOn w:val="a0"/>
    <w:uiPriority w:val="99"/>
    <w:semiHidden/>
    <w:unhideWhenUsed/>
    <w:qFormat/>
    <w:rsid w:val="00617226"/>
    <w:rPr>
      <w:color w:val="605E5C"/>
      <w:shd w:val="clear" w:color="auto" w:fill="E1DFDD"/>
    </w:rPr>
  </w:style>
  <w:style w:type="character" w:customStyle="1" w:styleId="Char">
    <w:name w:val="文档结构图 Char"/>
    <w:basedOn w:val="a0"/>
    <w:link w:val="a3"/>
    <w:uiPriority w:val="99"/>
    <w:semiHidden/>
    <w:qFormat/>
    <w:rsid w:val="00617226"/>
    <w:rPr>
      <w:rFonts w:ascii="Times New Roman" w:hAnsi="Times New Roman" w:cs="Times New Roman"/>
      <w:sz w:val="24"/>
      <w:szCs w:val="24"/>
    </w:rPr>
  </w:style>
  <w:style w:type="character" w:customStyle="1" w:styleId="2">
    <w:name w:val="未处理的提及2"/>
    <w:basedOn w:val="a0"/>
    <w:uiPriority w:val="99"/>
    <w:semiHidden/>
    <w:unhideWhenUsed/>
    <w:qFormat/>
    <w:rsid w:val="00617226"/>
    <w:rPr>
      <w:color w:val="605E5C"/>
      <w:shd w:val="clear" w:color="auto" w:fill="E1DFDD"/>
    </w:rPr>
  </w:style>
  <w:style w:type="character" w:customStyle="1" w:styleId="Char0">
    <w:name w:val="批注框文本 Char"/>
    <w:basedOn w:val="a0"/>
    <w:link w:val="a4"/>
    <w:uiPriority w:val="99"/>
    <w:semiHidden/>
    <w:qFormat/>
    <w:rsid w:val="00617226"/>
    <w:rPr>
      <w:rFonts w:asciiTheme="minorHAnsi" w:eastAsiaTheme="minorEastAsia" w:hAnsiTheme="minorHAnsi" w:cstheme="minorBidi"/>
      <w:kern w:val="2"/>
      <w:sz w:val="18"/>
      <w:szCs w:val="18"/>
    </w:rPr>
  </w:style>
  <w:style w:type="paragraph" w:customStyle="1" w:styleId="10">
    <w:name w:val="修订1"/>
    <w:hidden/>
    <w:uiPriority w:val="99"/>
    <w:semiHidden/>
    <w:qFormat/>
    <w:rsid w:val="00617226"/>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hhjam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1341</Characters>
  <Application>Microsoft Office Word</Application>
  <DocSecurity>4</DocSecurity>
  <Lines>11</Lines>
  <Paragraphs>3</Paragraphs>
  <ScaleCrop>false</ScaleCrop>
  <Company>Hewlett-Packard Company</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ZHONGM</cp:lastModifiedBy>
  <cp:revision>2</cp:revision>
  <cp:lastPrinted>2022-07-14T03:16:00Z</cp:lastPrinted>
  <dcterms:created xsi:type="dcterms:W3CDTF">2023-06-28T16:01:00Z</dcterms:created>
  <dcterms:modified xsi:type="dcterms:W3CDTF">2023-06-28T16:01:00Z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77DD242CDE8F42CD9ECE2CC466851B6F</vt:lpwstr>
  </property>
</Properties>
</file>