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9C" w:rsidRPr="007A7F97" w:rsidRDefault="00752A9C" w:rsidP="00752A9C">
      <w:pPr>
        <w:widowControl/>
        <w:jc w:val="center"/>
        <w:rPr>
          <w:rFonts w:asciiTheme="minorEastAsia" w:eastAsiaTheme="minorEastAsia" w:hAnsiTheme="minorEastAsia" w:cs="宋体"/>
          <w:b/>
          <w:kern w:val="0"/>
          <w:sz w:val="30"/>
          <w:szCs w:val="30"/>
        </w:rPr>
      </w:pPr>
      <w:r w:rsidRPr="007A7F97">
        <w:rPr>
          <w:rFonts w:asciiTheme="minorEastAsia" w:eastAsiaTheme="minorEastAsia" w:hAnsiTheme="minorEastAsia" w:cs="宋体" w:hint="eastAsia"/>
          <w:b/>
          <w:kern w:val="0"/>
          <w:sz w:val="30"/>
          <w:szCs w:val="30"/>
        </w:rPr>
        <w:t>关于申万菱信中证沪港深数字经济主题指数型发起式证券投资基金开放日常申购、赎回、转换、定期定额投资业务的公告</w:t>
      </w:r>
    </w:p>
    <w:p w:rsidR="00752A9C" w:rsidRPr="00000864" w:rsidRDefault="00752A9C" w:rsidP="00752A9C">
      <w:pPr>
        <w:spacing w:line="560" w:lineRule="exact"/>
        <w:jc w:val="center"/>
        <w:rPr>
          <w:rFonts w:asciiTheme="minorEastAsia" w:eastAsiaTheme="minorEastAsia" w:hAnsiTheme="minorEastAsia" w:cs="宋体"/>
          <w:bCs/>
          <w:sz w:val="24"/>
          <w:szCs w:val="24"/>
        </w:rPr>
      </w:pPr>
      <w:r w:rsidRPr="00000864">
        <w:rPr>
          <w:rFonts w:asciiTheme="minorEastAsia" w:eastAsiaTheme="minorEastAsia" w:hAnsiTheme="minorEastAsia"/>
          <w:color w:val="000000"/>
          <w:sz w:val="24"/>
          <w:szCs w:val="24"/>
        </w:rPr>
        <w:t>公告送出日期：</w:t>
      </w:r>
      <w:r w:rsidRPr="00000864">
        <w:rPr>
          <w:rFonts w:asciiTheme="minorEastAsia" w:eastAsiaTheme="minorEastAsia" w:hAnsiTheme="minorEastAsia" w:cs="宋体"/>
          <w:bCs/>
          <w:sz w:val="24"/>
          <w:szCs w:val="24"/>
        </w:rPr>
        <w:t>2023年6月21日</w:t>
      </w:r>
    </w:p>
    <w:p w:rsidR="003C037B" w:rsidRPr="00000864" w:rsidRDefault="003C037B" w:rsidP="00752A9C">
      <w:pPr>
        <w:spacing w:line="560" w:lineRule="exact"/>
        <w:jc w:val="center"/>
        <w:rPr>
          <w:rFonts w:asciiTheme="minorEastAsia" w:eastAsiaTheme="minorEastAsia" w:hAnsiTheme="minorEastAsia"/>
          <w:color w:val="000000"/>
          <w:sz w:val="24"/>
          <w:szCs w:val="24"/>
        </w:rPr>
      </w:pP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bookmarkStart w:id="0" w:name="_Toc275961395"/>
      <w:r w:rsidRPr="00000864">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3"/>
        <w:gridCol w:w="3213"/>
        <w:gridCol w:w="3213"/>
      </w:tblGrid>
      <w:tr w:rsidR="00752A9C" w:rsidRPr="00000864" w:rsidTr="003C037B">
        <w:trPr>
          <w:jc w:val="center"/>
        </w:trPr>
        <w:tc>
          <w:tcPr>
            <w:tcW w:w="4355" w:type="dxa"/>
          </w:tcPr>
          <w:p w:rsidR="00752A9C" w:rsidRPr="00000864" w:rsidRDefault="00752A9C"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基金名称</w:t>
            </w:r>
          </w:p>
        </w:tc>
        <w:tc>
          <w:tcPr>
            <w:tcW w:w="4355" w:type="dxa"/>
            <w:gridSpan w:val="2"/>
            <w:vAlign w:val="center"/>
          </w:tcPr>
          <w:p w:rsidR="00752A9C" w:rsidRPr="00000864" w:rsidRDefault="00752A9C"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申万菱信中证沪港深数字经济主题指数型发起式证券投资基金</w:t>
            </w:r>
          </w:p>
        </w:tc>
      </w:tr>
      <w:tr w:rsidR="00752A9C" w:rsidRPr="00000864" w:rsidTr="003C037B">
        <w:trPr>
          <w:jc w:val="center"/>
        </w:trPr>
        <w:tc>
          <w:tcPr>
            <w:tcW w:w="4355" w:type="dxa"/>
          </w:tcPr>
          <w:p w:rsidR="00752A9C" w:rsidRPr="00000864" w:rsidRDefault="00752A9C"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基金简称</w:t>
            </w:r>
          </w:p>
        </w:tc>
        <w:tc>
          <w:tcPr>
            <w:tcW w:w="4355" w:type="dxa"/>
            <w:gridSpan w:val="2"/>
            <w:vAlign w:val="center"/>
          </w:tcPr>
          <w:p w:rsidR="00752A9C" w:rsidRPr="00000864" w:rsidRDefault="00752A9C"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申万菱信中证沪港深数字经济主题指数型发起式</w:t>
            </w:r>
          </w:p>
        </w:tc>
      </w:tr>
      <w:tr w:rsidR="00DA79B5" w:rsidRPr="00000864" w:rsidTr="003C037B">
        <w:trPr>
          <w:jc w:val="center"/>
        </w:trPr>
        <w:tc>
          <w:tcPr>
            <w:tcW w:w="4355" w:type="dxa"/>
            <w:vAlign w:val="center"/>
          </w:tcPr>
          <w:p w:rsidR="00DA79B5" w:rsidRPr="00000864" w:rsidRDefault="00DA79B5" w:rsidP="00FB02B7">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基金主代码</w:t>
            </w:r>
          </w:p>
        </w:tc>
        <w:tc>
          <w:tcPr>
            <w:tcW w:w="4355" w:type="dxa"/>
            <w:gridSpan w:val="2"/>
            <w:vAlign w:val="center"/>
          </w:tcPr>
          <w:p w:rsidR="00DA79B5" w:rsidRPr="00000864" w:rsidRDefault="00DA79B5" w:rsidP="0082483B">
            <w:pPr>
              <w:spacing w:line="560" w:lineRule="exact"/>
              <w:rPr>
                <w:rFonts w:asciiTheme="minorEastAsia" w:eastAsiaTheme="minorEastAsia" w:hAnsiTheme="minorEastAsia"/>
                <w:sz w:val="24"/>
                <w:szCs w:val="24"/>
              </w:rPr>
            </w:pPr>
            <w:r w:rsidRPr="00000864">
              <w:rPr>
                <w:rFonts w:asciiTheme="minorEastAsia" w:eastAsiaTheme="minorEastAsia" w:hAnsiTheme="minorEastAsia"/>
                <w:sz w:val="24"/>
                <w:szCs w:val="24"/>
              </w:rPr>
              <w:t>018207</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基金运作方式</w:t>
            </w:r>
          </w:p>
        </w:tc>
        <w:tc>
          <w:tcPr>
            <w:tcW w:w="4355" w:type="dxa"/>
            <w:gridSpan w:val="2"/>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契约型开放式</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基金合同生效日</w:t>
            </w:r>
          </w:p>
        </w:tc>
        <w:tc>
          <w:tcPr>
            <w:tcW w:w="4355" w:type="dxa"/>
            <w:gridSpan w:val="2"/>
            <w:vAlign w:val="center"/>
          </w:tcPr>
          <w:p w:rsidR="00DA79B5" w:rsidRPr="00000864" w:rsidRDefault="00730DEB"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2023年5月23日</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基金管理人名称</w:t>
            </w:r>
          </w:p>
        </w:tc>
        <w:tc>
          <w:tcPr>
            <w:tcW w:w="4355" w:type="dxa"/>
            <w:gridSpan w:val="2"/>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申万菱信基金管理有限公司</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基金托管人名称</w:t>
            </w:r>
          </w:p>
        </w:tc>
        <w:tc>
          <w:tcPr>
            <w:tcW w:w="4355" w:type="dxa"/>
            <w:gridSpan w:val="2"/>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招商银行股份有限公司</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基金注册登记机构名称</w:t>
            </w:r>
          </w:p>
        </w:tc>
        <w:tc>
          <w:tcPr>
            <w:tcW w:w="4355" w:type="dxa"/>
            <w:gridSpan w:val="2"/>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申万菱信基金管理有限公司</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公告依据</w:t>
            </w:r>
          </w:p>
        </w:tc>
        <w:tc>
          <w:tcPr>
            <w:tcW w:w="4355" w:type="dxa"/>
            <w:gridSpan w:val="2"/>
            <w:vAlign w:val="center"/>
          </w:tcPr>
          <w:p w:rsidR="00DA79B5" w:rsidRPr="00000864" w:rsidRDefault="00DA79B5" w:rsidP="0082483B">
            <w:pPr>
              <w:spacing w:line="560" w:lineRule="exact"/>
              <w:rPr>
                <w:rFonts w:asciiTheme="minorEastAsia" w:eastAsiaTheme="minorEastAsia" w:hAnsiTheme="minorEastAsia"/>
                <w:sz w:val="24"/>
                <w:szCs w:val="24"/>
              </w:rPr>
            </w:pPr>
            <w:r w:rsidRPr="00000864">
              <w:rPr>
                <w:rFonts w:asciiTheme="minorEastAsia" w:eastAsiaTheme="minorEastAsia" w:hAnsiTheme="minorEastAsia"/>
                <w:sz w:val="24"/>
                <w:szCs w:val="24"/>
              </w:rPr>
              <w:t>《公开募集证券投资基金信息披露管理办法》《申万菱信中证沪港深数字经济主题指数型发起式证券投资基金基金合同》《申万菱信中证沪港深数字经济主题指数型发起式证券投资基金招募说明书》</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申购起始日</w:t>
            </w:r>
          </w:p>
        </w:tc>
        <w:tc>
          <w:tcPr>
            <w:tcW w:w="4355" w:type="dxa"/>
            <w:gridSpan w:val="2"/>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2023年6月26日</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赎回起始日</w:t>
            </w:r>
          </w:p>
        </w:tc>
        <w:tc>
          <w:tcPr>
            <w:tcW w:w="4355" w:type="dxa"/>
            <w:gridSpan w:val="2"/>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2023年6月26日</w:t>
            </w:r>
          </w:p>
        </w:tc>
      </w:tr>
      <w:tr w:rsidR="00DA79B5" w:rsidRPr="00000864" w:rsidTr="003C037B">
        <w:trPr>
          <w:jc w:val="center"/>
        </w:trPr>
        <w:tc>
          <w:tcPr>
            <w:tcW w:w="4355" w:type="dxa"/>
          </w:tcPr>
          <w:p w:rsidR="00DA79B5" w:rsidRPr="00000864" w:rsidRDefault="00DA79B5" w:rsidP="000B693A">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转换转入起始日</w:t>
            </w:r>
          </w:p>
        </w:tc>
        <w:tc>
          <w:tcPr>
            <w:tcW w:w="4355" w:type="dxa"/>
            <w:gridSpan w:val="2"/>
            <w:vAlign w:val="center"/>
          </w:tcPr>
          <w:p w:rsidR="00DA79B5" w:rsidRPr="00000864" w:rsidRDefault="006F6048"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2023年6月26日</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转换转出起始日</w:t>
            </w:r>
          </w:p>
        </w:tc>
        <w:tc>
          <w:tcPr>
            <w:tcW w:w="4355" w:type="dxa"/>
            <w:gridSpan w:val="2"/>
            <w:vAlign w:val="center"/>
          </w:tcPr>
          <w:p w:rsidR="00DA79B5" w:rsidRPr="00000864" w:rsidRDefault="006F6048"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2023年6月26日</w:t>
            </w:r>
          </w:p>
        </w:tc>
      </w:tr>
      <w:tr w:rsidR="00DA79B5" w:rsidRPr="00000864" w:rsidTr="003C037B">
        <w:trPr>
          <w:jc w:val="center"/>
        </w:trPr>
        <w:tc>
          <w:tcPr>
            <w:tcW w:w="4355" w:type="dxa"/>
          </w:tcPr>
          <w:p w:rsidR="00DA79B5" w:rsidRPr="00000864" w:rsidRDefault="00DA79B5"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定期定额投资起始日</w:t>
            </w:r>
          </w:p>
        </w:tc>
        <w:tc>
          <w:tcPr>
            <w:tcW w:w="4355" w:type="dxa"/>
            <w:gridSpan w:val="2"/>
            <w:vAlign w:val="center"/>
          </w:tcPr>
          <w:p w:rsidR="00DA79B5" w:rsidRPr="00000864" w:rsidRDefault="006F6048" w:rsidP="006B6F63">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2023年6月26日</w:t>
            </w:r>
          </w:p>
        </w:tc>
      </w:tr>
      <w:tr w:rsidR="003C5EB7" w:rsidRPr="00000864" w:rsidTr="003C037B">
        <w:trPr>
          <w:jc w:val="center"/>
        </w:trPr>
        <w:tc>
          <w:tcPr>
            <w:tcW w:w="4355" w:type="dxa"/>
          </w:tcPr>
          <w:p w:rsidR="003C5EB7" w:rsidRPr="00000864" w:rsidRDefault="003C5EB7" w:rsidP="003C5EB7">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下属分级基金的基金简称</w:t>
            </w:r>
          </w:p>
        </w:tc>
        <w:tc>
          <w:tcPr>
            <w:tcW w:w="4355" w:type="dxa"/>
            <w:vAlign w:val="center"/>
          </w:tcPr>
          <w:p w:rsidR="003C5EB7" w:rsidRPr="00000864" w:rsidRDefault="003C5EB7"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申万菱信中证沪港深数字经济主题指数型发起式A</w:t>
            </w:r>
          </w:p>
        </w:tc>
        <w:tc>
          <w:tcPr>
            <w:tcW w:w="4355" w:type="dxa"/>
            <w:vAlign w:val="center"/>
          </w:tcPr>
          <w:p w:rsidR="003C5EB7" w:rsidRPr="00000864" w:rsidRDefault="003C5EB7"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申万菱信中证沪港深数字经济主题指数型发起式C</w:t>
            </w:r>
          </w:p>
        </w:tc>
      </w:tr>
      <w:tr w:rsidR="003C5EB7" w:rsidRPr="00000864" w:rsidTr="003C037B">
        <w:trPr>
          <w:jc w:val="center"/>
        </w:trPr>
        <w:tc>
          <w:tcPr>
            <w:tcW w:w="4355" w:type="dxa"/>
            <w:vAlign w:val="center"/>
          </w:tcPr>
          <w:p w:rsidR="003C5EB7" w:rsidRPr="00000864" w:rsidRDefault="003C5EB7" w:rsidP="00E93AFC">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lastRenderedPageBreak/>
              <w:t>下属分级基金的交易代码</w:t>
            </w:r>
          </w:p>
        </w:tc>
        <w:tc>
          <w:tcPr>
            <w:tcW w:w="4355" w:type="dxa"/>
            <w:vAlign w:val="center"/>
          </w:tcPr>
          <w:p w:rsidR="003C5EB7" w:rsidRPr="00000864" w:rsidRDefault="003C5EB7" w:rsidP="0082483B">
            <w:pPr>
              <w:spacing w:line="530" w:lineRule="exact"/>
              <w:rPr>
                <w:rFonts w:asciiTheme="minorEastAsia" w:eastAsiaTheme="minorEastAsia" w:hAnsiTheme="minorEastAsia"/>
                <w:color w:val="000000"/>
                <w:kern w:val="0"/>
                <w:sz w:val="24"/>
                <w:szCs w:val="24"/>
              </w:rPr>
            </w:pPr>
            <w:r w:rsidRPr="00000864">
              <w:rPr>
                <w:rFonts w:asciiTheme="minorEastAsia" w:eastAsiaTheme="minorEastAsia" w:hAnsiTheme="minorEastAsia"/>
                <w:sz w:val="24"/>
                <w:szCs w:val="24"/>
              </w:rPr>
              <w:t>018207</w:t>
            </w:r>
          </w:p>
        </w:tc>
        <w:tc>
          <w:tcPr>
            <w:tcW w:w="4355" w:type="dxa"/>
            <w:vAlign w:val="center"/>
          </w:tcPr>
          <w:p w:rsidR="003C5EB7" w:rsidRPr="00000864" w:rsidRDefault="003C5EB7" w:rsidP="0082483B">
            <w:pPr>
              <w:spacing w:line="530" w:lineRule="exact"/>
              <w:rPr>
                <w:rFonts w:asciiTheme="minorEastAsia" w:eastAsiaTheme="minorEastAsia" w:hAnsiTheme="minorEastAsia"/>
                <w:color w:val="000000"/>
                <w:kern w:val="0"/>
                <w:sz w:val="24"/>
                <w:szCs w:val="24"/>
              </w:rPr>
            </w:pPr>
            <w:r w:rsidRPr="00000864">
              <w:rPr>
                <w:rFonts w:asciiTheme="minorEastAsia" w:eastAsiaTheme="minorEastAsia" w:hAnsiTheme="minorEastAsia"/>
                <w:sz w:val="24"/>
                <w:szCs w:val="24"/>
              </w:rPr>
              <w:t>018208</w:t>
            </w:r>
          </w:p>
        </w:tc>
      </w:tr>
      <w:tr w:rsidR="003C5EB7" w:rsidRPr="00000864" w:rsidTr="003C037B">
        <w:trPr>
          <w:jc w:val="center"/>
        </w:trPr>
        <w:tc>
          <w:tcPr>
            <w:tcW w:w="4355" w:type="dxa"/>
          </w:tcPr>
          <w:p w:rsidR="003C5EB7" w:rsidRPr="00000864" w:rsidRDefault="003C5EB7" w:rsidP="00E93AFC">
            <w:pPr>
              <w:tabs>
                <w:tab w:val="left" w:pos="1315"/>
              </w:tabs>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该分级基金是否开放申购、赎回（转换、定期定额投资）</w:t>
            </w:r>
          </w:p>
        </w:tc>
        <w:tc>
          <w:tcPr>
            <w:tcW w:w="4355" w:type="dxa"/>
            <w:vAlign w:val="center"/>
          </w:tcPr>
          <w:p w:rsidR="003C5EB7" w:rsidRPr="00000864" w:rsidRDefault="003C5EB7"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是</w:t>
            </w:r>
          </w:p>
        </w:tc>
        <w:tc>
          <w:tcPr>
            <w:tcW w:w="4355" w:type="dxa"/>
            <w:vAlign w:val="center"/>
          </w:tcPr>
          <w:p w:rsidR="003C5EB7" w:rsidRPr="00000864" w:rsidRDefault="003C5EB7" w:rsidP="0082483B">
            <w:pPr>
              <w:spacing w:line="560" w:lineRule="exact"/>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是</w:t>
            </w:r>
          </w:p>
        </w:tc>
      </w:tr>
    </w:tbl>
    <w:p w:rsidR="001D1928" w:rsidRDefault="006F6048">
      <w:pPr>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注：1、申万菱信中证沪港深数字经济主题指数型发起式证券投资基金以下简称“本基金”。</w:t>
      </w:r>
    </w:p>
    <w:p w:rsidR="00752A9C" w:rsidRPr="00000864" w:rsidRDefault="0082483B" w:rsidP="00252259">
      <w:pPr>
        <w:spacing w:line="360" w:lineRule="auto"/>
        <w:rPr>
          <w:rFonts w:asciiTheme="minorEastAsia" w:eastAsiaTheme="minorEastAsia" w:hAnsiTheme="minorEastAsia"/>
          <w:color w:val="000000"/>
          <w:sz w:val="24"/>
          <w:szCs w:val="24"/>
        </w:rPr>
      </w:pPr>
      <w:r w:rsidRPr="00000864">
        <w:rPr>
          <w:rFonts w:asciiTheme="minorEastAsia" w:eastAsiaTheme="minorEastAsia" w:hAnsiTheme="minorEastAsia"/>
          <w:color w:val="000000"/>
          <w:kern w:val="0"/>
          <w:sz w:val="24"/>
          <w:szCs w:val="24"/>
        </w:rPr>
        <w:t>2、申万菱信基金管理有限公司以下简称“本公司”或“基金管理人”。</w:t>
      </w: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bookmarkStart w:id="1" w:name="_Toc275961396"/>
      <w:r w:rsidRPr="00000864">
        <w:rPr>
          <w:rFonts w:asciiTheme="minorEastAsia" w:eastAsiaTheme="minorEastAsia" w:hAnsiTheme="minorEastAsia"/>
          <w:bCs w:val="0"/>
          <w:color w:val="000000"/>
          <w:sz w:val="24"/>
          <w:szCs w:val="24"/>
        </w:rPr>
        <w:t>2 日常申购、赎回（转换、定期定额投资）业务的办理时间</w:t>
      </w:r>
      <w:bookmarkEnd w:id="1"/>
    </w:p>
    <w:p w:rsidR="00752A9C" w:rsidRPr="00000864" w:rsidRDefault="00AC6E8D"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hint="eastAsia"/>
          <w:color w:val="000000"/>
          <w:sz w:val="24"/>
          <w:szCs w:val="24"/>
        </w:rPr>
        <w:t>投资人在开放日办理基金份额的申购和赎回，本基金的开放日为港股通、上海证券交易所、深圳证券交易所同时正常开放交易的工作日。投资者应当在开放日的开放时间办理申购和赎回申请。基金合同生效后，若出现新的证券交易市场或期货交易市场、证券交易所或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具体时间以基金管理人届时公告为准。</w:t>
      </w: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bookmarkStart w:id="2" w:name="_Toc275961397"/>
      <w:r w:rsidRPr="00000864">
        <w:rPr>
          <w:rFonts w:asciiTheme="minorEastAsia" w:eastAsiaTheme="minorEastAsia" w:hAnsiTheme="minorEastAsia"/>
          <w:bCs w:val="0"/>
          <w:color w:val="000000"/>
          <w:sz w:val="24"/>
          <w:szCs w:val="24"/>
        </w:rPr>
        <w:t>3 日常申购业务</w:t>
      </w:r>
      <w:bookmarkEnd w:id="2"/>
    </w:p>
    <w:p w:rsidR="00752A9C" w:rsidRPr="00000864" w:rsidRDefault="00752A9C"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b/>
          <w:color w:val="000000"/>
          <w:sz w:val="24"/>
          <w:szCs w:val="24"/>
        </w:rPr>
        <w:t>3.1 申购金额限制</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人在其他销售机构办理基金份额申购时，首次申购单笔最低金额为1元人民币（含申购费），追加申购单笔最低金额为1元人民币（含申购费）。通过直销中心首次申购单笔最低金额为10元人民币（含申购费），追加申购单笔最低金额为10元人民币（含申购费）。本基金直销中心单笔申购最低金额可由基金管理人酌情调整。</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投资人将当期分配的基金收益转购相应类别的基金份额或采用定期定额投资计划时，不受最低申购金额的限制。</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其他销售机构的销售网点的投资人欲转入直销网点进行交易要受直销网点最低金额的限制。基金管理人可根据市场情况，调整首次申购和追加申购的最低金额。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投资人可多次申购，对单个投资人累计持有份额不设上限限制，但单一投资者（基金管理人、基金管理人高级管理人员或基金经理等人员作为发起资金提供方除外）持有基金份额数不得达到或超过基金份额总数的50%（在基金运作过程中因基金份额赎回等基金管理人无法予以控制的情形导致被动达到或超过50%的情形除外）。法律法规或监管机构另有规定的，从其规定。</w:t>
      </w:r>
    </w:p>
    <w:p w:rsidR="00752A9C" w:rsidRPr="00000864" w:rsidRDefault="00AC6E8D"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hint="eastAsia"/>
          <w:color w:val="000000"/>
          <w:sz w:val="24"/>
          <w:szCs w:val="24"/>
        </w:rPr>
        <w:t>基金管理人可根据市场情况，在法律法规允许的情况下，调整上述规定申购金额的数量限制。基金管理人必须在调整实施前依照《信息披露办法》的有关规定在规定媒介上公告。</w:t>
      </w:r>
    </w:p>
    <w:p w:rsidR="00752A9C" w:rsidRPr="00000864" w:rsidRDefault="00752A9C" w:rsidP="00752A9C">
      <w:pPr>
        <w:spacing w:line="560" w:lineRule="exact"/>
        <w:rPr>
          <w:rFonts w:asciiTheme="minorEastAsia" w:eastAsiaTheme="minorEastAsia" w:hAnsiTheme="minorEastAsia"/>
          <w:color w:val="000000"/>
          <w:sz w:val="24"/>
          <w:szCs w:val="24"/>
        </w:rPr>
      </w:pPr>
    </w:p>
    <w:p w:rsidR="00752A9C" w:rsidRPr="00000864" w:rsidRDefault="008E273C"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申购费率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（1）本基金对通过基金管理人直销中心申购本基金A类基金份额的养老金客户与除此之外的其他投资人实施差别的申购费率，对通过直销中心申购本基金A类基金份额的养老金客户实施特定申购费率。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养老金客户指基本养老基金与依法成立的养老计划筹集的资金及其投资运营收益形成的补充养老基金等，包括全国社会保障基金、可以投资基金的地方社会保障基金、企业年金单一计划以及集合计划、企业年金理事会委托的特定客户资产管理计划、企业年金养老金产品、职业年金计划、养老目标基金。如将来出现经养老基金监管部门认可的新的养老基金类型，基金管理人将在招募说明书更新时或发布临时公告将其纳入养老金客户范围。非养老金客户指除养老金客户外的其他投资人。</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A类基金份额的申购费用由申购A类基金份额的投资人承担，不列入基金财产，用于基金的市场推广、销售、登记等各项费用。</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本基金A类基金份额的申购费率如下表：</w:t>
      </w:r>
    </w:p>
    <w:tbl>
      <w:tblPr>
        <w:tblW w:w="4845" w:type="pct"/>
        <w:jc w:val="center"/>
        <w:tblBorders>
          <w:top w:val="single" w:sz="12" w:space="0" w:color="0000FF"/>
          <w:bottom w:val="single" w:sz="12" w:space="0" w:color="0000FF"/>
          <w:insideH w:val="single" w:sz="6" w:space="0" w:color="0000FF"/>
        </w:tblBorders>
        <w:tblCellMar>
          <w:left w:w="0" w:type="dxa"/>
          <w:right w:w="0" w:type="dxa"/>
        </w:tblCellMar>
        <w:tblLook w:val="04A0"/>
      </w:tblPr>
      <w:tblGrid>
        <w:gridCol w:w="4167"/>
        <w:gridCol w:w="2431"/>
        <w:gridCol w:w="1660"/>
      </w:tblGrid>
      <w:tr w:rsidR="006F6048" w:rsidTr="00141328">
        <w:trPr>
          <w:jc w:val="center"/>
        </w:trPr>
        <w:tc>
          <w:tcPr>
            <w:tcW w:w="2523"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申购金额（元）</w:t>
            </w:r>
          </w:p>
        </w:tc>
        <w:tc>
          <w:tcPr>
            <w:tcW w:w="1472" w:type="pct"/>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特定申购费率</w:t>
            </w:r>
          </w:p>
        </w:tc>
        <w:tc>
          <w:tcPr>
            <w:tcW w:w="1005"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申购费率</w:t>
            </w:r>
          </w:p>
        </w:tc>
      </w:tr>
      <w:tr w:rsidR="006F6048" w:rsidTr="00141328">
        <w:trPr>
          <w:jc w:val="center"/>
        </w:trPr>
        <w:tc>
          <w:tcPr>
            <w:tcW w:w="2523"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100</w:t>
            </w:r>
            <w:r w:rsidRPr="006F6048">
              <w:rPr>
                <w:rFonts w:asciiTheme="minorEastAsia" w:eastAsiaTheme="minorEastAsia" w:hAnsiTheme="minorEastAsia"/>
                <w:color w:val="000000"/>
                <w:sz w:val="24"/>
                <w:szCs w:val="24"/>
              </w:rPr>
              <w:t>万以下</w:t>
            </w:r>
          </w:p>
        </w:tc>
        <w:tc>
          <w:tcPr>
            <w:tcW w:w="1472" w:type="pct"/>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0.36%</w:t>
            </w:r>
          </w:p>
        </w:tc>
        <w:tc>
          <w:tcPr>
            <w:tcW w:w="1005" w:type="pct"/>
            <w:tcMar>
              <w:top w:w="0" w:type="dxa"/>
              <w:left w:w="108" w:type="dxa"/>
              <w:bottom w:w="0" w:type="dxa"/>
              <w:right w:w="108" w:type="dxa"/>
            </w:tcMa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1.20%</w:t>
            </w:r>
          </w:p>
        </w:tc>
      </w:tr>
      <w:tr w:rsidR="006F6048" w:rsidTr="00141328">
        <w:trPr>
          <w:jc w:val="center"/>
        </w:trPr>
        <w:tc>
          <w:tcPr>
            <w:tcW w:w="2523"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100万（含）—</w:t>
            </w:r>
            <w:r w:rsidRPr="006F6048">
              <w:rPr>
                <w:rFonts w:asciiTheme="minorEastAsia" w:eastAsiaTheme="minorEastAsia" w:hAnsiTheme="minorEastAsia"/>
                <w:color w:val="000000"/>
                <w:sz w:val="24"/>
                <w:szCs w:val="24"/>
              </w:rPr>
              <w:t>3</w:t>
            </w:r>
            <w:r w:rsidRPr="006F6048">
              <w:rPr>
                <w:rFonts w:asciiTheme="minorEastAsia" w:eastAsiaTheme="minorEastAsia" w:hAnsiTheme="minorEastAsia" w:hint="eastAsia"/>
                <w:color w:val="000000"/>
                <w:sz w:val="24"/>
                <w:szCs w:val="24"/>
              </w:rPr>
              <w:t>00万</w:t>
            </w:r>
          </w:p>
        </w:tc>
        <w:tc>
          <w:tcPr>
            <w:tcW w:w="1472" w:type="pct"/>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0.24%</w:t>
            </w:r>
          </w:p>
        </w:tc>
        <w:tc>
          <w:tcPr>
            <w:tcW w:w="1005" w:type="pct"/>
            <w:tcMar>
              <w:top w:w="0" w:type="dxa"/>
              <w:left w:w="108" w:type="dxa"/>
              <w:bottom w:w="0" w:type="dxa"/>
              <w:right w:w="108" w:type="dxa"/>
            </w:tcMa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0.80%</w:t>
            </w:r>
          </w:p>
        </w:tc>
      </w:tr>
      <w:tr w:rsidR="006F6048" w:rsidTr="00141328">
        <w:trPr>
          <w:jc w:val="center"/>
        </w:trPr>
        <w:tc>
          <w:tcPr>
            <w:tcW w:w="2523"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3</w:t>
            </w:r>
            <w:r w:rsidRPr="006F6048">
              <w:rPr>
                <w:rFonts w:asciiTheme="minorEastAsia" w:eastAsiaTheme="minorEastAsia" w:hAnsiTheme="minorEastAsia"/>
                <w:color w:val="000000"/>
                <w:sz w:val="24"/>
                <w:szCs w:val="24"/>
              </w:rPr>
              <w:t>00</w:t>
            </w:r>
            <w:r w:rsidRPr="006F6048">
              <w:rPr>
                <w:rFonts w:asciiTheme="minorEastAsia" w:eastAsiaTheme="minorEastAsia" w:hAnsiTheme="minorEastAsia" w:hint="eastAsia"/>
                <w:color w:val="000000"/>
                <w:sz w:val="24"/>
                <w:szCs w:val="24"/>
              </w:rPr>
              <w:t>万（含）—5</w:t>
            </w:r>
            <w:r w:rsidRPr="006F6048">
              <w:rPr>
                <w:rFonts w:asciiTheme="minorEastAsia" w:eastAsiaTheme="minorEastAsia" w:hAnsiTheme="minorEastAsia"/>
                <w:color w:val="000000"/>
                <w:sz w:val="24"/>
                <w:szCs w:val="24"/>
              </w:rPr>
              <w:t>00</w:t>
            </w:r>
            <w:r w:rsidRPr="006F6048">
              <w:rPr>
                <w:rFonts w:asciiTheme="minorEastAsia" w:eastAsiaTheme="minorEastAsia" w:hAnsiTheme="minorEastAsia" w:hint="eastAsia"/>
                <w:color w:val="000000"/>
                <w:sz w:val="24"/>
                <w:szCs w:val="24"/>
              </w:rPr>
              <w:t>万</w:t>
            </w:r>
          </w:p>
        </w:tc>
        <w:tc>
          <w:tcPr>
            <w:tcW w:w="1472" w:type="pct"/>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0</w:t>
            </w:r>
            <w:r w:rsidRPr="006F6048">
              <w:rPr>
                <w:rFonts w:asciiTheme="minorEastAsia" w:eastAsiaTheme="minorEastAsia" w:hAnsiTheme="minorEastAsia"/>
                <w:color w:val="000000"/>
                <w:sz w:val="24"/>
                <w:szCs w:val="24"/>
              </w:rPr>
              <w:t>.15%</w:t>
            </w:r>
          </w:p>
        </w:tc>
        <w:tc>
          <w:tcPr>
            <w:tcW w:w="1005" w:type="pct"/>
            <w:tcMar>
              <w:top w:w="0" w:type="dxa"/>
              <w:left w:w="108" w:type="dxa"/>
              <w:bottom w:w="0" w:type="dxa"/>
              <w:right w:w="108" w:type="dxa"/>
            </w:tcMa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0.5</w:t>
            </w:r>
            <w:r w:rsidRPr="006F6048">
              <w:rPr>
                <w:rFonts w:asciiTheme="minorEastAsia" w:eastAsiaTheme="minorEastAsia" w:hAnsiTheme="minorEastAsia"/>
                <w:color w:val="000000"/>
                <w:sz w:val="24"/>
                <w:szCs w:val="24"/>
              </w:rPr>
              <w:t>0%</w:t>
            </w:r>
          </w:p>
        </w:tc>
      </w:tr>
      <w:tr w:rsidR="006F6048" w:rsidTr="00141328">
        <w:trPr>
          <w:jc w:val="center"/>
        </w:trPr>
        <w:tc>
          <w:tcPr>
            <w:tcW w:w="2523"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500</w:t>
            </w:r>
            <w:r w:rsidRPr="006F6048">
              <w:rPr>
                <w:rFonts w:asciiTheme="minorEastAsia" w:eastAsiaTheme="minorEastAsia" w:hAnsiTheme="minorEastAsia"/>
                <w:color w:val="000000"/>
                <w:sz w:val="24"/>
                <w:szCs w:val="24"/>
              </w:rPr>
              <w:t>万（含）以上</w:t>
            </w:r>
          </w:p>
        </w:tc>
        <w:tc>
          <w:tcPr>
            <w:tcW w:w="1472" w:type="pct"/>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30</w:t>
            </w:r>
            <w:r w:rsidRPr="006F6048">
              <w:rPr>
                <w:rFonts w:asciiTheme="minorEastAsia" w:eastAsiaTheme="minorEastAsia" w:hAnsiTheme="minorEastAsia"/>
                <w:color w:val="000000"/>
                <w:sz w:val="24"/>
                <w:szCs w:val="24"/>
              </w:rPr>
              <w:t>0元/笔</w:t>
            </w:r>
          </w:p>
        </w:tc>
        <w:tc>
          <w:tcPr>
            <w:tcW w:w="1005" w:type="pct"/>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1,0</w:t>
            </w:r>
            <w:r w:rsidRPr="006F6048">
              <w:rPr>
                <w:rFonts w:asciiTheme="minorEastAsia" w:eastAsiaTheme="minorEastAsia" w:hAnsiTheme="minorEastAsia"/>
                <w:color w:val="000000"/>
                <w:sz w:val="24"/>
                <w:szCs w:val="24"/>
              </w:rPr>
              <w:t>00元/笔</w:t>
            </w:r>
          </w:p>
        </w:tc>
      </w:tr>
    </w:tbl>
    <w:p w:rsidR="00752A9C" w:rsidRPr="00000864" w:rsidRDefault="007D000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hint="eastAsia"/>
          <w:color w:val="000000"/>
          <w:sz w:val="24"/>
          <w:szCs w:val="24"/>
        </w:rPr>
        <w:t>（2）本基金C类基金份额不收取申购费。</w:t>
      </w:r>
    </w:p>
    <w:p w:rsidR="00984EC8" w:rsidRPr="00000864" w:rsidRDefault="00984EC8" w:rsidP="00984EC8">
      <w:pPr>
        <w:spacing w:line="560" w:lineRule="exact"/>
        <w:rPr>
          <w:rFonts w:asciiTheme="minorEastAsia" w:eastAsiaTheme="minorEastAsia" w:hAnsiTheme="minorEastAsia"/>
          <w:color w:val="000000"/>
          <w:sz w:val="24"/>
          <w:szCs w:val="24"/>
        </w:rPr>
      </w:pPr>
    </w:p>
    <w:p w:rsidR="00752A9C" w:rsidRPr="00000864" w:rsidRDefault="000B693A"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 xml:space="preserve"> 其他与申购相关的事项</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应以交易时间结束前受理有效申购申请的当天作为申购申请日（T日），在正常情况下，本基金登记机构在T+1日内（包括该日）对该交易的有效性进行确认。投资人应在T+2日后（包括该日）及时到销售网点柜台或以销售机构规定的其他方式查询申请的确认情况。若申购不成立或无效，则申购款项本金退还给投资人，基金管理人及基金托管人不承担该退回款项产生的利息等损失。因投资者未及时进行查询而造成的后果由其自行承担。</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销售机构对申购申请的受理并不代表该申请一定成功，而仅代表销售机构确实接收到申请。申购申请的确认以登记机构的确认结果为准。对于申请及份额的确认情况，投资者应及时查询并妥善行使合法权利，否则如因申请未得到登记机构的确认而产生的后果，由投资人自行承担。</w:t>
      </w:r>
    </w:p>
    <w:p w:rsidR="00752A9C" w:rsidRPr="00000864" w:rsidRDefault="00EE4694"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基金管理人可以在法律法规允许的范围内对上述申购申请的确认时间进行调整，并必须在调整实施日前按照《信息披露办法》的有关规定在规定媒介上公告。</w:t>
      </w:r>
    </w:p>
    <w:p w:rsidR="00752A9C" w:rsidRPr="00000864" w:rsidRDefault="000B693A" w:rsidP="00752A9C">
      <w:pPr>
        <w:pStyle w:val="2"/>
        <w:spacing w:line="560" w:lineRule="exact"/>
        <w:rPr>
          <w:rFonts w:asciiTheme="minorEastAsia" w:eastAsiaTheme="minorEastAsia" w:hAnsiTheme="minorEastAsia"/>
          <w:bCs w:val="0"/>
          <w:color w:val="000000"/>
          <w:sz w:val="24"/>
          <w:szCs w:val="24"/>
        </w:rPr>
      </w:pPr>
      <w:bookmarkStart w:id="3" w:name="_Toc275961398"/>
      <w:r w:rsidRPr="00000864">
        <w:rPr>
          <w:rFonts w:asciiTheme="minorEastAsia" w:eastAsiaTheme="minorEastAsia" w:hAnsiTheme="minorEastAsia" w:hint="eastAsia"/>
          <w:bCs w:val="0"/>
          <w:color w:val="000000"/>
          <w:sz w:val="24"/>
          <w:szCs w:val="24"/>
        </w:rPr>
        <w:t>4</w:t>
      </w:r>
      <w:r w:rsidR="00752A9C" w:rsidRPr="00000864">
        <w:rPr>
          <w:rFonts w:asciiTheme="minorEastAsia" w:eastAsiaTheme="minorEastAsia" w:hAnsiTheme="minorEastAsia"/>
          <w:bCs w:val="0"/>
          <w:color w:val="000000"/>
          <w:sz w:val="24"/>
          <w:szCs w:val="24"/>
        </w:rPr>
        <w:t xml:space="preserve"> 日常赎回业务</w:t>
      </w:r>
      <w:bookmarkEnd w:id="3"/>
    </w:p>
    <w:p w:rsidR="00752A9C" w:rsidRPr="00000864" w:rsidRDefault="000B693A"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赎回份额限制</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基金份额持有人在销售机构赎回时，每笔赎回申请不得低于1份基金份额（但交易账户内剩余基金份额不足1份的除外）；基金份额持有人在销售机构（网点）的某一交易账户内基金份额不足1份的，应一次性全部赎回。 </w:t>
      </w:r>
    </w:p>
    <w:p w:rsidR="00752A9C" w:rsidRPr="00000864" w:rsidRDefault="00EE4694"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基金管理人可根据市场情况，在法律法规允许的情况下，调整上述规定赎回份额的数量限制。基金管理人必须在调整实施前依照《信息披露办法》的有关规定在规定媒介上公告。</w:t>
      </w:r>
    </w:p>
    <w:p w:rsidR="00752A9C" w:rsidRPr="00000864" w:rsidRDefault="000B693A"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赎回费率</w:t>
      </w:r>
    </w:p>
    <w:p w:rsidR="006F6048" w:rsidRPr="006F6048" w:rsidRDefault="006F6048" w:rsidP="006F6048">
      <w:pPr>
        <w:spacing w:line="360" w:lineRule="auto"/>
        <w:ind w:firstLineChars="200" w:firstLine="480"/>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本基金A类基金份额和C类基金份额的赎回费用由赎回相应基金份额的基金份额持有人承担，在基金份额持有人赎回相应基金份额时收取。对于持续持有期少于30日的投资人收取的赎回费，将全额计入基金财产；对于持续持有期不少于30日的投资者，赎回费用不纳入基金财产，用于支付市场推广、销售、登记费和其他必要的手续费。</w:t>
      </w:r>
    </w:p>
    <w:p w:rsidR="006F6048" w:rsidRPr="006F6048" w:rsidRDefault="006F6048" w:rsidP="006F6048">
      <w:pPr>
        <w:spacing w:line="360" w:lineRule="auto"/>
        <w:ind w:firstLineChars="200" w:firstLine="480"/>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本基金A类基金份额</w:t>
      </w:r>
      <w:r w:rsidRPr="006F6048">
        <w:rPr>
          <w:rFonts w:asciiTheme="minorEastAsia" w:eastAsiaTheme="minorEastAsia" w:hAnsiTheme="minorEastAsia"/>
          <w:color w:val="000000"/>
          <w:sz w:val="24"/>
          <w:szCs w:val="24"/>
        </w:rPr>
        <w:t>的赎回费率</w:t>
      </w:r>
      <w:r w:rsidRPr="006F6048">
        <w:rPr>
          <w:rFonts w:asciiTheme="minorEastAsia" w:eastAsiaTheme="minorEastAsia" w:hAnsiTheme="minorEastAsia" w:hint="eastAsia"/>
          <w:color w:val="000000"/>
          <w:sz w:val="24"/>
          <w:szCs w:val="24"/>
        </w:rPr>
        <w:t>如下表：</w:t>
      </w:r>
    </w:p>
    <w:tbl>
      <w:tblPr>
        <w:tblW w:w="4907" w:type="pct"/>
        <w:tblInd w:w="165" w:type="dxa"/>
        <w:tblBorders>
          <w:top w:val="single" w:sz="12" w:space="0" w:color="0000FF"/>
          <w:bottom w:val="single" w:sz="12" w:space="0" w:color="0000FF"/>
          <w:insideH w:val="single" w:sz="6" w:space="0" w:color="0000FF"/>
        </w:tblBorders>
        <w:tblCellMar>
          <w:left w:w="0" w:type="dxa"/>
          <w:right w:w="0" w:type="dxa"/>
        </w:tblCellMar>
        <w:tblLook w:val="04A0"/>
      </w:tblPr>
      <w:tblGrid>
        <w:gridCol w:w="4166"/>
        <w:gridCol w:w="4091"/>
      </w:tblGrid>
      <w:tr w:rsidR="006F6048" w:rsidTr="00141328">
        <w:tc>
          <w:tcPr>
            <w:tcW w:w="2523" w:type="pct"/>
            <w:tcBorders>
              <w:top w:val="single" w:sz="12"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持有期限</w:t>
            </w:r>
          </w:p>
        </w:tc>
        <w:tc>
          <w:tcPr>
            <w:tcW w:w="2477" w:type="pct"/>
            <w:tcBorders>
              <w:top w:val="single" w:sz="12"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赎回费率</w:t>
            </w:r>
          </w:p>
        </w:tc>
      </w:tr>
      <w:tr w:rsidR="006F6048" w:rsidTr="00141328">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7日以内</w:t>
            </w:r>
          </w:p>
        </w:tc>
        <w:tc>
          <w:tcPr>
            <w:tcW w:w="2477" w:type="pct"/>
            <w:tcBorders>
              <w:top w:val="single" w:sz="6"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1.50%</w:t>
            </w:r>
          </w:p>
        </w:tc>
      </w:tr>
      <w:tr w:rsidR="006F6048" w:rsidTr="00141328">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7日（含）—</w:t>
            </w:r>
            <w:r w:rsidRPr="006F6048">
              <w:rPr>
                <w:rFonts w:asciiTheme="minorEastAsia" w:eastAsiaTheme="minorEastAsia" w:hAnsiTheme="minorEastAsia"/>
                <w:color w:val="000000"/>
                <w:sz w:val="24"/>
                <w:szCs w:val="24"/>
              </w:rPr>
              <w:t>180</w:t>
            </w:r>
            <w:r w:rsidRPr="006F6048">
              <w:rPr>
                <w:rFonts w:asciiTheme="minorEastAsia" w:eastAsiaTheme="minorEastAsia" w:hAnsiTheme="minorEastAsia" w:hint="eastAsia"/>
                <w:color w:val="000000"/>
                <w:sz w:val="24"/>
                <w:szCs w:val="24"/>
              </w:rPr>
              <w:t>日</w:t>
            </w:r>
          </w:p>
        </w:tc>
        <w:tc>
          <w:tcPr>
            <w:tcW w:w="2477" w:type="pct"/>
            <w:tcBorders>
              <w:top w:val="single" w:sz="6"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0.50%</w:t>
            </w:r>
          </w:p>
        </w:tc>
      </w:tr>
      <w:tr w:rsidR="006F6048" w:rsidTr="00141328">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180</w:t>
            </w:r>
            <w:r w:rsidRPr="006F6048">
              <w:rPr>
                <w:rFonts w:asciiTheme="minorEastAsia" w:eastAsiaTheme="minorEastAsia" w:hAnsiTheme="minorEastAsia" w:hint="eastAsia"/>
                <w:color w:val="000000"/>
                <w:sz w:val="24"/>
                <w:szCs w:val="24"/>
              </w:rPr>
              <w:t>日（含）—</w:t>
            </w:r>
            <w:r w:rsidRPr="006F6048">
              <w:rPr>
                <w:rFonts w:asciiTheme="minorEastAsia" w:eastAsiaTheme="minorEastAsia" w:hAnsiTheme="minorEastAsia"/>
                <w:color w:val="000000"/>
                <w:sz w:val="24"/>
                <w:szCs w:val="24"/>
              </w:rPr>
              <w:t>365</w:t>
            </w:r>
            <w:r w:rsidRPr="006F6048">
              <w:rPr>
                <w:rFonts w:asciiTheme="minorEastAsia" w:eastAsiaTheme="minorEastAsia" w:hAnsiTheme="minorEastAsia" w:hint="eastAsia"/>
                <w:color w:val="000000"/>
                <w:sz w:val="24"/>
                <w:szCs w:val="24"/>
              </w:rPr>
              <w:t>日</w:t>
            </w:r>
          </w:p>
        </w:tc>
        <w:tc>
          <w:tcPr>
            <w:tcW w:w="2477" w:type="pct"/>
            <w:tcBorders>
              <w:top w:val="single" w:sz="6"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0.25</w:t>
            </w:r>
            <w:r w:rsidRPr="006F6048">
              <w:rPr>
                <w:rFonts w:asciiTheme="minorEastAsia" w:eastAsiaTheme="minorEastAsia" w:hAnsiTheme="minorEastAsia" w:hint="eastAsia"/>
                <w:color w:val="000000"/>
                <w:sz w:val="24"/>
                <w:szCs w:val="24"/>
              </w:rPr>
              <w:t>%</w:t>
            </w:r>
          </w:p>
        </w:tc>
      </w:tr>
      <w:tr w:rsidR="006F6048" w:rsidTr="00141328">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365日（含）</w:t>
            </w:r>
            <w:r w:rsidRPr="006F6048">
              <w:rPr>
                <w:rFonts w:asciiTheme="minorEastAsia" w:eastAsiaTheme="minorEastAsia" w:hAnsiTheme="minorEastAsia" w:hint="eastAsia"/>
                <w:color w:val="000000"/>
                <w:sz w:val="24"/>
                <w:szCs w:val="24"/>
              </w:rPr>
              <w:t>以上</w:t>
            </w:r>
          </w:p>
        </w:tc>
        <w:tc>
          <w:tcPr>
            <w:tcW w:w="2477" w:type="pct"/>
            <w:tcBorders>
              <w:top w:val="single" w:sz="6"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hint="eastAsia"/>
                <w:color w:val="000000"/>
                <w:sz w:val="24"/>
                <w:szCs w:val="24"/>
              </w:rPr>
              <w:t>0</w:t>
            </w:r>
          </w:p>
        </w:tc>
      </w:tr>
    </w:tbl>
    <w:p w:rsidR="006F6048" w:rsidRPr="006F6048" w:rsidRDefault="006F6048" w:rsidP="006F6048">
      <w:pPr>
        <w:spacing w:line="360" w:lineRule="auto"/>
        <w:ind w:firstLineChars="200" w:firstLine="480"/>
        <w:rPr>
          <w:rFonts w:asciiTheme="minorEastAsia" w:eastAsiaTheme="minorEastAsia" w:hAnsiTheme="minorEastAsia"/>
          <w:color w:val="000000"/>
          <w:sz w:val="24"/>
          <w:szCs w:val="24"/>
        </w:rPr>
      </w:pPr>
    </w:p>
    <w:p w:rsidR="006F6048" w:rsidRPr="006F6048" w:rsidRDefault="006F6048" w:rsidP="006F6048">
      <w:pPr>
        <w:spacing w:line="360" w:lineRule="auto"/>
        <w:ind w:firstLineChars="200" w:firstLine="480"/>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本基金C</w:t>
      </w:r>
      <w:r w:rsidRPr="006F6048">
        <w:rPr>
          <w:rFonts w:asciiTheme="minorEastAsia" w:eastAsiaTheme="minorEastAsia" w:hAnsiTheme="minorEastAsia" w:hint="eastAsia"/>
          <w:color w:val="000000"/>
          <w:sz w:val="24"/>
          <w:szCs w:val="24"/>
        </w:rPr>
        <w:t>类基金份额</w:t>
      </w:r>
      <w:r w:rsidRPr="006F6048">
        <w:rPr>
          <w:rFonts w:asciiTheme="minorEastAsia" w:eastAsiaTheme="minorEastAsia" w:hAnsiTheme="minorEastAsia"/>
          <w:color w:val="000000"/>
          <w:sz w:val="24"/>
          <w:szCs w:val="24"/>
        </w:rPr>
        <w:t>的赎回费率如下表：</w:t>
      </w:r>
    </w:p>
    <w:tbl>
      <w:tblPr>
        <w:tblW w:w="4907" w:type="pct"/>
        <w:tblInd w:w="165" w:type="dxa"/>
        <w:tblBorders>
          <w:top w:val="single" w:sz="12" w:space="0" w:color="0000FF"/>
          <w:bottom w:val="single" w:sz="12" w:space="0" w:color="0000FF"/>
          <w:insideH w:val="single" w:sz="6" w:space="0" w:color="0000FF"/>
        </w:tblBorders>
        <w:tblCellMar>
          <w:left w:w="0" w:type="dxa"/>
          <w:right w:w="0" w:type="dxa"/>
        </w:tblCellMar>
        <w:tblLook w:val="04A0"/>
      </w:tblPr>
      <w:tblGrid>
        <w:gridCol w:w="4166"/>
        <w:gridCol w:w="4091"/>
      </w:tblGrid>
      <w:tr w:rsidR="006F6048" w:rsidTr="00141328">
        <w:tc>
          <w:tcPr>
            <w:tcW w:w="2523" w:type="pct"/>
            <w:tcBorders>
              <w:top w:val="single" w:sz="12"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持有期限</w:t>
            </w:r>
          </w:p>
        </w:tc>
        <w:tc>
          <w:tcPr>
            <w:tcW w:w="2477" w:type="pct"/>
            <w:tcBorders>
              <w:top w:val="single" w:sz="12"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赎回费率</w:t>
            </w:r>
          </w:p>
        </w:tc>
      </w:tr>
      <w:tr w:rsidR="006F6048" w:rsidTr="00141328">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7日以内</w:t>
            </w:r>
          </w:p>
        </w:tc>
        <w:tc>
          <w:tcPr>
            <w:tcW w:w="2477" w:type="pct"/>
            <w:tcBorders>
              <w:top w:val="single" w:sz="6"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1.50%</w:t>
            </w:r>
          </w:p>
        </w:tc>
      </w:tr>
      <w:tr w:rsidR="006F6048" w:rsidTr="00141328">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7日（含）</w:t>
            </w:r>
            <w:r w:rsidRPr="006F6048">
              <w:rPr>
                <w:rFonts w:asciiTheme="minorEastAsia" w:eastAsiaTheme="minorEastAsia" w:hAnsiTheme="minorEastAsia" w:hint="eastAsia"/>
                <w:color w:val="000000"/>
                <w:sz w:val="24"/>
                <w:szCs w:val="24"/>
              </w:rPr>
              <w:t>以上</w:t>
            </w:r>
          </w:p>
        </w:tc>
        <w:tc>
          <w:tcPr>
            <w:tcW w:w="2477" w:type="pct"/>
            <w:tcBorders>
              <w:top w:val="single" w:sz="6" w:space="0" w:color="0000FF"/>
              <w:left w:val="nil"/>
              <w:bottom w:val="single" w:sz="6" w:space="0" w:color="0000FF"/>
            </w:tcBorders>
            <w:vAlign w:val="center"/>
          </w:tcPr>
          <w:p w:rsidR="006F6048" w:rsidRPr="006F6048" w:rsidRDefault="006F6048" w:rsidP="00141328">
            <w:pPr>
              <w:rPr>
                <w:rFonts w:asciiTheme="minorEastAsia" w:eastAsiaTheme="minorEastAsia" w:hAnsiTheme="minorEastAsia"/>
                <w:color w:val="000000"/>
                <w:sz w:val="24"/>
                <w:szCs w:val="24"/>
              </w:rPr>
            </w:pPr>
            <w:r w:rsidRPr="006F6048">
              <w:rPr>
                <w:rFonts w:asciiTheme="minorEastAsia" w:eastAsiaTheme="minorEastAsia" w:hAnsiTheme="minorEastAsia"/>
                <w:color w:val="000000"/>
                <w:sz w:val="24"/>
                <w:szCs w:val="24"/>
              </w:rPr>
              <w:t>0.00%</w:t>
            </w:r>
          </w:p>
        </w:tc>
      </w:tr>
    </w:tbl>
    <w:p w:rsidR="00752A9C" w:rsidRPr="00000864" w:rsidRDefault="006279F3"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 xml:space="preserve"> 其他与赎回相关的事项</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应以交易时间结束前受理有效赎回申请的当天作为赎回申请日（T日），在正常情况下，本基金登记机构在T+1日内（包括该日）对该交易的有效性进行确认。投资人应在T+2日后（包括该日）及时到销售网点柜台或以销售机构规定的其他方式查询申请的确认情况。</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销售机构对赎回申请的受理并不代表该申请一定成功，而仅代表销售机构确实接收到申请。赎回申请的确认以登记机构的确认结果为准。对于申请及份额的确认情况，投资者应及时查询并妥善行使合法权利，否则如因申请未得到登记机构的确认而产生的后果，由投资人自行承担。</w:t>
      </w:r>
    </w:p>
    <w:p w:rsidR="00752A9C" w:rsidRPr="00000864" w:rsidRDefault="006279F3"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基金管理人可以在法律法规允许的范围内对上述赎回申请的确认时间进行调整，并必须在调整实施日前按照《信息披露办法》的有关规定在规定媒介上公告。</w:t>
      </w:r>
    </w:p>
    <w:p w:rsidR="00752A9C" w:rsidRPr="00000864" w:rsidRDefault="006279F3" w:rsidP="00752A9C">
      <w:pPr>
        <w:pStyle w:val="2"/>
        <w:spacing w:line="560" w:lineRule="exact"/>
        <w:rPr>
          <w:rFonts w:asciiTheme="minorEastAsia" w:eastAsiaTheme="minorEastAsia" w:hAnsiTheme="minorEastAsia"/>
          <w:bCs w:val="0"/>
          <w:color w:val="000000"/>
          <w:sz w:val="24"/>
          <w:szCs w:val="24"/>
        </w:rPr>
      </w:pPr>
      <w:bookmarkStart w:id="4" w:name="_Toc275961399"/>
      <w:r w:rsidRPr="00000864">
        <w:rPr>
          <w:rFonts w:asciiTheme="minorEastAsia" w:eastAsiaTheme="minorEastAsia" w:hAnsiTheme="minorEastAsia" w:hint="eastAsia"/>
          <w:bCs w:val="0"/>
          <w:color w:val="000000"/>
          <w:sz w:val="24"/>
          <w:szCs w:val="24"/>
        </w:rPr>
        <w:t>5</w:t>
      </w:r>
      <w:r w:rsidR="00752A9C" w:rsidRPr="00000864">
        <w:rPr>
          <w:rFonts w:asciiTheme="minorEastAsia" w:eastAsiaTheme="minorEastAsia" w:hAnsiTheme="minorEastAsia"/>
          <w:bCs w:val="0"/>
          <w:color w:val="000000"/>
          <w:sz w:val="24"/>
          <w:szCs w:val="24"/>
        </w:rPr>
        <w:t xml:space="preserve"> 日常转换业务</w:t>
      </w:r>
      <w:bookmarkEnd w:id="4"/>
    </w:p>
    <w:p w:rsidR="00752A9C" w:rsidRPr="00000864" w:rsidRDefault="006279F3"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5</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转换费率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费用由三部分组成：转出基金赎回费、转换费和申购补差费。其中，转出基金赎回费根据各转出基金相应的赎回费率进行计算和收取；转换费根据本基金管理人设定的转换费率进行计算和收取，目前，本基金管理人将转换费率全部设为0；申购补差费为转入基金申购费与转出基金申购费之间的差额，申购费率按申购金额的不同分段收取，申购金额按申请转换时的金额计算，申购补差费按转入基金和转出基金各自对应的申购费率分别计算，由申购费率高的基金向申购费率低的基金进行转换时不收取申购补差费。具体申购费率标准请见各基金的相关法律文件和最新公告。</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基金转换的计算公式：</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转出金额＝转出份额×转出基金当日之基金份额净值</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转出基金赎回费＝转出金额×转出基金赎回费率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转出基金转换费＝转出金额×转出基金转换费率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转入金额＝转出金额－转出基金赎回费－转出基金转换费</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基金转换申购补差费＝转入基金的申购费－转出基金的申购费</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1、转入基金的申购费＝[转入金额－转入金额÷（1＋转入基金的申购费率）]，或，转入基金固定申购费金额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2、转出基金的申购费＝[转入金额－转入金额÷（1＋转出基金的申购费率）] ，或，转出基金固定申购费金额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3、如计算所得基金转换申购补差费用小于0，则基金转换申购补差费用为0</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净转入金额＝转入金额-基金转换申购补差费</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转入份额＝净转入金额÷转入基金当日之基金份额净值</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金额、转出基金赎回费与转换费的计算保留小数点后两位，第三位四舍五入，由此产生的误差在转出基金资产中列支；净转入金额、转入份额的计算保留小数点后两位，第三位四舍五入，由此产生的误差在转入基金资产中列支。</w:t>
      </w:r>
    </w:p>
    <w:p w:rsidR="00752A9C" w:rsidRPr="00000864" w:rsidRDefault="006279F3"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基金管理人可以根据情况在不违背有关法律法规和基金合同规定的前提下，在与代销机构协商后，调整上述收费方式和费率水平，并根据法律法规和中国证监会的规定进行公告。</w:t>
      </w:r>
    </w:p>
    <w:p w:rsidR="00752A9C" w:rsidRPr="00000864" w:rsidRDefault="00D76587"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5</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其他与转换相关的事项</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基金转换业务规则</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基金转换采用“份额转换、未知价”原则，转出、转入均以T日的基金份额净值为基础计算转出金额与转入份额。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转换费用计算采用单笔计算法。投资者在T日多次转换的，单笔计算转换费用，不按照转换的总份额计算其转换费用。</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基金转换费用按照需转出份额对应的转出基金赎回费率、转换费率计算费用，并向转出方收取；按照需转入的金额对应的转出与转入基金的申购费差额费率计算费用，并向转入方收取。</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基金转换只能转换为同一基金账户下的基金份额。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投资者办理基金转换业务时，转出方的基金必须处于可赎回状态，转入方的基金必须处于可申购状态，已冻结份额不得申请基金转换，基金账户冻结期间不受理基金转换申请。</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经转换后的基金份额在赎回时，按转入基金的规定赎回费率计算赎回费用，基金管理人在相关基金公告中另有规定的除外。</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经转换后的基金份额持有时间从转换确认日开始重新计算。</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投资者提交申请的基金转换份额不超过投资者在该销售机构托管的基金份额。如果投资者的基金份额余额高于1份，投资者转换的最低份额为1份基金份额，投资者可将其全部或部分基金份额转换。如果投资者的基金份额低于1份（含1份），投资者转换时必须一次性转换全部基金份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基金转换和赎回在计算巨额赎回时同时计算，转出视同赎回。</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T日的转换申请可以在T日规定的正常交易时间内撤销。登记结算中心在T+1日对投资者的T日转换申请进行确认。投资者于T+2日可查询转换申请确认结果。</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转换业务适用于本基金基金份额与下述本公司已发行和管理的其他开放式基金份额（未开通转换的基金份额除外）之间的相互转换，本公司旗下自建TA基金与中登（“中登”为中国证券登记结算有限公司的简称）TA 基金之间不能相互转换。</w:t>
      </w:r>
    </w:p>
    <w:p w:rsidR="00752A9C" w:rsidRPr="00000864" w:rsidRDefault="00D76587"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本基金办理基金转换业务的具体规定请遵照各代销机构的相关规定执行。</w:t>
      </w:r>
    </w:p>
    <w:p w:rsidR="00752A9C" w:rsidRPr="00000864" w:rsidRDefault="00D76587" w:rsidP="00752A9C">
      <w:pPr>
        <w:pStyle w:val="2"/>
        <w:spacing w:line="560" w:lineRule="exact"/>
        <w:rPr>
          <w:rFonts w:asciiTheme="minorEastAsia" w:eastAsiaTheme="minorEastAsia" w:hAnsiTheme="minorEastAsia"/>
          <w:bCs w:val="0"/>
          <w:color w:val="000000"/>
          <w:sz w:val="24"/>
          <w:szCs w:val="24"/>
        </w:rPr>
      </w:pPr>
      <w:bookmarkStart w:id="5" w:name="_Toc275961400"/>
      <w:r w:rsidRPr="00000864">
        <w:rPr>
          <w:rFonts w:asciiTheme="minorEastAsia" w:eastAsiaTheme="minorEastAsia" w:hAnsiTheme="minorEastAsia" w:hint="eastAsia"/>
          <w:bCs w:val="0"/>
          <w:color w:val="000000"/>
          <w:sz w:val="24"/>
          <w:szCs w:val="24"/>
        </w:rPr>
        <w:t>6</w:t>
      </w:r>
      <w:r w:rsidR="00752A9C" w:rsidRPr="00000864">
        <w:rPr>
          <w:rFonts w:asciiTheme="minorEastAsia" w:eastAsiaTheme="minorEastAsia" w:hAnsiTheme="minorEastAsia"/>
          <w:bCs w:val="0"/>
          <w:color w:val="000000"/>
          <w:sz w:val="24"/>
          <w:szCs w:val="24"/>
        </w:rPr>
        <w:t xml:space="preserve"> 定期定额投资业务</w:t>
      </w:r>
      <w:bookmarkEnd w:id="5"/>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定期定额申购业务是指投资者通过指定销售机构提出固定日期和固定金额的扣款和申购申请，由指定销售机构在约定扣款日为投资者自动完成扣款及基金申购申请的一种交易方式。</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（一）适用基金范围</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2023年6月26日起，投资者可通过各销售机构办理本基金的定期定额投资业务。</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（二）适用投资者范围</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中华人民共和国境内的个人投资者（法律法规禁止购买证券投资基金者除外）。</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（三）申请方式</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1、凡申请办理本基金定期定额投资业务的投资者须首先开立本公司开放式基金账户（适用于自建TA基金，已开户者除外），具体办理程序请遵循各销售机构的规定。</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2、已开立本公司开放式基金账户到各销售机构申请增开交易账号（已开户者除外），并申请办理定期定额投资业务，具体办理程序请遵循各销售机构的规定。</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（四）扣款方式和扣款日期</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投资者须遵循各销售机构的基金定期定额投资业务规则，指定本人的人民币结算账户作为扣款账户，根据与各销售机构的约定进行扣款。若遇非基金申购开放日则顺延至下一基金申购开放日。</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（五）投资金额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本基金的定期定额投资起点金额为1元，投资者亦可根据各销售机构的规定约定每期申购金额。</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（六）申购费率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详见本基金的招募说明书、基金产品资料概要等信息披露文件。</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（七）交易确认</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每月实际扣款日即为基金申购申请日，并以该日（T日）的基金份额资产净值为基准计算申购份额，在正常情况下，本基金登记机构在T+1日内（包括该日）对该交易的有效性进行确认。T日提交的有效申请，投资人应在T+2日后（包括该日）及时到销售网点柜台或以销售机构规定的其他方式查询申请的确认情况。</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（八）变更及终止</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（1）投资者变更每期扣款金额、扣款日期、扣款账户等，须携带本人有效身份证件及相关凭证到原销售机构申请办理业务变更，具体办理程序遵循该销售机构的规定；</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（2）投资者终止“定期定额投资业务”，须携带本人有效身份证件及相关凭证到原销售机构申请办理业务终止，具体办理程序遵循该销售机构的有关规定；</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（3）“定期定额投资业务”变更和终止的生效日遵循各销售机构的具体规定。</w:t>
      </w:r>
    </w:p>
    <w:p w:rsidR="00D76587" w:rsidRPr="00000864" w:rsidRDefault="00D76587" w:rsidP="00F677BD">
      <w:pPr>
        <w:spacing w:line="360" w:lineRule="auto"/>
        <w:ind w:firstLineChars="200" w:firstLine="480"/>
        <w:rPr>
          <w:rFonts w:asciiTheme="minorEastAsia" w:eastAsiaTheme="minorEastAsia" w:hAnsiTheme="minorEastAsia"/>
          <w:color w:val="000000"/>
          <w:sz w:val="24"/>
          <w:szCs w:val="24"/>
        </w:rPr>
      </w:pPr>
      <w:bookmarkStart w:id="6" w:name="_Toc275961401"/>
      <w:r w:rsidRPr="00000864">
        <w:rPr>
          <w:rFonts w:asciiTheme="minorEastAsia" w:eastAsiaTheme="minorEastAsia" w:hAnsiTheme="minorEastAsia" w:hint="eastAsia"/>
          <w:color w:val="000000"/>
          <w:sz w:val="24"/>
          <w:szCs w:val="24"/>
        </w:rPr>
        <w:t>（九）办理机构：本公司直销中心和各代销机构，具体请参见“基金销售机构”。</w:t>
      </w:r>
    </w:p>
    <w:p w:rsidR="00752A9C" w:rsidRPr="00000864" w:rsidRDefault="00D76587" w:rsidP="00752A9C">
      <w:pPr>
        <w:pStyle w:val="2"/>
        <w:spacing w:line="560" w:lineRule="exact"/>
        <w:rPr>
          <w:rFonts w:asciiTheme="minorEastAsia" w:eastAsiaTheme="minorEastAsia" w:hAnsiTheme="minorEastAsia"/>
          <w:bCs w:val="0"/>
          <w:color w:val="000000"/>
          <w:sz w:val="24"/>
          <w:szCs w:val="24"/>
        </w:rPr>
      </w:pPr>
      <w:r w:rsidRPr="00000864">
        <w:rPr>
          <w:rFonts w:asciiTheme="minorEastAsia" w:eastAsiaTheme="minorEastAsia" w:hAnsiTheme="minorEastAsia" w:hint="eastAsia"/>
          <w:bCs w:val="0"/>
          <w:color w:val="000000"/>
          <w:sz w:val="24"/>
          <w:szCs w:val="24"/>
        </w:rPr>
        <w:t>7</w:t>
      </w:r>
      <w:r w:rsidR="00752A9C" w:rsidRPr="00000864">
        <w:rPr>
          <w:rFonts w:asciiTheme="minorEastAsia" w:eastAsiaTheme="minorEastAsia" w:hAnsiTheme="minorEastAsia"/>
          <w:bCs w:val="0"/>
          <w:color w:val="000000"/>
          <w:sz w:val="24"/>
          <w:szCs w:val="24"/>
        </w:rPr>
        <w:t xml:space="preserve"> 基金销售机构</w:t>
      </w:r>
      <w:bookmarkEnd w:id="6"/>
    </w:p>
    <w:p w:rsidR="00752A9C" w:rsidRPr="00000864" w:rsidRDefault="00D76587"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7</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场外销售机构</w:t>
      </w:r>
    </w:p>
    <w:p w:rsidR="00752A9C" w:rsidRPr="00000864" w:rsidRDefault="005E7139"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7</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直销机构</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申万菱信基金管理有限公司直销中心</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住所：上海市中山南路100号10层</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办公地址：上海市中山南路100号10层</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法定代表人：陈晓升</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电话：86-21-23261188</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传真：86-21-23261199</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联系人：张芸茜</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客户服务电话：400 880 8588（免长途话费）或86-21-962299</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网址：www.swsmu.com </w:t>
      </w:r>
    </w:p>
    <w:p w:rsidR="00752A9C" w:rsidRPr="00000864" w:rsidRDefault="005E713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电子邮件：service@swsmu.com</w:t>
      </w:r>
    </w:p>
    <w:p w:rsidR="00752A9C" w:rsidRPr="00000864" w:rsidRDefault="005E7139"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7</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场外非直销机构</w:t>
      </w:r>
    </w:p>
    <w:tbl>
      <w:tblPr>
        <w:tblW w:w="7480" w:type="dxa"/>
        <w:tblInd w:w="108" w:type="dxa"/>
        <w:tblLook w:val="04A0"/>
      </w:tblPr>
      <w:tblGrid>
        <w:gridCol w:w="1810"/>
        <w:gridCol w:w="2790"/>
        <w:gridCol w:w="2880"/>
      </w:tblGrid>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b/>
                <w:bCs/>
                <w:color w:val="000000"/>
                <w:kern w:val="0"/>
                <w:sz w:val="22"/>
                <w:szCs w:val="22"/>
              </w:rPr>
            </w:pPr>
            <w:r w:rsidRPr="006F6048">
              <w:rPr>
                <w:rFonts w:ascii="宋体" w:eastAsia="宋体" w:hAnsi="宋体" w:cs="宋体" w:hint="eastAsia"/>
                <w:b/>
                <w:bCs/>
                <w:color w:val="000000"/>
                <w:kern w:val="0"/>
                <w:sz w:val="22"/>
                <w:szCs w:val="22"/>
              </w:rPr>
              <w:t>名称</w:t>
            </w:r>
          </w:p>
        </w:tc>
        <w:tc>
          <w:tcPr>
            <w:tcW w:w="2790"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F6048" w:rsidRPr="006F6048" w:rsidRDefault="006F6048" w:rsidP="006F6048">
            <w:pPr>
              <w:widowControl/>
              <w:jc w:val="center"/>
              <w:rPr>
                <w:rFonts w:ascii="宋体" w:eastAsia="宋体" w:hAnsi="宋体" w:cs="宋体"/>
                <w:b/>
                <w:bCs/>
                <w:color w:val="000000"/>
                <w:kern w:val="0"/>
                <w:sz w:val="22"/>
                <w:szCs w:val="22"/>
              </w:rPr>
            </w:pPr>
            <w:r w:rsidRPr="006F6048">
              <w:rPr>
                <w:rFonts w:ascii="宋体" w:eastAsia="宋体" w:hAnsi="宋体" w:cs="宋体" w:hint="eastAsia"/>
                <w:b/>
                <w:bCs/>
                <w:color w:val="000000"/>
                <w:kern w:val="0"/>
                <w:sz w:val="22"/>
                <w:szCs w:val="22"/>
              </w:rPr>
              <w:t>客服电话</w:t>
            </w: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6F6048" w:rsidRPr="006F6048" w:rsidRDefault="006F6048" w:rsidP="006F6048">
            <w:pPr>
              <w:widowControl/>
              <w:jc w:val="center"/>
              <w:rPr>
                <w:rFonts w:ascii="宋体" w:eastAsia="宋体" w:hAnsi="宋体" w:cs="宋体"/>
                <w:b/>
                <w:bCs/>
                <w:color w:val="000000"/>
                <w:kern w:val="0"/>
                <w:sz w:val="22"/>
                <w:szCs w:val="22"/>
              </w:rPr>
            </w:pPr>
            <w:r w:rsidRPr="006F6048">
              <w:rPr>
                <w:rFonts w:ascii="宋体" w:eastAsia="宋体" w:hAnsi="宋体" w:cs="宋体" w:hint="eastAsia"/>
                <w:b/>
                <w:bCs/>
                <w:color w:val="000000"/>
                <w:kern w:val="0"/>
                <w:sz w:val="22"/>
                <w:szCs w:val="22"/>
              </w:rPr>
              <w:t>官方网站</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招商银行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95555</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www.cmbchina.com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鼎信汇金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400-158-5050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www.tl50.com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深圳新兰德</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400-166-1188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www.itougu.com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和讯信息</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400-920-0022</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www.licaike.com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江苏汇林保大</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025-66046166转849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www.huilinbd.com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上海挖财</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021-50810673</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www.wacaijijin.com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腾安基金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4000-890-555</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www.txfund.com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民商基金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021-50206003</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www.msftec.com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北京度小满</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95055转4</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www.duxiaomanfund.com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诺亚正行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400-821-5399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www.noah-fund.com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深圳众禄</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400-678-8887</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www.zlfund.cn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上海天天</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95021或400-181-8188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www.1234567.com.cn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上海好买</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400-840-1788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zt.howbuy.com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蚂蚁基金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95188转8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www.fund123.cn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上海长量</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400-820-2899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www.erichfund.com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浙江同花顺</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952555</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www.5ifund.com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北京展恒</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400-818-8000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www.myfund.com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上海利得</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400-032-5885</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www.leadfund.com.cn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嘉实财富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400-021-8850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www.harvestwm.cn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北京创金启富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010-66154828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www.5irich.com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泛华普益</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400-080-3388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www.puyifund.com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宜信普泽</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400-609-9200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www.yixinfund.com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南京苏宁</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95177</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www.snjijin.com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浦领基金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400-012-5899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www.zscffund.com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通华财富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400-101-9301</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www.tonghuafund.com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北京中植</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400-818-0888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www.zzfund.com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北京汇成</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400-619-9059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www.hcfunds.com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一路财富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400-001-1566</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www.yilucaifu.com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北京钱景</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400-893-6885</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www.qianjing.com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海银基金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400-808-1016</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 xml:space="preserve">www.fundhaiyin.com </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上海大智慧</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021-20292031</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www.wg.com.cn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北京新浪仓石</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010-62675369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www.xincai.com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济安财富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400-673-7010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www.jianfortune.com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上海万得</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400-799-1888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www.520fund.com.cn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上海联泰</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400-118-1188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www.66liantai.com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上海汇付</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021-34013999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www.hotjijin.com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泰信财富</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400-004-8821</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www.taixincf.com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上海基煜</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400-820-5369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www.jiyufund.com.cn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上海中正达广</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400-6767-523</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www.zhongzhengmoney.com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北京虹点</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400-618-0707</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www.hongdianfund.com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上海攀赢</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8621-68889082</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www.pytz.cn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珠海盈米</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020-89629066</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www.yingmi.cn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和耕传承</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4000-555-671</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www.hgccpb.com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奕丰基金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400-684-0500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www.ifastps.com.cn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京东肯特瑞</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400-098-8511</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kenterui.jd.com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大连网金</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400-089-9100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www.yibaijin.com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北京雪球</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400-159-9288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www.danjuanfunds.com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中信期货</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400-990-8826</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www.citicsf.com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国泰君安证券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95521或400-888-8666</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www.gtja.com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国信证券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95536</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www.guosen.com.cn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中信证券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95548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www.cs.ecitic.com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银河证券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95551或400-888-8888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www.chinastock.com.cn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海通证券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95553或400-888-8001</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www.htsec.com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申万宏源证券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95523或400-889-5523</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www.swhysc.com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长江证券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95579或400-888-8999</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www.95579.com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安信证券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95517</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www.essence.com.cn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华泰证券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95597</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www.htsc.com.cn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中信证券（山东）</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95548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www.cs.ecitic.com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中信证券（华南）</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95548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 xml:space="preserve">www.gzs.com.cn </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大同证券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400-712-1212</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www.dtsbc.com.cn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东海证券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95531或400-888-8588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 xml:space="preserve">www.longone.com.cn </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申万宏源西部证券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95523或400-889-5523</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www.swhysc.com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西部证券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95582</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www.west95582.com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华鑫证券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95323或400-109-9918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www.cfsc.com.cn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东方财富证券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95357</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www.xzsec.com</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国新证券</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95390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www.crsec.com.cn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上海玄元</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400-080-8208</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licaimofang.cn</w:t>
            </w:r>
          </w:p>
        </w:tc>
      </w:tr>
      <w:tr w:rsidR="006F6048" w:rsidRPr="006F6048" w:rsidTr="006F6048">
        <w:trPr>
          <w:trHeight w:val="280"/>
        </w:trPr>
        <w:tc>
          <w:tcPr>
            <w:tcW w:w="1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等线" w:eastAsia="等线" w:hAnsi="等线" w:cs="宋体"/>
                <w:color w:val="000000"/>
                <w:kern w:val="0"/>
                <w:sz w:val="22"/>
                <w:szCs w:val="22"/>
              </w:rPr>
            </w:pPr>
            <w:r w:rsidRPr="006F6048">
              <w:rPr>
                <w:rFonts w:ascii="等线" w:eastAsia="等线" w:hAnsi="等线" w:cs="宋体" w:hint="eastAsia"/>
                <w:color w:val="000000"/>
                <w:kern w:val="0"/>
                <w:sz w:val="22"/>
                <w:szCs w:val="22"/>
              </w:rPr>
              <w:t>阳光人寿保险</w:t>
            </w:r>
          </w:p>
        </w:tc>
        <w:tc>
          <w:tcPr>
            <w:tcW w:w="2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95510</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F6048" w:rsidRPr="006F6048" w:rsidRDefault="006F6048" w:rsidP="006F6048">
            <w:pPr>
              <w:widowControl/>
              <w:jc w:val="center"/>
              <w:rPr>
                <w:rFonts w:ascii="宋体" w:eastAsia="宋体" w:hAnsi="宋体" w:cs="宋体"/>
                <w:color w:val="000000"/>
                <w:kern w:val="0"/>
                <w:sz w:val="22"/>
                <w:szCs w:val="22"/>
              </w:rPr>
            </w:pPr>
            <w:r w:rsidRPr="006F6048">
              <w:rPr>
                <w:rFonts w:ascii="宋体" w:eastAsia="宋体" w:hAnsi="宋体" w:cs="宋体" w:hint="eastAsia"/>
                <w:color w:val="000000"/>
                <w:kern w:val="0"/>
                <w:sz w:val="22"/>
                <w:szCs w:val="22"/>
              </w:rPr>
              <w:t>www.sinosig.com</w:t>
            </w:r>
          </w:p>
        </w:tc>
      </w:tr>
    </w:tbl>
    <w:p w:rsidR="006F6048" w:rsidRPr="006F6048" w:rsidRDefault="006F6048" w:rsidP="00F677BD">
      <w:pPr>
        <w:spacing w:line="360" w:lineRule="auto"/>
        <w:ind w:firstLineChars="200" w:firstLine="480"/>
        <w:rPr>
          <w:rFonts w:asciiTheme="minorEastAsia" w:eastAsiaTheme="minorEastAsia" w:hAnsiTheme="minorEastAsia"/>
          <w:color w:val="000000"/>
          <w:sz w:val="24"/>
          <w:szCs w:val="24"/>
        </w:rPr>
      </w:pPr>
      <w:bookmarkStart w:id="7" w:name="_GoBack"/>
      <w:bookmarkEnd w:id="7"/>
    </w:p>
    <w:p w:rsidR="00752A9C" w:rsidRPr="00000864" w:rsidRDefault="005E713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基金管理人可根据有关法律法规要求，根据实情，选择其他符合要求的机构销售本基金或变更上述销售机构，并在基金管理人网站公示。具体请以各销售机构实际情况为准。</w:t>
      </w:r>
    </w:p>
    <w:p w:rsidR="00752A9C" w:rsidRPr="00000864" w:rsidRDefault="005E7139"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7</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场内销售机构</w:t>
      </w:r>
    </w:p>
    <w:p w:rsidR="00752A9C" w:rsidRPr="00000864" w:rsidRDefault="005E7139" w:rsidP="00752A9C">
      <w:pPr>
        <w:pStyle w:val="2"/>
        <w:spacing w:line="560" w:lineRule="exact"/>
        <w:rPr>
          <w:rStyle w:val="a3"/>
          <w:rFonts w:asciiTheme="minorEastAsia" w:eastAsiaTheme="minorEastAsia" w:hAnsiTheme="minorEastAsia"/>
          <w:color w:val="000000"/>
          <w:sz w:val="24"/>
          <w:szCs w:val="24"/>
        </w:rPr>
      </w:pPr>
      <w:bookmarkStart w:id="8" w:name="_Toc275961402"/>
      <w:r w:rsidRPr="00000864">
        <w:rPr>
          <w:rFonts w:asciiTheme="minorEastAsia" w:eastAsiaTheme="minorEastAsia" w:hAnsiTheme="minorEastAsia" w:hint="eastAsia"/>
          <w:bCs w:val="0"/>
          <w:color w:val="000000"/>
          <w:sz w:val="24"/>
          <w:szCs w:val="24"/>
        </w:rPr>
        <w:t>8</w:t>
      </w:r>
      <w:r w:rsidR="00752A9C" w:rsidRPr="00000864">
        <w:rPr>
          <w:rFonts w:asciiTheme="minorEastAsia" w:eastAsiaTheme="minorEastAsia" w:hAnsiTheme="minorEastAsia"/>
          <w:bCs w:val="0"/>
          <w:color w:val="000000"/>
          <w:sz w:val="24"/>
          <w:szCs w:val="24"/>
        </w:rPr>
        <w:t xml:space="preserve"> 基金份额净值公告/基金收益公告的披露安排</w:t>
      </w:r>
      <w:bookmarkEnd w:id="8"/>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基金合同生效后，在开始办理基金份额申购或者赎回前，基金管理人应当至少每周在规定网站披露一次各类基金份额净值和各类基金份额累计净值。</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在开始办理基金份额申购或者赎回后，基金管理人应当在不晚于每个开放日的次日，通过规定网站、基金销售机构网站或者营业网点，披露开放日的各类基金份额净值和各类基金份额累计净值。</w:t>
      </w:r>
    </w:p>
    <w:p w:rsidR="00752A9C" w:rsidRPr="00000864" w:rsidRDefault="005E713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基金管理人应当在不晚于半年度和年度最后一日的次日，在规定网站披露半年度和年度最后一日的各类基金份额净值和各类基金份额累计净值。</w:t>
      </w:r>
    </w:p>
    <w:p w:rsidR="00752A9C" w:rsidRPr="00000864" w:rsidRDefault="005E7139" w:rsidP="00752A9C">
      <w:pPr>
        <w:pStyle w:val="2"/>
        <w:spacing w:line="560" w:lineRule="exact"/>
        <w:rPr>
          <w:rFonts w:asciiTheme="minorEastAsia" w:eastAsiaTheme="minorEastAsia" w:hAnsiTheme="minorEastAsia"/>
          <w:bCs w:val="0"/>
          <w:color w:val="000000"/>
          <w:sz w:val="24"/>
          <w:szCs w:val="24"/>
        </w:rPr>
      </w:pPr>
      <w:bookmarkStart w:id="9" w:name="_Toc275961403"/>
      <w:r w:rsidRPr="00000864">
        <w:rPr>
          <w:rFonts w:asciiTheme="minorEastAsia" w:eastAsiaTheme="minorEastAsia" w:hAnsiTheme="minorEastAsia" w:hint="eastAsia"/>
          <w:bCs w:val="0"/>
          <w:color w:val="000000"/>
          <w:sz w:val="24"/>
          <w:szCs w:val="24"/>
        </w:rPr>
        <w:t>9</w:t>
      </w:r>
      <w:r w:rsidR="00752A9C" w:rsidRPr="00000864">
        <w:rPr>
          <w:rFonts w:asciiTheme="minorEastAsia" w:eastAsiaTheme="minorEastAsia" w:hAnsiTheme="minorEastAsia"/>
          <w:bCs w:val="0"/>
          <w:color w:val="000000"/>
          <w:sz w:val="24"/>
          <w:szCs w:val="24"/>
        </w:rPr>
        <w:t xml:space="preserve"> 其他需要提示的事项</w:t>
      </w:r>
      <w:bookmarkEnd w:id="9"/>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公告仅对本基金开放日常申购、赎回、转换和定投等有关事项予以说明。投资者欲了解本基金的详细情况，请认真阅读刊登在本公司网站（www.swsmu.com）、基金电子披露网站（http://eid.csrc.gov.cn/fund）的本基金的基金合同、招募说明书等法律文件。</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投资者可通过以下途径咨询：</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申万菱信基金管理有限公司</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客服电话：400-880-8588（免长途话费）或021-962299</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公司网址：www.swsmu.com</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本基金办理申购、赎回、转换、定投业务等相关事项的具体规定请以各销售机构办理基金上述业务的有关规定为准。</w:t>
      </w:r>
    </w:p>
    <w:p w:rsidR="001D1928" w:rsidRDefault="006F60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公司承诺以诚实信用、勤勉尽责的原则管理和运用基金资产，但不保证基金一定盈利，也不保证最低收益。本公司提醒投资者基金投资的“买者自负”原则，在做出投资决策后，基金运营状况与基金净值变化引致的投资风险，由投资者自行负担。投资有风险，投资者投资于本基金前请认真阅读本基金的基金合同和招募说明书等法律文件，全面认识本基金的风险收益特征和产品特性，并充分考虑自身的风险承受能力，理性判断市场，谨慎做出投资决策。敬请投资者注意投资风险。</w:t>
      </w:r>
    </w:p>
    <w:p w:rsidR="00752A9C" w:rsidRPr="00000864" w:rsidRDefault="005E713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特此公告。</w:t>
      </w:r>
    </w:p>
    <w:p w:rsidR="00364C2A" w:rsidRPr="00000864" w:rsidRDefault="00901262">
      <w:pPr>
        <w:rPr>
          <w:rFonts w:asciiTheme="minorEastAsia" w:eastAsiaTheme="minorEastAsia" w:hAnsiTheme="minorEastAsia"/>
          <w:sz w:val="24"/>
          <w:szCs w:val="24"/>
        </w:rPr>
      </w:pPr>
    </w:p>
    <w:sectPr w:rsidR="00364C2A" w:rsidRPr="00000864"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43" w:rsidRDefault="00554C43" w:rsidP="00752A9C">
      <w:r>
        <w:separator/>
      </w:r>
    </w:p>
  </w:endnote>
  <w:endnote w:type="continuationSeparator" w:id="0">
    <w:p w:rsidR="00554C43" w:rsidRDefault="00554C43" w:rsidP="00752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43" w:rsidRDefault="00554C43" w:rsidP="00752A9C">
      <w:r>
        <w:separator/>
      </w:r>
    </w:p>
  </w:footnote>
  <w:footnote w:type="continuationSeparator" w:id="0">
    <w:p w:rsidR="00554C43" w:rsidRDefault="00554C43" w:rsidP="00752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41353"/>
    <w:rsid w:val="00076CAE"/>
    <w:rsid w:val="00090186"/>
    <w:rsid w:val="000B693A"/>
    <w:rsid w:val="000F7476"/>
    <w:rsid w:val="001A4FEC"/>
    <w:rsid w:val="001D1928"/>
    <w:rsid w:val="00245867"/>
    <w:rsid w:val="00252259"/>
    <w:rsid w:val="00267A58"/>
    <w:rsid w:val="002A18A8"/>
    <w:rsid w:val="002B6AB6"/>
    <w:rsid w:val="002D4E4E"/>
    <w:rsid w:val="00324BE4"/>
    <w:rsid w:val="003902C4"/>
    <w:rsid w:val="003C037B"/>
    <w:rsid w:val="003C5EB7"/>
    <w:rsid w:val="00415A69"/>
    <w:rsid w:val="004966BA"/>
    <w:rsid w:val="00517CE9"/>
    <w:rsid w:val="0054597D"/>
    <w:rsid w:val="00554C43"/>
    <w:rsid w:val="005B4979"/>
    <w:rsid w:val="005B6B0B"/>
    <w:rsid w:val="005E7139"/>
    <w:rsid w:val="006279F3"/>
    <w:rsid w:val="00632FAA"/>
    <w:rsid w:val="00671004"/>
    <w:rsid w:val="00684220"/>
    <w:rsid w:val="006B6F63"/>
    <w:rsid w:val="006F6048"/>
    <w:rsid w:val="00730DEB"/>
    <w:rsid w:val="0074415C"/>
    <w:rsid w:val="00752A9C"/>
    <w:rsid w:val="007A7F97"/>
    <w:rsid w:val="007D0009"/>
    <w:rsid w:val="0082483B"/>
    <w:rsid w:val="00895CA3"/>
    <w:rsid w:val="008963AD"/>
    <w:rsid w:val="008A4ABD"/>
    <w:rsid w:val="008B6F7B"/>
    <w:rsid w:val="008E273C"/>
    <w:rsid w:val="00901262"/>
    <w:rsid w:val="00956B0F"/>
    <w:rsid w:val="00984EC8"/>
    <w:rsid w:val="009D7194"/>
    <w:rsid w:val="00A62667"/>
    <w:rsid w:val="00AC6E8D"/>
    <w:rsid w:val="00AD315E"/>
    <w:rsid w:val="00B61981"/>
    <w:rsid w:val="00B75AF6"/>
    <w:rsid w:val="00D33A12"/>
    <w:rsid w:val="00D76587"/>
    <w:rsid w:val="00DA79B5"/>
    <w:rsid w:val="00E038BD"/>
    <w:rsid w:val="00EB0C3F"/>
    <w:rsid w:val="00EE4694"/>
    <w:rsid w:val="00F677BD"/>
    <w:rsid w:val="00FC33AF"/>
    <w:rsid w:val="00FD27A3"/>
    <w:rsid w:val="00FE28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9C"/>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752A9C"/>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52A9C"/>
    <w:rPr>
      <w:rFonts w:ascii="Arial" w:eastAsia="黑体" w:hAnsi="Arial" w:cs="Times New Roman"/>
      <w:b/>
      <w:bCs/>
      <w:sz w:val="32"/>
      <w:szCs w:val="32"/>
    </w:rPr>
  </w:style>
  <w:style w:type="character" w:styleId="a3">
    <w:name w:val="footnote reference"/>
    <w:basedOn w:val="a0"/>
    <w:rsid w:val="00752A9C"/>
    <w:rPr>
      <w:vertAlign w:val="superscript"/>
    </w:rPr>
  </w:style>
  <w:style w:type="paragraph" w:styleId="a4">
    <w:name w:val="footnote text"/>
    <w:basedOn w:val="a"/>
    <w:link w:val="Char"/>
    <w:rsid w:val="00752A9C"/>
    <w:pPr>
      <w:snapToGrid w:val="0"/>
      <w:jc w:val="left"/>
    </w:pPr>
    <w:rPr>
      <w:rFonts w:eastAsia="宋体"/>
      <w:sz w:val="18"/>
    </w:rPr>
  </w:style>
  <w:style w:type="character" w:customStyle="1" w:styleId="Char">
    <w:name w:val="脚注文本 Char"/>
    <w:basedOn w:val="a0"/>
    <w:link w:val="a4"/>
    <w:rsid w:val="00752A9C"/>
    <w:rPr>
      <w:rFonts w:ascii="Times New Roman" w:eastAsia="宋体" w:hAnsi="Times New Roman" w:cs="Times New Roman"/>
      <w:sz w:val="18"/>
      <w:szCs w:val="20"/>
    </w:rPr>
  </w:style>
  <w:style w:type="paragraph" w:styleId="a5">
    <w:name w:val="Balloon Text"/>
    <w:basedOn w:val="a"/>
    <w:link w:val="Char0"/>
    <w:uiPriority w:val="99"/>
    <w:semiHidden/>
    <w:unhideWhenUsed/>
    <w:rsid w:val="0054597D"/>
    <w:rPr>
      <w:sz w:val="18"/>
      <w:szCs w:val="18"/>
    </w:rPr>
  </w:style>
  <w:style w:type="character" w:customStyle="1" w:styleId="Char0">
    <w:name w:val="批注框文本 Char"/>
    <w:basedOn w:val="a0"/>
    <w:link w:val="a5"/>
    <w:uiPriority w:val="99"/>
    <w:semiHidden/>
    <w:rsid w:val="0054597D"/>
    <w:rPr>
      <w:rFonts w:ascii="Times New Roman" w:eastAsia="方正仿宋简体" w:hAnsi="Times New Roman" w:cs="Times New Roman"/>
      <w:sz w:val="18"/>
      <w:szCs w:val="18"/>
    </w:rPr>
  </w:style>
  <w:style w:type="paragraph" w:styleId="a6">
    <w:name w:val="header"/>
    <w:basedOn w:val="a"/>
    <w:link w:val="Char1"/>
    <w:uiPriority w:val="99"/>
    <w:unhideWhenUsed/>
    <w:rsid w:val="00DA79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A79B5"/>
    <w:rPr>
      <w:rFonts w:ascii="Times New Roman" w:eastAsia="方正仿宋简体" w:hAnsi="Times New Roman" w:cs="Times New Roman"/>
      <w:sz w:val="18"/>
      <w:szCs w:val="18"/>
    </w:rPr>
  </w:style>
  <w:style w:type="paragraph" w:styleId="a7">
    <w:name w:val="footer"/>
    <w:basedOn w:val="a"/>
    <w:link w:val="Char2"/>
    <w:uiPriority w:val="99"/>
    <w:unhideWhenUsed/>
    <w:rsid w:val="00DA79B5"/>
    <w:pPr>
      <w:tabs>
        <w:tab w:val="center" w:pos="4153"/>
        <w:tab w:val="right" w:pos="8306"/>
      </w:tabs>
      <w:snapToGrid w:val="0"/>
      <w:jc w:val="left"/>
    </w:pPr>
    <w:rPr>
      <w:sz w:val="18"/>
      <w:szCs w:val="18"/>
    </w:rPr>
  </w:style>
  <w:style w:type="character" w:customStyle="1" w:styleId="Char2">
    <w:name w:val="页脚 Char"/>
    <w:basedOn w:val="a0"/>
    <w:link w:val="a7"/>
    <w:uiPriority w:val="99"/>
    <w:rsid w:val="00DA79B5"/>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4186258">
      <w:bodyDiv w:val="1"/>
      <w:marLeft w:val="0"/>
      <w:marRight w:val="0"/>
      <w:marTop w:val="0"/>
      <w:marBottom w:val="0"/>
      <w:divBdr>
        <w:top w:val="none" w:sz="0" w:space="0" w:color="auto"/>
        <w:left w:val="none" w:sz="0" w:space="0" w:color="auto"/>
        <w:bottom w:val="none" w:sz="0" w:space="0" w:color="auto"/>
        <w:right w:val="none" w:sz="0" w:space="0" w:color="auto"/>
      </w:divBdr>
    </w:div>
    <w:div w:id="74480454">
      <w:bodyDiv w:val="1"/>
      <w:marLeft w:val="0"/>
      <w:marRight w:val="0"/>
      <w:marTop w:val="0"/>
      <w:marBottom w:val="0"/>
      <w:divBdr>
        <w:top w:val="none" w:sz="0" w:space="0" w:color="auto"/>
        <w:left w:val="none" w:sz="0" w:space="0" w:color="auto"/>
        <w:bottom w:val="none" w:sz="0" w:space="0" w:color="auto"/>
        <w:right w:val="none" w:sz="0" w:space="0" w:color="auto"/>
      </w:divBdr>
    </w:div>
    <w:div w:id="287396799">
      <w:bodyDiv w:val="1"/>
      <w:marLeft w:val="0"/>
      <w:marRight w:val="0"/>
      <w:marTop w:val="0"/>
      <w:marBottom w:val="0"/>
      <w:divBdr>
        <w:top w:val="none" w:sz="0" w:space="0" w:color="auto"/>
        <w:left w:val="none" w:sz="0" w:space="0" w:color="auto"/>
        <w:bottom w:val="none" w:sz="0" w:space="0" w:color="auto"/>
        <w:right w:val="none" w:sz="0" w:space="0" w:color="auto"/>
      </w:divBdr>
    </w:div>
    <w:div w:id="332032040">
      <w:bodyDiv w:val="1"/>
      <w:marLeft w:val="0"/>
      <w:marRight w:val="0"/>
      <w:marTop w:val="0"/>
      <w:marBottom w:val="0"/>
      <w:divBdr>
        <w:top w:val="none" w:sz="0" w:space="0" w:color="auto"/>
        <w:left w:val="none" w:sz="0" w:space="0" w:color="auto"/>
        <w:bottom w:val="none" w:sz="0" w:space="0" w:color="auto"/>
        <w:right w:val="none" w:sz="0" w:space="0" w:color="auto"/>
      </w:divBdr>
    </w:div>
    <w:div w:id="474687637">
      <w:bodyDiv w:val="1"/>
      <w:marLeft w:val="0"/>
      <w:marRight w:val="0"/>
      <w:marTop w:val="0"/>
      <w:marBottom w:val="0"/>
      <w:divBdr>
        <w:top w:val="none" w:sz="0" w:space="0" w:color="auto"/>
        <w:left w:val="none" w:sz="0" w:space="0" w:color="auto"/>
        <w:bottom w:val="none" w:sz="0" w:space="0" w:color="auto"/>
        <w:right w:val="none" w:sz="0" w:space="0" w:color="auto"/>
      </w:divBdr>
    </w:div>
    <w:div w:id="565184326">
      <w:bodyDiv w:val="1"/>
      <w:marLeft w:val="0"/>
      <w:marRight w:val="0"/>
      <w:marTop w:val="0"/>
      <w:marBottom w:val="0"/>
      <w:divBdr>
        <w:top w:val="none" w:sz="0" w:space="0" w:color="auto"/>
        <w:left w:val="none" w:sz="0" w:space="0" w:color="auto"/>
        <w:bottom w:val="none" w:sz="0" w:space="0" w:color="auto"/>
        <w:right w:val="none" w:sz="0" w:space="0" w:color="auto"/>
      </w:divBdr>
    </w:div>
    <w:div w:id="602953666">
      <w:bodyDiv w:val="1"/>
      <w:marLeft w:val="0"/>
      <w:marRight w:val="0"/>
      <w:marTop w:val="0"/>
      <w:marBottom w:val="0"/>
      <w:divBdr>
        <w:top w:val="none" w:sz="0" w:space="0" w:color="auto"/>
        <w:left w:val="none" w:sz="0" w:space="0" w:color="auto"/>
        <w:bottom w:val="none" w:sz="0" w:space="0" w:color="auto"/>
        <w:right w:val="none" w:sz="0" w:space="0" w:color="auto"/>
      </w:divBdr>
    </w:div>
    <w:div w:id="634457320">
      <w:bodyDiv w:val="1"/>
      <w:marLeft w:val="0"/>
      <w:marRight w:val="0"/>
      <w:marTop w:val="0"/>
      <w:marBottom w:val="0"/>
      <w:divBdr>
        <w:top w:val="none" w:sz="0" w:space="0" w:color="auto"/>
        <w:left w:val="none" w:sz="0" w:space="0" w:color="auto"/>
        <w:bottom w:val="none" w:sz="0" w:space="0" w:color="auto"/>
        <w:right w:val="none" w:sz="0" w:space="0" w:color="auto"/>
      </w:divBdr>
    </w:div>
    <w:div w:id="682633402">
      <w:bodyDiv w:val="1"/>
      <w:marLeft w:val="0"/>
      <w:marRight w:val="0"/>
      <w:marTop w:val="0"/>
      <w:marBottom w:val="0"/>
      <w:divBdr>
        <w:top w:val="none" w:sz="0" w:space="0" w:color="auto"/>
        <w:left w:val="none" w:sz="0" w:space="0" w:color="auto"/>
        <w:bottom w:val="none" w:sz="0" w:space="0" w:color="auto"/>
        <w:right w:val="none" w:sz="0" w:space="0" w:color="auto"/>
      </w:divBdr>
    </w:div>
    <w:div w:id="692653575">
      <w:bodyDiv w:val="1"/>
      <w:marLeft w:val="0"/>
      <w:marRight w:val="0"/>
      <w:marTop w:val="0"/>
      <w:marBottom w:val="0"/>
      <w:divBdr>
        <w:top w:val="none" w:sz="0" w:space="0" w:color="auto"/>
        <w:left w:val="none" w:sz="0" w:space="0" w:color="auto"/>
        <w:bottom w:val="none" w:sz="0" w:space="0" w:color="auto"/>
        <w:right w:val="none" w:sz="0" w:space="0" w:color="auto"/>
      </w:divBdr>
    </w:div>
    <w:div w:id="876552046">
      <w:bodyDiv w:val="1"/>
      <w:marLeft w:val="0"/>
      <w:marRight w:val="0"/>
      <w:marTop w:val="0"/>
      <w:marBottom w:val="0"/>
      <w:divBdr>
        <w:top w:val="none" w:sz="0" w:space="0" w:color="auto"/>
        <w:left w:val="none" w:sz="0" w:space="0" w:color="auto"/>
        <w:bottom w:val="none" w:sz="0" w:space="0" w:color="auto"/>
        <w:right w:val="none" w:sz="0" w:space="0" w:color="auto"/>
      </w:divBdr>
    </w:div>
    <w:div w:id="951666808">
      <w:bodyDiv w:val="1"/>
      <w:marLeft w:val="0"/>
      <w:marRight w:val="0"/>
      <w:marTop w:val="0"/>
      <w:marBottom w:val="0"/>
      <w:divBdr>
        <w:top w:val="none" w:sz="0" w:space="0" w:color="auto"/>
        <w:left w:val="none" w:sz="0" w:space="0" w:color="auto"/>
        <w:bottom w:val="none" w:sz="0" w:space="0" w:color="auto"/>
        <w:right w:val="none" w:sz="0" w:space="0" w:color="auto"/>
      </w:divBdr>
    </w:div>
    <w:div w:id="1024483661">
      <w:bodyDiv w:val="1"/>
      <w:marLeft w:val="0"/>
      <w:marRight w:val="0"/>
      <w:marTop w:val="0"/>
      <w:marBottom w:val="0"/>
      <w:divBdr>
        <w:top w:val="none" w:sz="0" w:space="0" w:color="auto"/>
        <w:left w:val="none" w:sz="0" w:space="0" w:color="auto"/>
        <w:bottom w:val="none" w:sz="0" w:space="0" w:color="auto"/>
        <w:right w:val="none" w:sz="0" w:space="0" w:color="auto"/>
      </w:divBdr>
    </w:div>
    <w:div w:id="1169566462">
      <w:bodyDiv w:val="1"/>
      <w:marLeft w:val="0"/>
      <w:marRight w:val="0"/>
      <w:marTop w:val="0"/>
      <w:marBottom w:val="0"/>
      <w:divBdr>
        <w:top w:val="none" w:sz="0" w:space="0" w:color="auto"/>
        <w:left w:val="none" w:sz="0" w:space="0" w:color="auto"/>
        <w:bottom w:val="none" w:sz="0" w:space="0" w:color="auto"/>
        <w:right w:val="none" w:sz="0" w:space="0" w:color="auto"/>
      </w:divBdr>
    </w:div>
    <w:div w:id="1365057549">
      <w:bodyDiv w:val="1"/>
      <w:marLeft w:val="0"/>
      <w:marRight w:val="0"/>
      <w:marTop w:val="0"/>
      <w:marBottom w:val="0"/>
      <w:divBdr>
        <w:top w:val="none" w:sz="0" w:space="0" w:color="auto"/>
        <w:left w:val="none" w:sz="0" w:space="0" w:color="auto"/>
        <w:bottom w:val="none" w:sz="0" w:space="0" w:color="auto"/>
        <w:right w:val="none" w:sz="0" w:space="0" w:color="auto"/>
      </w:divBdr>
    </w:div>
    <w:div w:id="1394960127">
      <w:bodyDiv w:val="1"/>
      <w:marLeft w:val="0"/>
      <w:marRight w:val="0"/>
      <w:marTop w:val="0"/>
      <w:marBottom w:val="0"/>
      <w:divBdr>
        <w:top w:val="none" w:sz="0" w:space="0" w:color="auto"/>
        <w:left w:val="none" w:sz="0" w:space="0" w:color="auto"/>
        <w:bottom w:val="none" w:sz="0" w:space="0" w:color="auto"/>
        <w:right w:val="none" w:sz="0" w:space="0" w:color="auto"/>
      </w:divBdr>
    </w:div>
    <w:div w:id="1401975438">
      <w:bodyDiv w:val="1"/>
      <w:marLeft w:val="0"/>
      <w:marRight w:val="0"/>
      <w:marTop w:val="0"/>
      <w:marBottom w:val="0"/>
      <w:divBdr>
        <w:top w:val="none" w:sz="0" w:space="0" w:color="auto"/>
        <w:left w:val="none" w:sz="0" w:space="0" w:color="auto"/>
        <w:bottom w:val="none" w:sz="0" w:space="0" w:color="auto"/>
        <w:right w:val="none" w:sz="0" w:space="0" w:color="auto"/>
      </w:divBdr>
    </w:div>
    <w:div w:id="1462764261">
      <w:bodyDiv w:val="1"/>
      <w:marLeft w:val="0"/>
      <w:marRight w:val="0"/>
      <w:marTop w:val="0"/>
      <w:marBottom w:val="0"/>
      <w:divBdr>
        <w:top w:val="none" w:sz="0" w:space="0" w:color="auto"/>
        <w:left w:val="none" w:sz="0" w:space="0" w:color="auto"/>
        <w:bottom w:val="none" w:sz="0" w:space="0" w:color="auto"/>
        <w:right w:val="none" w:sz="0" w:space="0" w:color="auto"/>
      </w:divBdr>
    </w:div>
    <w:div w:id="1546135450">
      <w:bodyDiv w:val="1"/>
      <w:marLeft w:val="0"/>
      <w:marRight w:val="0"/>
      <w:marTop w:val="0"/>
      <w:marBottom w:val="0"/>
      <w:divBdr>
        <w:top w:val="none" w:sz="0" w:space="0" w:color="auto"/>
        <w:left w:val="none" w:sz="0" w:space="0" w:color="auto"/>
        <w:bottom w:val="none" w:sz="0" w:space="0" w:color="auto"/>
        <w:right w:val="none" w:sz="0" w:space="0" w:color="auto"/>
      </w:divBdr>
    </w:div>
    <w:div w:id="1624575001">
      <w:bodyDiv w:val="1"/>
      <w:marLeft w:val="0"/>
      <w:marRight w:val="0"/>
      <w:marTop w:val="0"/>
      <w:marBottom w:val="0"/>
      <w:divBdr>
        <w:top w:val="none" w:sz="0" w:space="0" w:color="auto"/>
        <w:left w:val="none" w:sz="0" w:space="0" w:color="auto"/>
        <w:bottom w:val="none" w:sz="0" w:space="0" w:color="auto"/>
        <w:right w:val="none" w:sz="0" w:space="0" w:color="auto"/>
      </w:divBdr>
    </w:div>
    <w:div w:id="1717774729">
      <w:bodyDiv w:val="1"/>
      <w:marLeft w:val="0"/>
      <w:marRight w:val="0"/>
      <w:marTop w:val="0"/>
      <w:marBottom w:val="0"/>
      <w:divBdr>
        <w:top w:val="none" w:sz="0" w:space="0" w:color="auto"/>
        <w:left w:val="none" w:sz="0" w:space="0" w:color="auto"/>
        <w:bottom w:val="none" w:sz="0" w:space="0" w:color="auto"/>
        <w:right w:val="none" w:sz="0" w:space="0" w:color="auto"/>
      </w:divBdr>
    </w:div>
    <w:div w:id="1910769079">
      <w:bodyDiv w:val="1"/>
      <w:marLeft w:val="0"/>
      <w:marRight w:val="0"/>
      <w:marTop w:val="0"/>
      <w:marBottom w:val="0"/>
      <w:divBdr>
        <w:top w:val="none" w:sz="0" w:space="0" w:color="auto"/>
        <w:left w:val="none" w:sz="0" w:space="0" w:color="auto"/>
        <w:bottom w:val="none" w:sz="0" w:space="0" w:color="auto"/>
        <w:right w:val="none" w:sz="0" w:space="0" w:color="auto"/>
      </w:divBdr>
    </w:div>
    <w:div w:id="1968663933">
      <w:bodyDiv w:val="1"/>
      <w:marLeft w:val="0"/>
      <w:marRight w:val="0"/>
      <w:marTop w:val="0"/>
      <w:marBottom w:val="0"/>
      <w:divBdr>
        <w:top w:val="none" w:sz="0" w:space="0" w:color="auto"/>
        <w:left w:val="none" w:sz="0" w:space="0" w:color="auto"/>
        <w:bottom w:val="none" w:sz="0" w:space="0" w:color="auto"/>
        <w:right w:val="none" w:sz="0" w:space="0" w:color="auto"/>
      </w:divBdr>
    </w:div>
    <w:div w:id="1975596073">
      <w:bodyDiv w:val="1"/>
      <w:marLeft w:val="0"/>
      <w:marRight w:val="0"/>
      <w:marTop w:val="0"/>
      <w:marBottom w:val="0"/>
      <w:divBdr>
        <w:top w:val="none" w:sz="0" w:space="0" w:color="auto"/>
        <w:left w:val="none" w:sz="0" w:space="0" w:color="auto"/>
        <w:bottom w:val="none" w:sz="0" w:space="0" w:color="auto"/>
        <w:right w:val="none" w:sz="0" w:space="0" w:color="auto"/>
      </w:divBdr>
    </w:div>
    <w:div w:id="2001149909">
      <w:bodyDiv w:val="1"/>
      <w:marLeft w:val="0"/>
      <w:marRight w:val="0"/>
      <w:marTop w:val="0"/>
      <w:marBottom w:val="0"/>
      <w:divBdr>
        <w:top w:val="none" w:sz="0" w:space="0" w:color="auto"/>
        <w:left w:val="none" w:sz="0" w:space="0" w:color="auto"/>
        <w:bottom w:val="none" w:sz="0" w:space="0" w:color="auto"/>
        <w:right w:val="none" w:sz="0" w:space="0" w:color="auto"/>
      </w:divBdr>
    </w:div>
    <w:div w:id="2024014552">
      <w:bodyDiv w:val="1"/>
      <w:marLeft w:val="0"/>
      <w:marRight w:val="0"/>
      <w:marTop w:val="0"/>
      <w:marBottom w:val="0"/>
      <w:divBdr>
        <w:top w:val="none" w:sz="0" w:space="0" w:color="auto"/>
        <w:left w:val="none" w:sz="0" w:space="0" w:color="auto"/>
        <w:bottom w:val="none" w:sz="0" w:space="0" w:color="auto"/>
        <w:right w:val="none" w:sz="0" w:space="0" w:color="auto"/>
      </w:divBdr>
    </w:div>
    <w:div w:id="2097440260">
      <w:bodyDiv w:val="1"/>
      <w:marLeft w:val="0"/>
      <w:marRight w:val="0"/>
      <w:marTop w:val="0"/>
      <w:marBottom w:val="0"/>
      <w:divBdr>
        <w:top w:val="none" w:sz="0" w:space="0" w:color="auto"/>
        <w:left w:val="none" w:sz="0" w:space="0" w:color="auto"/>
        <w:bottom w:val="none" w:sz="0" w:space="0" w:color="auto"/>
        <w:right w:val="none" w:sz="0" w:space="0" w:color="auto"/>
      </w:divBdr>
    </w:div>
    <w:div w:id="2120946809">
      <w:bodyDiv w:val="1"/>
      <w:marLeft w:val="0"/>
      <w:marRight w:val="0"/>
      <w:marTop w:val="0"/>
      <w:marBottom w:val="0"/>
      <w:divBdr>
        <w:top w:val="none" w:sz="0" w:space="0" w:color="auto"/>
        <w:left w:val="none" w:sz="0" w:space="0" w:color="auto"/>
        <w:bottom w:val="none" w:sz="0" w:space="0" w:color="auto"/>
        <w:right w:val="none" w:sz="0" w:space="0" w:color="auto"/>
      </w:divBdr>
    </w:div>
    <w:div w:id="21360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7827</Characters>
  <Application>Microsoft Office Word</Application>
  <DocSecurity>4</DocSecurity>
  <Lines>65</Lines>
  <Paragraphs>18</Paragraphs>
  <ScaleCrop>false</ScaleCrop>
  <Company>微软中国</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2023-06-20T16:02:00Z</dcterms:created>
  <dcterms:modified xsi:type="dcterms:W3CDTF">2023-06-20T16:02:00Z</dcterms:modified>
</cp:coreProperties>
</file>