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753" w:rsidRDefault="00896484">
      <w:pPr>
        <w:pStyle w:val="a4"/>
        <w:ind w:left="0"/>
        <w:jc w:val="center"/>
        <w:rPr>
          <w:sz w:val="30"/>
        </w:rPr>
      </w:pPr>
      <w:r>
        <w:rPr>
          <w:rFonts w:hint="eastAsia"/>
          <w:sz w:val="30"/>
        </w:rPr>
        <w:t>关于增加腾安基金销售（深圳）有限公司为公司旗下部分基金销售机构同时开通定投及转换业务的公告</w:t>
      </w:r>
      <w:bookmarkStart w:id="0" w:name="_GoBack"/>
      <w:bookmarkEnd w:id="0"/>
    </w:p>
    <w:p w:rsidR="00A23753" w:rsidRDefault="00896484">
      <w:pPr>
        <w:pStyle w:val="a4"/>
        <w:spacing w:before="161" w:line="364" w:lineRule="auto"/>
        <w:ind w:right="239" w:firstLine="480"/>
        <w:jc w:val="both"/>
      </w:pPr>
      <w:r>
        <w:t>东方基金管理股份有限公司（以下简称</w:t>
      </w:r>
      <w:r>
        <w:t>“</w:t>
      </w:r>
      <w:r>
        <w:t>本公司</w:t>
      </w:r>
      <w:r>
        <w:t>”</w:t>
      </w:r>
      <w:r>
        <w:t>）与</w:t>
      </w:r>
      <w:r>
        <w:rPr>
          <w:rFonts w:hint="eastAsia"/>
        </w:rPr>
        <w:t>腾安基金销售（深圳）有限公司（</w:t>
      </w:r>
      <w:r>
        <w:rPr>
          <w:rFonts w:hint="eastAsia"/>
          <w:lang w:val="en-US"/>
        </w:rPr>
        <w:t>以下简称“腾安基金”</w:t>
      </w:r>
      <w:r>
        <w:rPr>
          <w:rFonts w:hint="eastAsia"/>
        </w:rPr>
        <w:t>）</w:t>
      </w:r>
      <w:r>
        <w:t>协商一致，自</w:t>
      </w:r>
      <w:r>
        <w:t>202</w:t>
      </w:r>
      <w:r>
        <w:rPr>
          <w:rFonts w:hint="eastAsia"/>
          <w:lang w:val="en-US"/>
        </w:rPr>
        <w:t>3</w:t>
      </w:r>
      <w:r>
        <w:t>年</w:t>
      </w:r>
      <w:r>
        <w:rPr>
          <w:rFonts w:hint="eastAsia"/>
          <w:lang w:val="en-US"/>
        </w:rPr>
        <w:t>6</w:t>
      </w:r>
      <w:r>
        <w:t>月</w:t>
      </w:r>
      <w:r>
        <w:rPr>
          <w:rFonts w:hint="eastAsia"/>
          <w:lang w:val="en-US"/>
        </w:rPr>
        <w:t>20</w:t>
      </w:r>
      <w:r>
        <w:t>日起，新增</w:t>
      </w:r>
      <w:r>
        <w:rPr>
          <w:rFonts w:hint="eastAsia"/>
          <w:lang w:val="en-US"/>
        </w:rPr>
        <w:t>腾安基金</w:t>
      </w:r>
      <w:r>
        <w:t>办理本公司</w:t>
      </w:r>
      <w:r>
        <w:rPr>
          <w:rFonts w:hint="eastAsia"/>
        </w:rPr>
        <w:t>旗下</w:t>
      </w:r>
      <w:r>
        <w:rPr>
          <w:rFonts w:hint="eastAsia"/>
          <w:lang w:val="en-US"/>
        </w:rPr>
        <w:t>部分基金</w:t>
      </w:r>
      <w:r>
        <w:t>的销售业务</w:t>
      </w:r>
      <w:r>
        <w:t>(</w:t>
      </w:r>
      <w:r>
        <w:t>仅限前端申购模式</w:t>
      </w:r>
      <w:r>
        <w:t>)</w:t>
      </w:r>
      <w:r>
        <w:t>。现将有关事项公告如下：</w:t>
      </w:r>
    </w:p>
    <w:p w:rsidR="00A23753" w:rsidRDefault="00896484">
      <w:pPr>
        <w:pStyle w:val="2"/>
        <w:numPr>
          <w:ilvl w:val="0"/>
          <w:numId w:val="1"/>
        </w:numPr>
        <w:spacing w:before="2"/>
        <w:rPr>
          <w:w w:val="95"/>
        </w:rPr>
      </w:pPr>
      <w:r>
        <w:rPr>
          <w:rFonts w:hint="eastAsia"/>
          <w:w w:val="95"/>
          <w:lang w:val="en-US"/>
        </w:rPr>
        <w:t>新增销售</w:t>
      </w:r>
      <w:r>
        <w:rPr>
          <w:w w:val="95"/>
        </w:rPr>
        <w:t>基金及业务</w:t>
      </w:r>
      <w:r>
        <w:rPr>
          <w:rFonts w:hint="eastAsia"/>
          <w:w w:val="95"/>
          <w:lang w:val="en-US"/>
        </w:rPr>
        <w:t>范围</w:t>
      </w:r>
    </w:p>
    <w:tbl>
      <w:tblPr>
        <w:tblStyle w:val="a9"/>
        <w:tblW w:w="0" w:type="auto"/>
        <w:tblInd w:w="-377" w:type="dxa"/>
        <w:tblLook w:val="04A0"/>
      </w:tblPr>
      <w:tblGrid>
        <w:gridCol w:w="656"/>
        <w:gridCol w:w="4411"/>
        <w:gridCol w:w="2278"/>
        <w:gridCol w:w="2268"/>
      </w:tblGrid>
      <w:tr w:rsidR="00A23753">
        <w:trPr>
          <w:trHeight w:val="599"/>
        </w:trPr>
        <w:tc>
          <w:tcPr>
            <w:tcW w:w="656" w:type="dxa"/>
            <w:tcBorders>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序号</w:t>
            </w:r>
          </w:p>
        </w:tc>
        <w:tc>
          <w:tcPr>
            <w:tcW w:w="4411" w:type="dxa"/>
            <w:tcBorders>
              <w:left w:val="single" w:sz="4" w:space="0" w:color="auto"/>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基金名称</w:t>
            </w:r>
          </w:p>
        </w:tc>
        <w:tc>
          <w:tcPr>
            <w:tcW w:w="2278" w:type="dxa"/>
            <w:tcBorders>
              <w:left w:val="single" w:sz="4" w:space="0" w:color="auto"/>
              <w:bottom w:val="single" w:sz="4" w:space="0" w:color="auto"/>
              <w:right w:val="single" w:sz="4" w:space="0" w:color="auto"/>
            </w:tcBorders>
          </w:tcPr>
          <w:p w:rsidR="00A23753" w:rsidRDefault="00896484">
            <w:pPr>
              <w:jc w:val="left"/>
              <w:rPr>
                <w:sz w:val="24"/>
                <w:szCs w:val="24"/>
                <w:lang w:val="en-US"/>
              </w:rPr>
            </w:pPr>
            <w:r>
              <w:rPr>
                <w:rFonts w:hint="eastAsia"/>
                <w:sz w:val="24"/>
                <w:szCs w:val="24"/>
                <w:lang w:val="en-US"/>
              </w:rPr>
              <w:t>基金代码</w:t>
            </w:r>
          </w:p>
        </w:tc>
        <w:tc>
          <w:tcPr>
            <w:tcW w:w="2268" w:type="dxa"/>
            <w:tcBorders>
              <w:left w:val="single" w:sz="4" w:space="0" w:color="auto"/>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开通业务</w:t>
            </w:r>
          </w:p>
        </w:tc>
      </w:tr>
      <w:tr w:rsidR="00A23753">
        <w:trPr>
          <w:trHeight w:val="90"/>
        </w:trPr>
        <w:tc>
          <w:tcPr>
            <w:tcW w:w="656" w:type="dxa"/>
            <w:tcBorders>
              <w:top w:val="single" w:sz="4" w:space="0" w:color="auto"/>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1</w:t>
            </w:r>
          </w:p>
        </w:tc>
        <w:tc>
          <w:tcPr>
            <w:tcW w:w="4411" w:type="dxa"/>
            <w:tcBorders>
              <w:top w:val="single" w:sz="4" w:space="0" w:color="auto"/>
              <w:left w:val="single" w:sz="4" w:space="0" w:color="auto"/>
              <w:bottom w:val="single" w:sz="4" w:space="0" w:color="auto"/>
              <w:right w:val="single" w:sz="4" w:space="0" w:color="auto"/>
            </w:tcBorders>
            <w:vAlign w:val="center"/>
          </w:tcPr>
          <w:p w:rsidR="00A23753" w:rsidRDefault="00896484">
            <w:pPr>
              <w:pStyle w:val="TableParagraph"/>
              <w:spacing w:before="2"/>
              <w:ind w:left="125" w:right="118"/>
              <w:jc w:val="center"/>
              <w:rPr>
                <w:sz w:val="24"/>
                <w:szCs w:val="24"/>
                <w:lang w:val="en-US"/>
              </w:rPr>
            </w:pPr>
            <w:r>
              <w:rPr>
                <w:sz w:val="24"/>
              </w:rPr>
              <w:t>东方盛世灵活配置混合型证券投资基金</w:t>
            </w:r>
          </w:p>
        </w:tc>
        <w:tc>
          <w:tcPr>
            <w:tcW w:w="2278" w:type="dxa"/>
            <w:tcBorders>
              <w:top w:val="single" w:sz="4" w:space="0" w:color="auto"/>
              <w:left w:val="single" w:sz="4" w:space="0" w:color="auto"/>
              <w:bottom w:val="single" w:sz="4" w:space="0" w:color="auto"/>
              <w:right w:val="single" w:sz="4" w:space="0" w:color="auto"/>
            </w:tcBorders>
            <w:vAlign w:val="center"/>
          </w:tcPr>
          <w:p w:rsidR="00A23753" w:rsidRDefault="00896484">
            <w:pPr>
              <w:pStyle w:val="TableParagraph"/>
              <w:spacing w:before="2"/>
              <w:ind w:left="106"/>
              <w:jc w:val="center"/>
              <w:rPr>
                <w:sz w:val="24"/>
                <w:szCs w:val="24"/>
              </w:rPr>
            </w:pPr>
            <w:r>
              <w:rPr>
                <w:sz w:val="24"/>
              </w:rPr>
              <w:t>002497</w:t>
            </w:r>
            <w:r>
              <w:rPr>
                <w:sz w:val="24"/>
              </w:rPr>
              <w:t>（</w:t>
            </w:r>
            <w:r>
              <w:rPr>
                <w:sz w:val="24"/>
              </w:rPr>
              <w:t>A</w:t>
            </w:r>
            <w:r>
              <w:rPr>
                <w:sz w:val="24"/>
              </w:rPr>
              <w:t>类）</w:t>
            </w:r>
          </w:p>
        </w:tc>
        <w:tc>
          <w:tcPr>
            <w:tcW w:w="2268" w:type="dxa"/>
            <w:vMerge w:val="restart"/>
            <w:tcBorders>
              <w:top w:val="single" w:sz="4" w:space="0" w:color="auto"/>
              <w:left w:val="single" w:sz="4" w:space="0" w:color="auto"/>
              <w:right w:val="single" w:sz="4" w:space="0" w:color="auto"/>
            </w:tcBorders>
          </w:tcPr>
          <w:p w:rsidR="00A23753" w:rsidRDefault="00A23753">
            <w:pPr>
              <w:rPr>
                <w:sz w:val="24"/>
                <w:szCs w:val="24"/>
                <w:lang w:val="en-US"/>
              </w:rPr>
            </w:pPr>
          </w:p>
          <w:p w:rsidR="00A23753" w:rsidRDefault="00A23753">
            <w:pPr>
              <w:rPr>
                <w:sz w:val="24"/>
                <w:szCs w:val="24"/>
                <w:lang w:val="en-US"/>
              </w:rPr>
            </w:pPr>
          </w:p>
          <w:p w:rsidR="00A23753" w:rsidRDefault="00A23753">
            <w:pPr>
              <w:rPr>
                <w:sz w:val="24"/>
                <w:szCs w:val="24"/>
                <w:lang w:val="en-US"/>
              </w:rPr>
            </w:pPr>
          </w:p>
          <w:p w:rsidR="00A23753" w:rsidRDefault="00A23753">
            <w:pPr>
              <w:rPr>
                <w:sz w:val="24"/>
                <w:szCs w:val="24"/>
                <w:lang w:val="en-US"/>
              </w:rPr>
            </w:pPr>
          </w:p>
          <w:p w:rsidR="00A23753" w:rsidRDefault="00A23753">
            <w:pPr>
              <w:rPr>
                <w:sz w:val="24"/>
                <w:szCs w:val="24"/>
                <w:lang w:val="en-US"/>
              </w:rPr>
            </w:pPr>
          </w:p>
          <w:p w:rsidR="00A23753" w:rsidRDefault="00896484">
            <w:pPr>
              <w:rPr>
                <w:sz w:val="24"/>
                <w:szCs w:val="24"/>
                <w:lang w:val="en-US"/>
              </w:rPr>
            </w:pPr>
            <w:r>
              <w:rPr>
                <w:rFonts w:hint="eastAsia"/>
                <w:sz w:val="24"/>
                <w:szCs w:val="24"/>
                <w:lang w:val="en-US"/>
              </w:rPr>
              <w:t>开户、</w:t>
            </w:r>
            <w:r>
              <w:rPr>
                <w:sz w:val="24"/>
                <w:szCs w:val="24"/>
              </w:rPr>
              <w:t>申购、赎回、定期定额投资、转换业务</w:t>
            </w:r>
            <w:r>
              <w:t>(</w:t>
            </w:r>
            <w:r>
              <w:t>仅限前端申购模式</w:t>
            </w:r>
            <w:r>
              <w:t>)</w:t>
            </w:r>
          </w:p>
        </w:tc>
      </w:tr>
      <w:tr w:rsidR="00A23753">
        <w:trPr>
          <w:trHeight w:val="549"/>
        </w:trPr>
        <w:tc>
          <w:tcPr>
            <w:tcW w:w="656" w:type="dxa"/>
            <w:tcBorders>
              <w:top w:val="single" w:sz="4" w:space="0" w:color="auto"/>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2</w:t>
            </w:r>
          </w:p>
        </w:tc>
        <w:tc>
          <w:tcPr>
            <w:tcW w:w="4411" w:type="dxa"/>
            <w:tcBorders>
              <w:top w:val="single" w:sz="4" w:space="0" w:color="auto"/>
              <w:left w:val="single" w:sz="4" w:space="0" w:color="auto"/>
              <w:bottom w:val="single" w:sz="4" w:space="0" w:color="auto"/>
              <w:right w:val="single" w:sz="4" w:space="0" w:color="auto"/>
            </w:tcBorders>
            <w:vAlign w:val="center"/>
          </w:tcPr>
          <w:p w:rsidR="00A23753" w:rsidRDefault="00896484">
            <w:pPr>
              <w:pStyle w:val="TableParagraph"/>
              <w:ind w:left="125" w:right="118"/>
              <w:jc w:val="center"/>
              <w:rPr>
                <w:sz w:val="24"/>
                <w:szCs w:val="24"/>
              </w:rPr>
            </w:pPr>
            <w:r>
              <w:rPr>
                <w:sz w:val="24"/>
              </w:rPr>
              <w:t>东方惠新灵活配置混合型证券投资基金</w:t>
            </w:r>
          </w:p>
        </w:tc>
        <w:tc>
          <w:tcPr>
            <w:tcW w:w="2278" w:type="dxa"/>
            <w:tcBorders>
              <w:top w:val="single" w:sz="4" w:space="0" w:color="auto"/>
              <w:left w:val="single" w:sz="4" w:space="0" w:color="auto"/>
              <w:bottom w:val="single" w:sz="4" w:space="0" w:color="auto"/>
              <w:right w:val="single" w:sz="4" w:space="0" w:color="auto"/>
            </w:tcBorders>
            <w:vAlign w:val="center"/>
          </w:tcPr>
          <w:p w:rsidR="00A23753" w:rsidRDefault="00896484">
            <w:pPr>
              <w:pStyle w:val="TableParagraph"/>
              <w:ind w:left="106"/>
              <w:jc w:val="center"/>
              <w:rPr>
                <w:sz w:val="24"/>
                <w:szCs w:val="24"/>
                <w:lang w:val="en-US"/>
              </w:rPr>
            </w:pPr>
            <w:r>
              <w:rPr>
                <w:sz w:val="24"/>
              </w:rPr>
              <w:t>001198</w:t>
            </w:r>
            <w:r>
              <w:rPr>
                <w:sz w:val="24"/>
              </w:rPr>
              <w:t>（</w:t>
            </w:r>
            <w:r>
              <w:rPr>
                <w:sz w:val="24"/>
              </w:rPr>
              <w:t>A</w:t>
            </w:r>
            <w:r>
              <w:rPr>
                <w:sz w:val="24"/>
              </w:rPr>
              <w:t>类）</w:t>
            </w:r>
            <w:r>
              <w:rPr>
                <w:sz w:val="24"/>
              </w:rPr>
              <w:t>002163</w:t>
            </w:r>
            <w:r>
              <w:rPr>
                <w:sz w:val="24"/>
              </w:rPr>
              <w:t>（</w:t>
            </w:r>
            <w:r>
              <w:rPr>
                <w:sz w:val="24"/>
              </w:rPr>
              <w:t>C</w:t>
            </w:r>
            <w:r>
              <w:rPr>
                <w:sz w:val="24"/>
              </w:rPr>
              <w:t>类）</w:t>
            </w:r>
          </w:p>
        </w:tc>
        <w:tc>
          <w:tcPr>
            <w:tcW w:w="2268" w:type="dxa"/>
            <w:vMerge/>
            <w:tcBorders>
              <w:left w:val="single" w:sz="4" w:space="0" w:color="auto"/>
              <w:right w:val="single" w:sz="4" w:space="0" w:color="auto"/>
            </w:tcBorders>
          </w:tcPr>
          <w:p w:rsidR="00A23753" w:rsidRDefault="00A23753">
            <w:pPr>
              <w:rPr>
                <w:sz w:val="24"/>
                <w:szCs w:val="24"/>
                <w:lang w:val="en-US"/>
              </w:rPr>
            </w:pPr>
          </w:p>
        </w:tc>
      </w:tr>
      <w:tr w:rsidR="00A23753">
        <w:trPr>
          <w:trHeight w:val="611"/>
        </w:trPr>
        <w:tc>
          <w:tcPr>
            <w:tcW w:w="656" w:type="dxa"/>
            <w:tcBorders>
              <w:top w:val="single" w:sz="4" w:space="0" w:color="auto"/>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3</w:t>
            </w:r>
          </w:p>
        </w:tc>
        <w:tc>
          <w:tcPr>
            <w:tcW w:w="4411" w:type="dxa"/>
            <w:tcBorders>
              <w:top w:val="single" w:sz="4" w:space="0" w:color="auto"/>
              <w:left w:val="single" w:sz="4" w:space="0" w:color="auto"/>
              <w:bottom w:val="single" w:sz="4" w:space="0" w:color="auto"/>
              <w:right w:val="single" w:sz="4" w:space="0" w:color="auto"/>
            </w:tcBorders>
            <w:vAlign w:val="center"/>
          </w:tcPr>
          <w:p w:rsidR="00A23753" w:rsidRDefault="00896484">
            <w:pPr>
              <w:pStyle w:val="TableParagraph"/>
              <w:spacing w:before="2"/>
              <w:ind w:left="125" w:right="118"/>
              <w:jc w:val="center"/>
              <w:rPr>
                <w:sz w:val="24"/>
              </w:rPr>
            </w:pPr>
            <w:r>
              <w:rPr>
                <w:sz w:val="24"/>
              </w:rPr>
              <w:t>东方民丰回报赢安混合型证券投资基金</w:t>
            </w:r>
          </w:p>
        </w:tc>
        <w:tc>
          <w:tcPr>
            <w:tcW w:w="2278" w:type="dxa"/>
            <w:tcBorders>
              <w:top w:val="single" w:sz="4" w:space="0" w:color="auto"/>
              <w:left w:val="single" w:sz="4" w:space="0" w:color="auto"/>
              <w:bottom w:val="single" w:sz="4" w:space="0" w:color="auto"/>
              <w:right w:val="single" w:sz="4" w:space="0" w:color="auto"/>
            </w:tcBorders>
            <w:vAlign w:val="center"/>
          </w:tcPr>
          <w:p w:rsidR="00A23753" w:rsidRDefault="00896484">
            <w:pPr>
              <w:pStyle w:val="TableParagraph"/>
              <w:spacing w:before="2"/>
              <w:ind w:left="106"/>
              <w:jc w:val="center"/>
              <w:rPr>
                <w:sz w:val="24"/>
                <w:lang w:val="en-US"/>
              </w:rPr>
            </w:pPr>
            <w:r>
              <w:rPr>
                <w:sz w:val="24"/>
              </w:rPr>
              <w:t>004005</w:t>
            </w:r>
            <w:r>
              <w:rPr>
                <w:sz w:val="24"/>
              </w:rPr>
              <w:t>（</w:t>
            </w:r>
            <w:r>
              <w:rPr>
                <w:sz w:val="24"/>
              </w:rPr>
              <w:t>A</w:t>
            </w:r>
            <w:r>
              <w:rPr>
                <w:sz w:val="24"/>
              </w:rPr>
              <w:t>类）</w:t>
            </w:r>
            <w:r>
              <w:rPr>
                <w:sz w:val="24"/>
              </w:rPr>
              <w:t>004006</w:t>
            </w:r>
            <w:r>
              <w:rPr>
                <w:sz w:val="24"/>
              </w:rPr>
              <w:t>（</w:t>
            </w:r>
            <w:r>
              <w:rPr>
                <w:sz w:val="24"/>
              </w:rPr>
              <w:t>C</w:t>
            </w:r>
            <w:r>
              <w:rPr>
                <w:sz w:val="24"/>
              </w:rPr>
              <w:t>类）</w:t>
            </w:r>
          </w:p>
        </w:tc>
        <w:tc>
          <w:tcPr>
            <w:tcW w:w="2268" w:type="dxa"/>
            <w:vMerge/>
            <w:tcBorders>
              <w:left w:val="single" w:sz="4" w:space="0" w:color="auto"/>
              <w:right w:val="single" w:sz="4" w:space="0" w:color="auto"/>
            </w:tcBorders>
          </w:tcPr>
          <w:p w:rsidR="00A23753" w:rsidRDefault="00A23753">
            <w:pPr>
              <w:rPr>
                <w:sz w:val="24"/>
                <w:szCs w:val="24"/>
                <w:lang w:val="en-US"/>
              </w:rPr>
            </w:pPr>
          </w:p>
        </w:tc>
      </w:tr>
      <w:tr w:rsidR="00A23753">
        <w:trPr>
          <w:trHeight w:val="636"/>
        </w:trPr>
        <w:tc>
          <w:tcPr>
            <w:tcW w:w="656" w:type="dxa"/>
            <w:tcBorders>
              <w:top w:val="single" w:sz="4" w:space="0" w:color="auto"/>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4</w:t>
            </w:r>
          </w:p>
        </w:tc>
        <w:tc>
          <w:tcPr>
            <w:tcW w:w="4411" w:type="dxa"/>
            <w:tcBorders>
              <w:top w:val="single" w:sz="4" w:space="0" w:color="auto"/>
              <w:left w:val="single" w:sz="4" w:space="0" w:color="auto"/>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东方量化成长灵活配置混合型证券投资基金</w:t>
            </w:r>
          </w:p>
        </w:tc>
        <w:tc>
          <w:tcPr>
            <w:tcW w:w="2278" w:type="dxa"/>
            <w:tcBorders>
              <w:top w:val="single" w:sz="4" w:space="0" w:color="auto"/>
              <w:left w:val="single" w:sz="4" w:space="0" w:color="auto"/>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005616</w:t>
            </w:r>
          </w:p>
        </w:tc>
        <w:tc>
          <w:tcPr>
            <w:tcW w:w="2268" w:type="dxa"/>
            <w:vMerge/>
            <w:tcBorders>
              <w:left w:val="single" w:sz="4" w:space="0" w:color="auto"/>
              <w:right w:val="single" w:sz="4" w:space="0" w:color="auto"/>
            </w:tcBorders>
          </w:tcPr>
          <w:p w:rsidR="00A23753" w:rsidRDefault="00A23753">
            <w:pPr>
              <w:rPr>
                <w:sz w:val="24"/>
                <w:szCs w:val="24"/>
                <w:lang w:val="en-US"/>
              </w:rPr>
            </w:pPr>
          </w:p>
        </w:tc>
      </w:tr>
      <w:tr w:rsidR="00A23753">
        <w:trPr>
          <w:trHeight w:val="559"/>
        </w:trPr>
        <w:tc>
          <w:tcPr>
            <w:tcW w:w="656" w:type="dxa"/>
            <w:tcBorders>
              <w:top w:val="single" w:sz="4" w:space="0" w:color="auto"/>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5</w:t>
            </w:r>
          </w:p>
        </w:tc>
        <w:tc>
          <w:tcPr>
            <w:tcW w:w="4411" w:type="dxa"/>
            <w:tcBorders>
              <w:top w:val="single" w:sz="4" w:space="0" w:color="auto"/>
              <w:left w:val="single" w:sz="4" w:space="0" w:color="auto"/>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东方臻宝纯债债券型证券投资基金</w:t>
            </w:r>
          </w:p>
        </w:tc>
        <w:tc>
          <w:tcPr>
            <w:tcW w:w="2278" w:type="dxa"/>
            <w:tcBorders>
              <w:top w:val="single" w:sz="4" w:space="0" w:color="auto"/>
              <w:left w:val="single" w:sz="4" w:space="0" w:color="auto"/>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006210</w:t>
            </w:r>
            <w:r>
              <w:rPr>
                <w:rFonts w:hint="eastAsia"/>
                <w:sz w:val="24"/>
                <w:szCs w:val="24"/>
                <w:lang w:val="en-US"/>
              </w:rPr>
              <w:t>（</w:t>
            </w:r>
            <w:r>
              <w:rPr>
                <w:rFonts w:hint="eastAsia"/>
                <w:sz w:val="24"/>
                <w:szCs w:val="24"/>
                <w:lang w:val="en-US"/>
              </w:rPr>
              <w:t>A</w:t>
            </w:r>
            <w:r>
              <w:rPr>
                <w:rFonts w:hint="eastAsia"/>
                <w:sz w:val="24"/>
                <w:szCs w:val="24"/>
                <w:lang w:val="en-US"/>
              </w:rPr>
              <w:t>类）</w:t>
            </w:r>
            <w:r>
              <w:rPr>
                <w:rFonts w:hint="eastAsia"/>
                <w:sz w:val="24"/>
                <w:szCs w:val="24"/>
                <w:lang w:val="en-US"/>
              </w:rPr>
              <w:t>006211</w:t>
            </w:r>
            <w:r>
              <w:rPr>
                <w:rFonts w:hint="eastAsia"/>
                <w:sz w:val="24"/>
                <w:szCs w:val="24"/>
                <w:lang w:val="en-US"/>
              </w:rPr>
              <w:t>（</w:t>
            </w:r>
            <w:r>
              <w:rPr>
                <w:rFonts w:hint="eastAsia"/>
                <w:sz w:val="24"/>
                <w:szCs w:val="24"/>
                <w:lang w:val="en-US"/>
              </w:rPr>
              <w:t>C</w:t>
            </w:r>
            <w:r>
              <w:rPr>
                <w:rFonts w:hint="eastAsia"/>
                <w:sz w:val="24"/>
                <w:szCs w:val="24"/>
                <w:lang w:val="en-US"/>
              </w:rPr>
              <w:t>类）</w:t>
            </w:r>
          </w:p>
        </w:tc>
        <w:tc>
          <w:tcPr>
            <w:tcW w:w="2268" w:type="dxa"/>
            <w:vMerge/>
            <w:tcBorders>
              <w:left w:val="single" w:sz="4" w:space="0" w:color="auto"/>
              <w:right w:val="single" w:sz="4" w:space="0" w:color="auto"/>
            </w:tcBorders>
          </w:tcPr>
          <w:p w:rsidR="00A23753" w:rsidRDefault="00A23753">
            <w:pPr>
              <w:rPr>
                <w:sz w:val="24"/>
                <w:szCs w:val="24"/>
                <w:lang w:val="en-US"/>
              </w:rPr>
            </w:pPr>
          </w:p>
        </w:tc>
      </w:tr>
      <w:tr w:rsidR="00A23753">
        <w:trPr>
          <w:trHeight w:val="662"/>
        </w:trPr>
        <w:tc>
          <w:tcPr>
            <w:tcW w:w="656" w:type="dxa"/>
            <w:tcBorders>
              <w:top w:val="single" w:sz="4" w:space="0" w:color="auto"/>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6</w:t>
            </w:r>
          </w:p>
        </w:tc>
        <w:tc>
          <w:tcPr>
            <w:tcW w:w="4411" w:type="dxa"/>
            <w:tcBorders>
              <w:top w:val="single" w:sz="4" w:space="0" w:color="auto"/>
              <w:left w:val="single" w:sz="4" w:space="0" w:color="auto"/>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东方臻选纯债债券型证券投资基金</w:t>
            </w:r>
          </w:p>
        </w:tc>
        <w:tc>
          <w:tcPr>
            <w:tcW w:w="2278" w:type="dxa"/>
            <w:tcBorders>
              <w:top w:val="single" w:sz="4" w:space="0" w:color="auto"/>
              <w:left w:val="single" w:sz="4" w:space="0" w:color="auto"/>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006212</w:t>
            </w:r>
            <w:r>
              <w:rPr>
                <w:rFonts w:hint="eastAsia"/>
                <w:sz w:val="24"/>
                <w:szCs w:val="24"/>
                <w:lang w:val="en-US"/>
              </w:rPr>
              <w:t>（</w:t>
            </w:r>
            <w:r>
              <w:rPr>
                <w:rFonts w:hint="eastAsia"/>
                <w:sz w:val="24"/>
                <w:szCs w:val="24"/>
                <w:lang w:val="en-US"/>
              </w:rPr>
              <w:t>A</w:t>
            </w:r>
            <w:r>
              <w:rPr>
                <w:rFonts w:hint="eastAsia"/>
                <w:sz w:val="24"/>
                <w:szCs w:val="24"/>
                <w:lang w:val="en-US"/>
              </w:rPr>
              <w:t>类）</w:t>
            </w:r>
            <w:r>
              <w:rPr>
                <w:rFonts w:hint="eastAsia"/>
                <w:sz w:val="24"/>
                <w:szCs w:val="24"/>
                <w:lang w:val="en-US"/>
              </w:rPr>
              <w:t>006213</w:t>
            </w:r>
            <w:r>
              <w:rPr>
                <w:rFonts w:hint="eastAsia"/>
                <w:sz w:val="24"/>
                <w:szCs w:val="24"/>
                <w:lang w:val="en-US"/>
              </w:rPr>
              <w:t>（</w:t>
            </w:r>
            <w:r>
              <w:rPr>
                <w:rFonts w:hint="eastAsia"/>
                <w:sz w:val="24"/>
                <w:szCs w:val="24"/>
                <w:lang w:val="en-US"/>
              </w:rPr>
              <w:t>C</w:t>
            </w:r>
            <w:r>
              <w:rPr>
                <w:rFonts w:hint="eastAsia"/>
                <w:sz w:val="24"/>
                <w:szCs w:val="24"/>
                <w:lang w:val="en-US"/>
              </w:rPr>
              <w:t>类）</w:t>
            </w:r>
          </w:p>
        </w:tc>
        <w:tc>
          <w:tcPr>
            <w:tcW w:w="2268" w:type="dxa"/>
            <w:vMerge/>
            <w:tcBorders>
              <w:left w:val="single" w:sz="4" w:space="0" w:color="auto"/>
              <w:right w:val="single" w:sz="4" w:space="0" w:color="auto"/>
            </w:tcBorders>
          </w:tcPr>
          <w:p w:rsidR="00A23753" w:rsidRDefault="00A23753">
            <w:pPr>
              <w:rPr>
                <w:sz w:val="24"/>
                <w:szCs w:val="24"/>
                <w:lang w:val="en-US"/>
              </w:rPr>
            </w:pPr>
          </w:p>
        </w:tc>
      </w:tr>
      <w:tr w:rsidR="00A23753">
        <w:trPr>
          <w:trHeight w:val="634"/>
        </w:trPr>
        <w:tc>
          <w:tcPr>
            <w:tcW w:w="656" w:type="dxa"/>
            <w:tcBorders>
              <w:top w:val="single" w:sz="4" w:space="0" w:color="auto"/>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7</w:t>
            </w:r>
          </w:p>
        </w:tc>
        <w:tc>
          <w:tcPr>
            <w:tcW w:w="4411" w:type="dxa"/>
            <w:tcBorders>
              <w:top w:val="single" w:sz="4" w:space="0" w:color="auto"/>
              <w:left w:val="single" w:sz="4" w:space="0" w:color="auto"/>
              <w:bottom w:val="single" w:sz="4" w:space="0" w:color="auto"/>
              <w:right w:val="single" w:sz="4" w:space="0" w:color="auto"/>
            </w:tcBorders>
            <w:vAlign w:val="center"/>
          </w:tcPr>
          <w:p w:rsidR="00A23753" w:rsidRDefault="00896484">
            <w:pPr>
              <w:pStyle w:val="TableParagraph"/>
              <w:spacing w:line="290" w:lineRule="exact"/>
              <w:ind w:left="125" w:right="118"/>
              <w:jc w:val="center"/>
              <w:rPr>
                <w:sz w:val="24"/>
              </w:rPr>
            </w:pPr>
            <w:r>
              <w:rPr>
                <w:sz w:val="24"/>
              </w:rPr>
              <w:t>东方稳健回报债券型证券投资基金</w:t>
            </w:r>
          </w:p>
        </w:tc>
        <w:tc>
          <w:tcPr>
            <w:tcW w:w="2278" w:type="dxa"/>
            <w:tcBorders>
              <w:top w:val="single" w:sz="4" w:space="0" w:color="auto"/>
              <w:left w:val="single" w:sz="4" w:space="0" w:color="auto"/>
              <w:bottom w:val="single" w:sz="4" w:space="0" w:color="auto"/>
              <w:right w:val="single" w:sz="4" w:space="0" w:color="auto"/>
            </w:tcBorders>
            <w:vAlign w:val="center"/>
          </w:tcPr>
          <w:p w:rsidR="00A23753" w:rsidRDefault="00896484">
            <w:pPr>
              <w:pStyle w:val="TableParagraph"/>
              <w:spacing w:line="290" w:lineRule="exact"/>
              <w:ind w:left="106"/>
              <w:jc w:val="center"/>
              <w:rPr>
                <w:sz w:val="24"/>
                <w:lang w:val="en-US"/>
              </w:rPr>
            </w:pPr>
            <w:r>
              <w:rPr>
                <w:sz w:val="24"/>
              </w:rPr>
              <w:t>400009</w:t>
            </w:r>
            <w:r>
              <w:rPr>
                <w:sz w:val="24"/>
              </w:rPr>
              <w:t>（</w:t>
            </w:r>
            <w:r>
              <w:rPr>
                <w:sz w:val="24"/>
              </w:rPr>
              <w:t>A</w:t>
            </w:r>
            <w:r>
              <w:rPr>
                <w:sz w:val="24"/>
              </w:rPr>
              <w:t>类）</w:t>
            </w:r>
            <w:r>
              <w:rPr>
                <w:sz w:val="24"/>
              </w:rPr>
              <w:t>009456</w:t>
            </w:r>
            <w:r>
              <w:rPr>
                <w:sz w:val="24"/>
              </w:rPr>
              <w:t>（</w:t>
            </w:r>
            <w:r>
              <w:rPr>
                <w:sz w:val="24"/>
              </w:rPr>
              <w:t>C</w:t>
            </w:r>
            <w:r>
              <w:rPr>
                <w:sz w:val="24"/>
              </w:rPr>
              <w:t>类）</w:t>
            </w:r>
          </w:p>
        </w:tc>
        <w:tc>
          <w:tcPr>
            <w:tcW w:w="2268" w:type="dxa"/>
            <w:vMerge/>
            <w:tcBorders>
              <w:left w:val="single" w:sz="4" w:space="0" w:color="auto"/>
              <w:bottom w:val="single" w:sz="4" w:space="0" w:color="auto"/>
              <w:right w:val="single" w:sz="4" w:space="0" w:color="auto"/>
            </w:tcBorders>
          </w:tcPr>
          <w:p w:rsidR="00A23753" w:rsidRDefault="00A23753">
            <w:pPr>
              <w:rPr>
                <w:sz w:val="24"/>
                <w:szCs w:val="24"/>
                <w:lang w:val="en-US"/>
              </w:rPr>
            </w:pPr>
          </w:p>
        </w:tc>
      </w:tr>
      <w:tr w:rsidR="00A23753">
        <w:trPr>
          <w:trHeight w:val="667"/>
        </w:trPr>
        <w:tc>
          <w:tcPr>
            <w:tcW w:w="656" w:type="dxa"/>
            <w:tcBorders>
              <w:top w:val="single" w:sz="4" w:space="0" w:color="auto"/>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8</w:t>
            </w:r>
          </w:p>
        </w:tc>
        <w:tc>
          <w:tcPr>
            <w:tcW w:w="4411" w:type="dxa"/>
            <w:tcBorders>
              <w:top w:val="single" w:sz="4" w:space="0" w:color="auto"/>
              <w:left w:val="single" w:sz="4" w:space="0" w:color="auto"/>
              <w:bottom w:val="single" w:sz="4" w:space="0" w:color="auto"/>
              <w:right w:val="single" w:sz="4" w:space="0" w:color="auto"/>
            </w:tcBorders>
            <w:vAlign w:val="center"/>
          </w:tcPr>
          <w:p w:rsidR="00A23753" w:rsidRDefault="00896484">
            <w:pPr>
              <w:pStyle w:val="TableParagraph"/>
              <w:spacing w:line="307" w:lineRule="exact"/>
              <w:ind w:left="125" w:right="118"/>
              <w:jc w:val="center"/>
              <w:rPr>
                <w:sz w:val="24"/>
              </w:rPr>
            </w:pPr>
            <w:r>
              <w:rPr>
                <w:sz w:val="24"/>
              </w:rPr>
              <w:t>东方永兴</w:t>
            </w:r>
            <w:r>
              <w:rPr>
                <w:sz w:val="24"/>
              </w:rPr>
              <w:t>18</w:t>
            </w:r>
            <w:r>
              <w:rPr>
                <w:sz w:val="24"/>
              </w:rPr>
              <w:t>个月定期开放债券型证券投资基金</w:t>
            </w:r>
          </w:p>
        </w:tc>
        <w:tc>
          <w:tcPr>
            <w:tcW w:w="2278" w:type="dxa"/>
            <w:tcBorders>
              <w:top w:val="single" w:sz="4" w:space="0" w:color="auto"/>
              <w:left w:val="single" w:sz="4" w:space="0" w:color="auto"/>
              <w:bottom w:val="single" w:sz="4" w:space="0" w:color="auto"/>
              <w:right w:val="single" w:sz="4" w:space="0" w:color="auto"/>
            </w:tcBorders>
            <w:vAlign w:val="center"/>
          </w:tcPr>
          <w:p w:rsidR="00A23753" w:rsidRDefault="00896484">
            <w:pPr>
              <w:pStyle w:val="TableParagraph"/>
              <w:spacing w:line="307" w:lineRule="exact"/>
              <w:ind w:left="106"/>
              <w:jc w:val="center"/>
              <w:rPr>
                <w:sz w:val="24"/>
                <w:lang w:val="en-US"/>
              </w:rPr>
            </w:pPr>
            <w:r>
              <w:rPr>
                <w:sz w:val="24"/>
              </w:rPr>
              <w:t>003324</w:t>
            </w:r>
            <w:r>
              <w:rPr>
                <w:sz w:val="24"/>
              </w:rPr>
              <w:t>（</w:t>
            </w:r>
            <w:r>
              <w:rPr>
                <w:sz w:val="24"/>
              </w:rPr>
              <w:t>A</w:t>
            </w:r>
            <w:r>
              <w:rPr>
                <w:sz w:val="24"/>
              </w:rPr>
              <w:t>类）</w:t>
            </w:r>
            <w:r>
              <w:rPr>
                <w:sz w:val="24"/>
              </w:rPr>
              <w:t>003325</w:t>
            </w:r>
            <w:r>
              <w:rPr>
                <w:sz w:val="24"/>
              </w:rPr>
              <w:t>（</w:t>
            </w:r>
            <w:r>
              <w:rPr>
                <w:sz w:val="24"/>
              </w:rPr>
              <w:t>C</w:t>
            </w:r>
            <w:r>
              <w:rPr>
                <w:sz w:val="24"/>
              </w:rPr>
              <w:t>类）</w:t>
            </w:r>
          </w:p>
        </w:tc>
        <w:tc>
          <w:tcPr>
            <w:tcW w:w="2268" w:type="dxa"/>
            <w:vMerge w:val="restart"/>
            <w:tcBorders>
              <w:top w:val="single" w:sz="4" w:space="0" w:color="auto"/>
              <w:left w:val="single" w:sz="4" w:space="0" w:color="auto"/>
              <w:right w:val="single" w:sz="4" w:space="0" w:color="auto"/>
            </w:tcBorders>
          </w:tcPr>
          <w:p w:rsidR="00A23753" w:rsidRDefault="00A23753"/>
          <w:p w:rsidR="00A23753" w:rsidRDefault="00A23753"/>
          <w:p w:rsidR="00A23753" w:rsidRDefault="00896484">
            <w:pPr>
              <w:rPr>
                <w:sz w:val="24"/>
                <w:szCs w:val="24"/>
                <w:lang w:val="en-US"/>
              </w:rPr>
            </w:pPr>
            <w:r>
              <w:t>开户、申购、赎回、转换业务（仅限前端申购模式</w:t>
            </w:r>
            <w:r>
              <w:t>)</w:t>
            </w:r>
          </w:p>
        </w:tc>
      </w:tr>
      <w:tr w:rsidR="00A23753">
        <w:trPr>
          <w:trHeight w:val="609"/>
        </w:trPr>
        <w:tc>
          <w:tcPr>
            <w:tcW w:w="656" w:type="dxa"/>
            <w:tcBorders>
              <w:top w:val="single" w:sz="4" w:space="0" w:color="auto"/>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9</w:t>
            </w:r>
          </w:p>
        </w:tc>
        <w:tc>
          <w:tcPr>
            <w:tcW w:w="4411" w:type="dxa"/>
            <w:tcBorders>
              <w:top w:val="single" w:sz="4" w:space="0" w:color="auto"/>
              <w:left w:val="single" w:sz="4" w:space="0" w:color="auto"/>
              <w:bottom w:val="single" w:sz="4" w:space="0" w:color="auto"/>
              <w:right w:val="single" w:sz="4" w:space="0" w:color="auto"/>
            </w:tcBorders>
            <w:vAlign w:val="center"/>
          </w:tcPr>
          <w:p w:rsidR="00A23753" w:rsidRDefault="00896484">
            <w:pPr>
              <w:pStyle w:val="TableParagraph"/>
              <w:ind w:left="125" w:right="118"/>
              <w:jc w:val="center"/>
              <w:rPr>
                <w:sz w:val="24"/>
              </w:rPr>
            </w:pPr>
            <w:r>
              <w:rPr>
                <w:sz w:val="24"/>
              </w:rPr>
              <w:t>东方永泰纯债</w:t>
            </w:r>
            <w:r>
              <w:rPr>
                <w:sz w:val="24"/>
              </w:rPr>
              <w:t>1</w:t>
            </w:r>
            <w:r>
              <w:rPr>
                <w:sz w:val="24"/>
              </w:rPr>
              <w:t>年定期开放债券型证券投资基金</w:t>
            </w:r>
          </w:p>
        </w:tc>
        <w:tc>
          <w:tcPr>
            <w:tcW w:w="2278" w:type="dxa"/>
            <w:tcBorders>
              <w:top w:val="single" w:sz="4" w:space="0" w:color="auto"/>
              <w:left w:val="single" w:sz="4" w:space="0" w:color="auto"/>
              <w:bottom w:val="single" w:sz="4" w:space="0" w:color="auto"/>
              <w:right w:val="single" w:sz="4" w:space="0" w:color="auto"/>
            </w:tcBorders>
            <w:vAlign w:val="center"/>
          </w:tcPr>
          <w:p w:rsidR="00A23753" w:rsidRDefault="00896484">
            <w:pPr>
              <w:pStyle w:val="TableParagraph"/>
              <w:ind w:left="106"/>
              <w:jc w:val="center"/>
              <w:rPr>
                <w:sz w:val="24"/>
                <w:lang w:val="en-US"/>
              </w:rPr>
            </w:pPr>
            <w:r>
              <w:rPr>
                <w:sz w:val="24"/>
              </w:rPr>
              <w:t>006715</w:t>
            </w:r>
            <w:r>
              <w:rPr>
                <w:sz w:val="24"/>
              </w:rPr>
              <w:t>（</w:t>
            </w:r>
            <w:r>
              <w:rPr>
                <w:sz w:val="24"/>
              </w:rPr>
              <w:t>A</w:t>
            </w:r>
            <w:r>
              <w:rPr>
                <w:sz w:val="24"/>
              </w:rPr>
              <w:t>类）</w:t>
            </w:r>
            <w:r>
              <w:rPr>
                <w:sz w:val="24"/>
              </w:rPr>
              <w:t>006716</w:t>
            </w:r>
            <w:r>
              <w:rPr>
                <w:sz w:val="24"/>
              </w:rPr>
              <w:t>（</w:t>
            </w:r>
            <w:r>
              <w:rPr>
                <w:sz w:val="24"/>
              </w:rPr>
              <w:t>C</w:t>
            </w:r>
            <w:r>
              <w:rPr>
                <w:sz w:val="24"/>
              </w:rPr>
              <w:t>类）</w:t>
            </w:r>
          </w:p>
        </w:tc>
        <w:tc>
          <w:tcPr>
            <w:tcW w:w="2268" w:type="dxa"/>
            <w:vMerge/>
            <w:tcBorders>
              <w:left w:val="single" w:sz="4" w:space="0" w:color="auto"/>
              <w:right w:val="single" w:sz="4" w:space="0" w:color="auto"/>
            </w:tcBorders>
          </w:tcPr>
          <w:p w:rsidR="00A23753" w:rsidRDefault="00A23753">
            <w:pPr>
              <w:rPr>
                <w:sz w:val="24"/>
                <w:szCs w:val="24"/>
                <w:lang w:val="en-US"/>
              </w:rPr>
            </w:pPr>
          </w:p>
        </w:tc>
      </w:tr>
      <w:tr w:rsidR="00A23753">
        <w:trPr>
          <w:trHeight w:val="594"/>
        </w:trPr>
        <w:tc>
          <w:tcPr>
            <w:tcW w:w="656" w:type="dxa"/>
            <w:tcBorders>
              <w:top w:val="single" w:sz="4" w:space="0" w:color="auto"/>
              <w:bottom w:val="single" w:sz="4" w:space="0" w:color="auto"/>
              <w:right w:val="single" w:sz="4" w:space="0" w:color="auto"/>
            </w:tcBorders>
          </w:tcPr>
          <w:p w:rsidR="00A23753" w:rsidRDefault="00896484">
            <w:pPr>
              <w:jc w:val="center"/>
              <w:rPr>
                <w:sz w:val="24"/>
                <w:szCs w:val="24"/>
                <w:lang w:val="en-US"/>
              </w:rPr>
            </w:pPr>
            <w:r>
              <w:rPr>
                <w:rFonts w:hint="eastAsia"/>
                <w:sz w:val="24"/>
                <w:szCs w:val="24"/>
                <w:lang w:val="en-US"/>
              </w:rPr>
              <w:t>10</w:t>
            </w:r>
          </w:p>
        </w:tc>
        <w:tc>
          <w:tcPr>
            <w:tcW w:w="4411" w:type="dxa"/>
            <w:tcBorders>
              <w:top w:val="single" w:sz="4" w:space="0" w:color="auto"/>
              <w:left w:val="single" w:sz="4" w:space="0" w:color="auto"/>
              <w:bottom w:val="single" w:sz="4" w:space="0" w:color="auto"/>
              <w:right w:val="single" w:sz="4" w:space="0" w:color="auto"/>
            </w:tcBorders>
            <w:vAlign w:val="center"/>
          </w:tcPr>
          <w:p w:rsidR="00A23753" w:rsidRDefault="00896484">
            <w:pPr>
              <w:pStyle w:val="TableParagraph"/>
              <w:ind w:left="125" w:right="118"/>
              <w:jc w:val="center"/>
              <w:rPr>
                <w:sz w:val="24"/>
              </w:rPr>
            </w:pPr>
            <w:r>
              <w:rPr>
                <w:sz w:val="24"/>
              </w:rPr>
              <w:t>东方臻萃</w:t>
            </w:r>
            <w:r>
              <w:rPr>
                <w:sz w:val="24"/>
              </w:rPr>
              <w:t>3</w:t>
            </w:r>
            <w:r>
              <w:rPr>
                <w:sz w:val="24"/>
              </w:rPr>
              <w:t>个月定期开放纯债债券型证券投资基金</w:t>
            </w:r>
          </w:p>
        </w:tc>
        <w:tc>
          <w:tcPr>
            <w:tcW w:w="2278" w:type="dxa"/>
            <w:tcBorders>
              <w:top w:val="single" w:sz="4" w:space="0" w:color="auto"/>
              <w:left w:val="single" w:sz="4" w:space="0" w:color="auto"/>
              <w:bottom w:val="single" w:sz="4" w:space="0" w:color="auto"/>
              <w:right w:val="single" w:sz="4" w:space="0" w:color="auto"/>
            </w:tcBorders>
            <w:vAlign w:val="center"/>
          </w:tcPr>
          <w:p w:rsidR="00A23753" w:rsidRDefault="00896484">
            <w:pPr>
              <w:pStyle w:val="TableParagraph"/>
              <w:ind w:left="106"/>
              <w:jc w:val="center"/>
              <w:rPr>
                <w:sz w:val="24"/>
                <w:lang w:val="en-US"/>
              </w:rPr>
            </w:pPr>
            <w:r>
              <w:rPr>
                <w:sz w:val="24"/>
              </w:rPr>
              <w:t>009461</w:t>
            </w:r>
            <w:r>
              <w:rPr>
                <w:sz w:val="24"/>
              </w:rPr>
              <w:t>（</w:t>
            </w:r>
            <w:r>
              <w:rPr>
                <w:sz w:val="24"/>
              </w:rPr>
              <w:t>A</w:t>
            </w:r>
            <w:r>
              <w:rPr>
                <w:sz w:val="24"/>
              </w:rPr>
              <w:t>类）</w:t>
            </w:r>
            <w:r>
              <w:rPr>
                <w:sz w:val="24"/>
              </w:rPr>
              <w:t>009462</w:t>
            </w:r>
            <w:r>
              <w:rPr>
                <w:sz w:val="24"/>
              </w:rPr>
              <w:t>（</w:t>
            </w:r>
            <w:r>
              <w:rPr>
                <w:sz w:val="24"/>
              </w:rPr>
              <w:t>C</w:t>
            </w:r>
            <w:r>
              <w:rPr>
                <w:sz w:val="24"/>
              </w:rPr>
              <w:t>类）</w:t>
            </w:r>
          </w:p>
        </w:tc>
        <w:tc>
          <w:tcPr>
            <w:tcW w:w="2268" w:type="dxa"/>
            <w:vMerge/>
            <w:tcBorders>
              <w:left w:val="single" w:sz="4" w:space="0" w:color="auto"/>
              <w:bottom w:val="single" w:sz="4" w:space="0" w:color="auto"/>
              <w:right w:val="single" w:sz="4" w:space="0" w:color="auto"/>
            </w:tcBorders>
          </w:tcPr>
          <w:p w:rsidR="00A23753" w:rsidRDefault="00A23753">
            <w:pPr>
              <w:rPr>
                <w:sz w:val="24"/>
                <w:szCs w:val="24"/>
                <w:lang w:val="en-US"/>
              </w:rPr>
            </w:pPr>
          </w:p>
        </w:tc>
      </w:tr>
    </w:tbl>
    <w:p w:rsidR="00A23753" w:rsidRDefault="00896484">
      <w:pPr>
        <w:rPr>
          <w:rStyle w:val="ab"/>
        </w:rPr>
      </w:pPr>
      <w:r>
        <w:rPr>
          <w:rFonts w:hint="eastAsia"/>
          <w:sz w:val="24"/>
          <w:szCs w:val="24"/>
          <w:lang w:val="en-US"/>
        </w:rPr>
        <w:t>备注：</w:t>
      </w:r>
    </w:p>
    <w:p w:rsidR="00A23753" w:rsidRDefault="00896484">
      <w:pPr>
        <w:ind w:firstLineChars="200" w:firstLine="420"/>
        <w:rPr>
          <w:color w:val="000000"/>
          <w:sz w:val="21"/>
          <w:szCs w:val="21"/>
        </w:rPr>
      </w:pPr>
      <w:r>
        <w:rPr>
          <w:rFonts w:hint="eastAsia"/>
          <w:color w:val="000000"/>
          <w:sz w:val="21"/>
          <w:szCs w:val="21"/>
        </w:rPr>
        <w:t>东方永泰纯债</w:t>
      </w:r>
      <w:r>
        <w:rPr>
          <w:rFonts w:hint="eastAsia"/>
          <w:color w:val="000000"/>
          <w:sz w:val="21"/>
          <w:szCs w:val="21"/>
        </w:rPr>
        <w:t>1</w:t>
      </w:r>
      <w:r>
        <w:rPr>
          <w:rFonts w:hint="eastAsia"/>
          <w:color w:val="000000"/>
          <w:sz w:val="21"/>
          <w:szCs w:val="21"/>
        </w:rPr>
        <w:t>年定期开放债券型证券投资基金、东方臻萃</w:t>
      </w:r>
      <w:r>
        <w:rPr>
          <w:rFonts w:hint="eastAsia"/>
          <w:color w:val="000000"/>
          <w:sz w:val="21"/>
          <w:szCs w:val="21"/>
        </w:rPr>
        <w:t>3</w:t>
      </w:r>
      <w:r>
        <w:rPr>
          <w:rFonts w:hint="eastAsia"/>
          <w:color w:val="000000"/>
          <w:sz w:val="21"/>
          <w:szCs w:val="21"/>
        </w:rPr>
        <w:t>个月定期开放纯债债券型证券投资基金</w:t>
      </w:r>
      <w:r>
        <w:rPr>
          <w:rFonts w:hint="eastAsia"/>
          <w:color w:val="000000"/>
          <w:sz w:val="21"/>
          <w:szCs w:val="21"/>
        </w:rPr>
        <w:t>、</w:t>
      </w:r>
      <w:r>
        <w:rPr>
          <w:rFonts w:hint="eastAsia"/>
          <w:color w:val="000000"/>
          <w:sz w:val="21"/>
          <w:szCs w:val="21"/>
        </w:rPr>
        <w:t>东方永兴</w:t>
      </w:r>
      <w:r>
        <w:rPr>
          <w:rFonts w:hint="eastAsia"/>
          <w:color w:val="000000"/>
          <w:sz w:val="21"/>
          <w:szCs w:val="21"/>
        </w:rPr>
        <w:t>18</w:t>
      </w:r>
      <w:r>
        <w:rPr>
          <w:rFonts w:hint="eastAsia"/>
          <w:color w:val="000000"/>
          <w:sz w:val="21"/>
          <w:szCs w:val="21"/>
        </w:rPr>
        <w:t>个月定期开放债券型证券投资基金尚在封闭期内，待封闭期结束，本公司会及时发布相关开放公告，敬请留意</w:t>
      </w:r>
      <w:r>
        <w:rPr>
          <w:rFonts w:hint="eastAsia"/>
          <w:color w:val="000000"/>
          <w:sz w:val="21"/>
          <w:szCs w:val="21"/>
        </w:rPr>
        <w:t>。</w:t>
      </w:r>
      <w:r>
        <w:rPr>
          <w:rFonts w:hint="eastAsia"/>
          <w:color w:val="000000"/>
          <w:sz w:val="21"/>
          <w:szCs w:val="21"/>
        </w:rPr>
        <w:t>具体业务办理流程、规则请遵循相关销售机构的规定。</w:t>
      </w:r>
    </w:p>
    <w:p w:rsidR="00A23753" w:rsidRDefault="00896484">
      <w:pPr>
        <w:pStyle w:val="ac"/>
        <w:numPr>
          <w:ilvl w:val="255"/>
          <w:numId w:val="0"/>
        </w:numPr>
        <w:tabs>
          <w:tab w:val="left" w:pos="842"/>
        </w:tabs>
        <w:spacing w:line="242" w:lineRule="auto"/>
        <w:ind w:right="122"/>
        <w:rPr>
          <w:sz w:val="21"/>
          <w:szCs w:val="21"/>
        </w:rPr>
      </w:pPr>
      <w:r>
        <w:rPr>
          <w:rFonts w:hint="eastAsia"/>
          <w:sz w:val="21"/>
          <w:szCs w:val="21"/>
          <w:lang w:val="en-US"/>
        </w:rPr>
        <w:lastRenderedPageBreak/>
        <w:t>1.</w:t>
      </w:r>
      <w:r>
        <w:rPr>
          <w:rFonts w:hint="eastAsia"/>
          <w:sz w:val="21"/>
          <w:szCs w:val="21"/>
        </w:rPr>
        <w:t>自</w:t>
      </w:r>
      <w:r>
        <w:rPr>
          <w:rFonts w:hint="eastAsia"/>
          <w:sz w:val="21"/>
          <w:szCs w:val="21"/>
        </w:rPr>
        <w:t>202</w:t>
      </w:r>
      <w:r>
        <w:rPr>
          <w:rFonts w:hint="eastAsia"/>
          <w:sz w:val="21"/>
          <w:szCs w:val="21"/>
          <w:lang w:val="en-US"/>
        </w:rPr>
        <w:t>2</w:t>
      </w:r>
      <w:r>
        <w:rPr>
          <w:rFonts w:hint="eastAsia"/>
          <w:sz w:val="21"/>
          <w:szCs w:val="21"/>
        </w:rPr>
        <w:t>年</w:t>
      </w:r>
      <w:r>
        <w:rPr>
          <w:rFonts w:hint="eastAsia"/>
          <w:sz w:val="21"/>
          <w:szCs w:val="21"/>
          <w:lang w:val="en-US"/>
        </w:rPr>
        <w:t>11</w:t>
      </w:r>
      <w:r>
        <w:rPr>
          <w:rFonts w:hint="eastAsia"/>
          <w:sz w:val="21"/>
          <w:szCs w:val="21"/>
        </w:rPr>
        <w:t>月</w:t>
      </w:r>
      <w:r>
        <w:rPr>
          <w:rFonts w:hint="eastAsia"/>
          <w:sz w:val="21"/>
          <w:szCs w:val="21"/>
          <w:lang w:val="en-US"/>
        </w:rPr>
        <w:t>28</w:t>
      </w:r>
      <w:r>
        <w:rPr>
          <w:rFonts w:hint="eastAsia"/>
          <w:sz w:val="21"/>
          <w:szCs w:val="21"/>
        </w:rPr>
        <w:t>日起，本基金管理人暂停接受对</w:t>
      </w:r>
      <w:r>
        <w:rPr>
          <w:rFonts w:hint="eastAsia"/>
          <w:color w:val="000000"/>
          <w:sz w:val="21"/>
          <w:szCs w:val="21"/>
        </w:rPr>
        <w:t>东方臻宝纯债债券型证券投资基金的</w:t>
      </w:r>
      <w:r>
        <w:rPr>
          <w:rFonts w:hint="eastAsia"/>
          <w:color w:val="000000"/>
          <w:sz w:val="21"/>
          <w:szCs w:val="21"/>
          <w:lang w:val="en-US"/>
        </w:rPr>
        <w:t>申购、</w:t>
      </w:r>
      <w:r>
        <w:rPr>
          <w:rFonts w:hint="eastAsia"/>
          <w:sz w:val="21"/>
          <w:szCs w:val="21"/>
        </w:rPr>
        <w:t>转换转入</w:t>
      </w:r>
      <w:r>
        <w:rPr>
          <w:rFonts w:hint="eastAsia"/>
          <w:sz w:val="21"/>
          <w:szCs w:val="21"/>
          <w:lang w:val="en-US"/>
        </w:rPr>
        <w:t>及定期定额投资业务</w:t>
      </w:r>
      <w:r>
        <w:rPr>
          <w:rFonts w:hint="eastAsia"/>
          <w:sz w:val="21"/>
          <w:szCs w:val="21"/>
        </w:rPr>
        <w:t>申请，暂停办理申购、转换转入及定期定额投资业务期间，转换转出及赎回等其他业务仍照常办理。</w:t>
      </w:r>
    </w:p>
    <w:p w:rsidR="00A23753" w:rsidRDefault="00896484">
      <w:pPr>
        <w:numPr>
          <w:ilvl w:val="255"/>
          <w:numId w:val="0"/>
        </w:numPr>
        <w:jc w:val="both"/>
        <w:rPr>
          <w:sz w:val="21"/>
          <w:szCs w:val="21"/>
        </w:rPr>
      </w:pPr>
      <w:r>
        <w:rPr>
          <w:rFonts w:hint="eastAsia"/>
          <w:sz w:val="21"/>
          <w:szCs w:val="21"/>
          <w:lang w:val="en-US"/>
        </w:rPr>
        <w:t>2.</w:t>
      </w:r>
      <w:r>
        <w:rPr>
          <w:rFonts w:hint="eastAsia"/>
          <w:sz w:val="21"/>
          <w:szCs w:val="21"/>
        </w:rPr>
        <w:t>自</w:t>
      </w:r>
      <w:r>
        <w:rPr>
          <w:rFonts w:hint="eastAsia"/>
          <w:sz w:val="21"/>
          <w:szCs w:val="21"/>
        </w:rPr>
        <w:t>202</w:t>
      </w:r>
      <w:r>
        <w:rPr>
          <w:rFonts w:hint="eastAsia"/>
          <w:sz w:val="21"/>
          <w:szCs w:val="21"/>
          <w:lang w:val="en-US"/>
        </w:rPr>
        <w:t>2</w:t>
      </w:r>
      <w:r>
        <w:rPr>
          <w:rFonts w:hint="eastAsia"/>
          <w:sz w:val="21"/>
          <w:szCs w:val="21"/>
        </w:rPr>
        <w:t>年</w:t>
      </w:r>
      <w:r>
        <w:rPr>
          <w:rFonts w:hint="eastAsia"/>
          <w:sz w:val="21"/>
          <w:szCs w:val="21"/>
          <w:lang w:val="en-US"/>
        </w:rPr>
        <w:t>11</w:t>
      </w:r>
      <w:r>
        <w:rPr>
          <w:rFonts w:hint="eastAsia"/>
          <w:sz w:val="21"/>
          <w:szCs w:val="21"/>
        </w:rPr>
        <w:t>月</w:t>
      </w:r>
      <w:r>
        <w:rPr>
          <w:rFonts w:hint="eastAsia"/>
          <w:sz w:val="21"/>
          <w:szCs w:val="21"/>
          <w:lang w:val="en-US"/>
        </w:rPr>
        <w:t>28</w:t>
      </w:r>
      <w:r>
        <w:rPr>
          <w:rFonts w:hint="eastAsia"/>
          <w:sz w:val="21"/>
          <w:szCs w:val="21"/>
        </w:rPr>
        <w:t>日起，本基金管理人暂停接受对东方臻选纯债债券型证券投资基金</w:t>
      </w:r>
      <w:r>
        <w:rPr>
          <w:rFonts w:hint="eastAsia"/>
          <w:color w:val="000000"/>
          <w:sz w:val="21"/>
          <w:szCs w:val="21"/>
        </w:rPr>
        <w:t>的</w:t>
      </w:r>
      <w:r>
        <w:rPr>
          <w:rFonts w:hint="eastAsia"/>
          <w:color w:val="000000"/>
          <w:sz w:val="21"/>
          <w:szCs w:val="21"/>
          <w:lang w:val="en-US"/>
        </w:rPr>
        <w:t>申购、</w:t>
      </w:r>
      <w:r>
        <w:rPr>
          <w:rFonts w:hint="eastAsia"/>
          <w:sz w:val="21"/>
          <w:szCs w:val="21"/>
        </w:rPr>
        <w:t>转换转入</w:t>
      </w:r>
      <w:r>
        <w:rPr>
          <w:rFonts w:hint="eastAsia"/>
          <w:sz w:val="21"/>
          <w:szCs w:val="21"/>
          <w:lang w:val="en-US"/>
        </w:rPr>
        <w:t>及定期定额投资业务</w:t>
      </w:r>
      <w:r>
        <w:rPr>
          <w:rFonts w:hint="eastAsia"/>
          <w:sz w:val="21"/>
          <w:szCs w:val="21"/>
        </w:rPr>
        <w:t>申请，暂停办理申购、转换转入及定期定额投资业务期间，转换转出及赎回等其他业务仍照常办理。</w:t>
      </w:r>
    </w:p>
    <w:p w:rsidR="00A23753" w:rsidRDefault="00896484">
      <w:pPr>
        <w:numPr>
          <w:ilvl w:val="255"/>
          <w:numId w:val="0"/>
        </w:numPr>
        <w:jc w:val="both"/>
        <w:rPr>
          <w:sz w:val="21"/>
          <w:szCs w:val="21"/>
          <w:lang w:val="en-US"/>
        </w:rPr>
      </w:pPr>
      <w:r>
        <w:rPr>
          <w:rFonts w:hint="eastAsia"/>
          <w:sz w:val="21"/>
          <w:szCs w:val="21"/>
          <w:lang w:val="en-US"/>
        </w:rPr>
        <w:t>3.</w:t>
      </w:r>
      <w:r>
        <w:rPr>
          <w:sz w:val="21"/>
          <w:szCs w:val="21"/>
          <w:lang w:val="en-US"/>
        </w:rPr>
        <w:t>自</w:t>
      </w:r>
      <w:r>
        <w:rPr>
          <w:sz w:val="21"/>
          <w:szCs w:val="21"/>
          <w:lang w:val="en-US"/>
        </w:rPr>
        <w:t>2022</w:t>
      </w:r>
      <w:r>
        <w:rPr>
          <w:sz w:val="21"/>
          <w:szCs w:val="21"/>
          <w:lang w:val="en-US"/>
        </w:rPr>
        <w:t>年</w:t>
      </w:r>
      <w:r>
        <w:rPr>
          <w:sz w:val="21"/>
          <w:szCs w:val="21"/>
          <w:lang w:val="en-US"/>
        </w:rPr>
        <w:t>2</w:t>
      </w:r>
      <w:r>
        <w:rPr>
          <w:sz w:val="21"/>
          <w:szCs w:val="21"/>
          <w:lang w:val="en-US"/>
        </w:rPr>
        <w:t>月</w:t>
      </w:r>
      <w:r>
        <w:rPr>
          <w:sz w:val="21"/>
          <w:szCs w:val="21"/>
          <w:lang w:val="en-US"/>
        </w:rPr>
        <w:t>16</w:t>
      </w:r>
      <w:r>
        <w:rPr>
          <w:sz w:val="21"/>
          <w:szCs w:val="21"/>
          <w:lang w:val="en-US"/>
        </w:rPr>
        <w:t>日起，本基金管理人暂停接受对东方稳健回报债券型证券投资基金的单笔金额</w:t>
      </w:r>
      <w:r>
        <w:rPr>
          <w:sz w:val="21"/>
          <w:szCs w:val="21"/>
          <w:lang w:val="en-US"/>
        </w:rPr>
        <w:t>50</w:t>
      </w:r>
      <w:r>
        <w:rPr>
          <w:sz w:val="21"/>
          <w:szCs w:val="21"/>
          <w:lang w:val="en-US"/>
        </w:rPr>
        <w:t>万元以上（不含</w:t>
      </w:r>
      <w:r>
        <w:rPr>
          <w:sz w:val="21"/>
          <w:szCs w:val="21"/>
          <w:lang w:val="en-US"/>
        </w:rPr>
        <w:t>50</w:t>
      </w:r>
      <w:r>
        <w:rPr>
          <w:sz w:val="21"/>
          <w:szCs w:val="21"/>
          <w:lang w:val="en-US"/>
        </w:rPr>
        <w:t>万元）申购（包括日常申购和定期定额申购）、转换转入申请，且单个基金账户单日累计申购（包括日常申购和定期定额申购）</w:t>
      </w:r>
      <w:r>
        <w:rPr>
          <w:sz w:val="21"/>
          <w:szCs w:val="21"/>
          <w:lang w:val="en-US"/>
        </w:rPr>
        <w:t xml:space="preserve"> </w:t>
      </w:r>
      <w:r>
        <w:rPr>
          <w:sz w:val="21"/>
          <w:szCs w:val="21"/>
          <w:lang w:val="en-US"/>
        </w:rPr>
        <w:t>及转换转入金额不得超过</w:t>
      </w:r>
      <w:r>
        <w:rPr>
          <w:sz w:val="21"/>
          <w:szCs w:val="21"/>
          <w:lang w:val="en-US"/>
        </w:rPr>
        <w:t>50</w:t>
      </w:r>
      <w:r>
        <w:rPr>
          <w:sz w:val="21"/>
          <w:szCs w:val="21"/>
          <w:lang w:val="en-US"/>
        </w:rPr>
        <w:t>万元（不含</w:t>
      </w:r>
      <w:r>
        <w:rPr>
          <w:sz w:val="21"/>
          <w:szCs w:val="21"/>
          <w:lang w:val="en-US"/>
        </w:rPr>
        <w:t>50</w:t>
      </w:r>
      <w:r>
        <w:rPr>
          <w:sz w:val="21"/>
          <w:szCs w:val="21"/>
          <w:lang w:val="en-US"/>
        </w:rPr>
        <w:t>万元）。对于超过限额的申请，本基金管理人有权拒绝，不予确认。</w:t>
      </w:r>
    </w:p>
    <w:p w:rsidR="00A23753" w:rsidRDefault="00896484">
      <w:pPr>
        <w:numPr>
          <w:ilvl w:val="255"/>
          <w:numId w:val="0"/>
        </w:numPr>
        <w:jc w:val="both"/>
        <w:rPr>
          <w:sz w:val="21"/>
          <w:szCs w:val="21"/>
          <w:lang w:val="en-US"/>
        </w:rPr>
      </w:pPr>
      <w:r>
        <w:rPr>
          <w:rFonts w:hint="eastAsia"/>
          <w:sz w:val="21"/>
          <w:szCs w:val="21"/>
          <w:lang w:val="en-US"/>
        </w:rPr>
        <w:t>4.</w:t>
      </w:r>
      <w:r>
        <w:rPr>
          <w:sz w:val="21"/>
          <w:szCs w:val="21"/>
          <w:lang w:val="en-US"/>
        </w:rPr>
        <w:t>自</w:t>
      </w:r>
      <w:r>
        <w:rPr>
          <w:sz w:val="21"/>
          <w:szCs w:val="21"/>
          <w:lang w:val="en-US"/>
        </w:rPr>
        <w:t>202</w:t>
      </w:r>
      <w:r>
        <w:rPr>
          <w:rFonts w:hint="eastAsia"/>
          <w:sz w:val="21"/>
          <w:szCs w:val="21"/>
          <w:lang w:val="en-US"/>
        </w:rPr>
        <w:t>0</w:t>
      </w:r>
      <w:r>
        <w:rPr>
          <w:sz w:val="21"/>
          <w:szCs w:val="21"/>
          <w:lang w:val="en-US"/>
        </w:rPr>
        <w:t>年</w:t>
      </w:r>
      <w:r>
        <w:rPr>
          <w:rFonts w:hint="eastAsia"/>
          <w:sz w:val="21"/>
          <w:szCs w:val="21"/>
          <w:lang w:val="en-US"/>
        </w:rPr>
        <w:t>8</w:t>
      </w:r>
      <w:r>
        <w:rPr>
          <w:sz w:val="21"/>
          <w:szCs w:val="21"/>
          <w:lang w:val="en-US"/>
        </w:rPr>
        <w:t>月</w:t>
      </w:r>
      <w:r>
        <w:rPr>
          <w:rFonts w:hint="eastAsia"/>
          <w:sz w:val="21"/>
          <w:szCs w:val="21"/>
          <w:lang w:val="en-US"/>
        </w:rPr>
        <w:t>31</w:t>
      </w:r>
      <w:r>
        <w:rPr>
          <w:sz w:val="21"/>
          <w:szCs w:val="21"/>
          <w:lang w:val="en-US"/>
        </w:rPr>
        <w:t>日起，本基金管理人暂停接受对东方盛世灵活配置混合型证券投资基金的单笔</w:t>
      </w:r>
      <w:r>
        <w:rPr>
          <w:sz w:val="21"/>
          <w:szCs w:val="21"/>
          <w:lang w:val="en-US"/>
        </w:rPr>
        <w:t>金额</w:t>
      </w:r>
      <w:r>
        <w:rPr>
          <w:rFonts w:hint="eastAsia"/>
          <w:sz w:val="21"/>
          <w:szCs w:val="21"/>
          <w:lang w:val="en-US"/>
        </w:rPr>
        <w:t>100</w:t>
      </w:r>
      <w:r>
        <w:rPr>
          <w:sz w:val="21"/>
          <w:szCs w:val="21"/>
          <w:lang w:val="en-US"/>
        </w:rPr>
        <w:t>万元以上（不含</w:t>
      </w:r>
      <w:r>
        <w:rPr>
          <w:rFonts w:hint="eastAsia"/>
          <w:sz w:val="21"/>
          <w:szCs w:val="21"/>
          <w:lang w:val="en-US"/>
        </w:rPr>
        <w:t>10</w:t>
      </w:r>
      <w:r>
        <w:rPr>
          <w:sz w:val="21"/>
          <w:szCs w:val="21"/>
          <w:lang w:val="en-US"/>
        </w:rPr>
        <w:t>0</w:t>
      </w:r>
      <w:r>
        <w:rPr>
          <w:sz w:val="21"/>
          <w:szCs w:val="21"/>
          <w:lang w:val="en-US"/>
        </w:rPr>
        <w:t>万元）申购（包括日常申购和定期定额申购）、转换转入申请，且单个基金账户单日累计申购（包括日常申购和定期定额申购）</w:t>
      </w:r>
      <w:r>
        <w:rPr>
          <w:sz w:val="21"/>
          <w:szCs w:val="21"/>
          <w:lang w:val="en-US"/>
        </w:rPr>
        <w:t xml:space="preserve"> </w:t>
      </w:r>
      <w:r>
        <w:rPr>
          <w:sz w:val="21"/>
          <w:szCs w:val="21"/>
          <w:lang w:val="en-US"/>
        </w:rPr>
        <w:t>及转换转入金额不得超过</w:t>
      </w:r>
      <w:r>
        <w:rPr>
          <w:rFonts w:hint="eastAsia"/>
          <w:sz w:val="21"/>
          <w:szCs w:val="21"/>
          <w:lang w:val="en-US"/>
        </w:rPr>
        <w:t>100</w:t>
      </w:r>
      <w:r>
        <w:rPr>
          <w:sz w:val="21"/>
          <w:szCs w:val="21"/>
          <w:lang w:val="en-US"/>
        </w:rPr>
        <w:t>万元（不含</w:t>
      </w:r>
      <w:r>
        <w:rPr>
          <w:rFonts w:hint="eastAsia"/>
          <w:sz w:val="21"/>
          <w:szCs w:val="21"/>
          <w:lang w:val="en-US"/>
        </w:rPr>
        <w:t>100</w:t>
      </w:r>
      <w:r>
        <w:rPr>
          <w:sz w:val="21"/>
          <w:szCs w:val="21"/>
          <w:lang w:val="en-US"/>
        </w:rPr>
        <w:t>万元）。对于超过限额的申请，本基金管理人有权拒绝，不予确认。</w:t>
      </w:r>
    </w:p>
    <w:p w:rsidR="00A23753" w:rsidRDefault="00896484">
      <w:pPr>
        <w:numPr>
          <w:ilvl w:val="255"/>
          <w:numId w:val="0"/>
        </w:numPr>
        <w:jc w:val="both"/>
        <w:rPr>
          <w:sz w:val="21"/>
          <w:szCs w:val="21"/>
          <w:lang w:val="en-US"/>
        </w:rPr>
      </w:pPr>
      <w:r>
        <w:rPr>
          <w:rFonts w:hint="eastAsia"/>
          <w:sz w:val="21"/>
          <w:szCs w:val="21"/>
          <w:lang w:val="en-US"/>
        </w:rPr>
        <w:t>5.</w:t>
      </w:r>
      <w:r>
        <w:rPr>
          <w:sz w:val="21"/>
          <w:szCs w:val="21"/>
          <w:lang w:val="en-US"/>
        </w:rPr>
        <w:t>自</w:t>
      </w:r>
      <w:r>
        <w:rPr>
          <w:sz w:val="21"/>
          <w:szCs w:val="21"/>
          <w:lang w:val="en-US"/>
        </w:rPr>
        <w:t>2022</w:t>
      </w:r>
      <w:r>
        <w:rPr>
          <w:sz w:val="21"/>
          <w:szCs w:val="21"/>
          <w:lang w:val="en-US"/>
        </w:rPr>
        <w:t>年</w:t>
      </w:r>
      <w:r>
        <w:rPr>
          <w:rFonts w:hint="eastAsia"/>
          <w:sz w:val="21"/>
          <w:szCs w:val="21"/>
          <w:lang w:val="en-US"/>
        </w:rPr>
        <w:t>7</w:t>
      </w:r>
      <w:r>
        <w:rPr>
          <w:sz w:val="21"/>
          <w:szCs w:val="21"/>
          <w:lang w:val="en-US"/>
        </w:rPr>
        <w:t>月</w:t>
      </w:r>
      <w:r>
        <w:rPr>
          <w:sz w:val="21"/>
          <w:szCs w:val="21"/>
          <w:lang w:val="en-US"/>
        </w:rPr>
        <w:t>6</w:t>
      </w:r>
      <w:r>
        <w:rPr>
          <w:sz w:val="21"/>
          <w:szCs w:val="21"/>
          <w:lang w:val="en-US"/>
        </w:rPr>
        <w:t>日起，本基金管理人暂停接受对东方民丰回报赢安混合型证券投资基金的单笔金额</w:t>
      </w:r>
      <w:r>
        <w:rPr>
          <w:rFonts w:hint="eastAsia"/>
          <w:sz w:val="21"/>
          <w:szCs w:val="21"/>
          <w:lang w:val="en-US"/>
        </w:rPr>
        <w:t>100</w:t>
      </w:r>
      <w:r>
        <w:rPr>
          <w:sz w:val="21"/>
          <w:szCs w:val="21"/>
          <w:lang w:val="en-US"/>
        </w:rPr>
        <w:t>万元以上（不含</w:t>
      </w:r>
      <w:r>
        <w:rPr>
          <w:rFonts w:hint="eastAsia"/>
          <w:sz w:val="21"/>
          <w:szCs w:val="21"/>
          <w:lang w:val="en-US"/>
        </w:rPr>
        <w:t>100</w:t>
      </w:r>
      <w:r>
        <w:rPr>
          <w:sz w:val="21"/>
          <w:szCs w:val="21"/>
          <w:lang w:val="en-US"/>
        </w:rPr>
        <w:t>万元）申购（包括日常申购和定期定额申购）、转换转入申请，且单个基金账户单日累计申购（包括日常申购和定期定额申购）</w:t>
      </w:r>
      <w:r>
        <w:rPr>
          <w:sz w:val="21"/>
          <w:szCs w:val="21"/>
          <w:lang w:val="en-US"/>
        </w:rPr>
        <w:t xml:space="preserve"> </w:t>
      </w:r>
      <w:r>
        <w:rPr>
          <w:sz w:val="21"/>
          <w:szCs w:val="21"/>
          <w:lang w:val="en-US"/>
        </w:rPr>
        <w:t>及转换转入金额不得超过</w:t>
      </w:r>
      <w:r>
        <w:rPr>
          <w:rFonts w:hint="eastAsia"/>
          <w:sz w:val="21"/>
          <w:szCs w:val="21"/>
          <w:lang w:val="en-US"/>
        </w:rPr>
        <w:t>100</w:t>
      </w:r>
      <w:r>
        <w:rPr>
          <w:sz w:val="21"/>
          <w:szCs w:val="21"/>
          <w:lang w:val="en-US"/>
        </w:rPr>
        <w:t>万元（不含</w:t>
      </w:r>
      <w:r>
        <w:rPr>
          <w:rFonts w:hint="eastAsia"/>
          <w:sz w:val="21"/>
          <w:szCs w:val="21"/>
          <w:lang w:val="en-US"/>
        </w:rPr>
        <w:t>100</w:t>
      </w:r>
      <w:r>
        <w:rPr>
          <w:sz w:val="21"/>
          <w:szCs w:val="21"/>
          <w:lang w:val="en-US"/>
        </w:rPr>
        <w:t>万元）。对于超过限额的申请，本基金管理人有权拒绝，不予确认。</w:t>
      </w:r>
    </w:p>
    <w:p w:rsidR="00A23753" w:rsidRDefault="00896484">
      <w:pPr>
        <w:rPr>
          <w:sz w:val="24"/>
          <w:szCs w:val="24"/>
          <w:lang w:val="en-US"/>
        </w:rPr>
      </w:pPr>
      <w:r>
        <w:rPr>
          <w:rFonts w:hint="eastAsia"/>
          <w:kern w:val="2"/>
          <w:sz w:val="21"/>
          <w:szCs w:val="21"/>
          <w:lang w:val="en-US"/>
        </w:rPr>
        <w:t>6.</w:t>
      </w:r>
      <w:r>
        <w:rPr>
          <w:rFonts w:hint="eastAsia"/>
          <w:kern w:val="2"/>
          <w:sz w:val="21"/>
          <w:szCs w:val="21"/>
        </w:rPr>
        <w:t>后续产品上线及业务开通事宜本公司将另行公告。</w:t>
      </w:r>
    </w:p>
    <w:p w:rsidR="00A23753" w:rsidRDefault="00A23753">
      <w:pPr>
        <w:rPr>
          <w:sz w:val="24"/>
          <w:szCs w:val="24"/>
          <w:lang w:val="en-US"/>
        </w:rPr>
      </w:pPr>
    </w:p>
    <w:p w:rsidR="00A23753" w:rsidRDefault="00896484">
      <w:pPr>
        <w:pStyle w:val="2"/>
      </w:pPr>
      <w:r>
        <w:rPr>
          <w:rFonts w:hint="eastAsia"/>
          <w:lang w:val="en-US"/>
        </w:rPr>
        <w:t>二</w:t>
      </w:r>
      <w:r>
        <w:t>、重要提示</w:t>
      </w:r>
    </w:p>
    <w:p w:rsidR="00A23753" w:rsidRDefault="00896484">
      <w:pPr>
        <w:pStyle w:val="ac"/>
        <w:numPr>
          <w:ilvl w:val="255"/>
          <w:numId w:val="0"/>
        </w:numPr>
        <w:tabs>
          <w:tab w:val="left" w:pos="861"/>
        </w:tabs>
        <w:spacing w:before="160" w:line="360" w:lineRule="auto"/>
        <w:ind w:right="0" w:firstLineChars="200" w:firstLine="480"/>
        <w:rPr>
          <w:sz w:val="24"/>
          <w:lang w:val="en-US"/>
        </w:rPr>
      </w:pPr>
      <w:r>
        <w:rPr>
          <w:rFonts w:hint="eastAsia"/>
          <w:sz w:val="24"/>
          <w:lang w:val="en-US"/>
        </w:rPr>
        <w:t>1.</w:t>
      </w:r>
      <w:r>
        <w:rPr>
          <w:rFonts w:hint="eastAsia"/>
          <w:sz w:val="24"/>
          <w:lang w:val="en-US"/>
        </w:rPr>
        <w:t>上述基金费率请详见基金的《基金合同》、《招募说明书（更新）》、《基金产品资料概要》等相关法律文件及本公司发布的最新业务公告。</w:t>
      </w:r>
    </w:p>
    <w:p w:rsidR="00A23753" w:rsidRDefault="00896484">
      <w:pPr>
        <w:pStyle w:val="ac"/>
        <w:numPr>
          <w:ilvl w:val="255"/>
          <w:numId w:val="0"/>
        </w:numPr>
        <w:tabs>
          <w:tab w:val="left" w:pos="861"/>
        </w:tabs>
        <w:spacing w:before="160"/>
        <w:ind w:right="0" w:firstLineChars="200" w:firstLine="480"/>
        <w:rPr>
          <w:sz w:val="24"/>
        </w:rPr>
      </w:pPr>
      <w:r>
        <w:rPr>
          <w:rFonts w:hint="eastAsia"/>
          <w:sz w:val="24"/>
          <w:lang w:val="en-US"/>
        </w:rPr>
        <w:t>2.</w:t>
      </w:r>
      <w:r>
        <w:rPr>
          <w:rFonts w:hint="eastAsia"/>
          <w:sz w:val="24"/>
        </w:rPr>
        <w:t>定期定额投资业务不额外收取手续费用，定期定额申购费率与相关基金的日</w:t>
      </w:r>
    </w:p>
    <w:p w:rsidR="00A23753" w:rsidRDefault="00896484">
      <w:pPr>
        <w:pStyle w:val="ac"/>
        <w:tabs>
          <w:tab w:val="left" w:pos="861"/>
        </w:tabs>
        <w:spacing w:before="160"/>
        <w:ind w:left="0" w:right="238" w:firstLine="0"/>
        <w:rPr>
          <w:sz w:val="24"/>
        </w:rPr>
      </w:pPr>
      <w:r>
        <w:rPr>
          <w:rFonts w:hint="eastAsia"/>
          <w:sz w:val="24"/>
        </w:rPr>
        <w:t>常的申购费率相同。</w:t>
      </w:r>
    </w:p>
    <w:p w:rsidR="00A23753" w:rsidRDefault="00896484">
      <w:pPr>
        <w:pStyle w:val="ac"/>
        <w:numPr>
          <w:ilvl w:val="255"/>
          <w:numId w:val="0"/>
        </w:numPr>
        <w:tabs>
          <w:tab w:val="left" w:pos="861"/>
        </w:tabs>
        <w:spacing w:before="160" w:line="360" w:lineRule="auto"/>
        <w:ind w:right="0" w:firstLineChars="200" w:firstLine="480"/>
        <w:rPr>
          <w:sz w:val="24"/>
        </w:rPr>
      </w:pPr>
      <w:r>
        <w:rPr>
          <w:rFonts w:hint="eastAsia"/>
          <w:sz w:val="24"/>
          <w:lang w:val="en-US"/>
        </w:rPr>
        <w:t>3.</w:t>
      </w:r>
      <w:r>
        <w:rPr>
          <w:rFonts w:hint="eastAsia"/>
          <w:sz w:val="24"/>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A23753" w:rsidRDefault="00896484" w:rsidP="00896484">
      <w:pPr>
        <w:pStyle w:val="a4"/>
        <w:spacing w:before="1" w:line="364" w:lineRule="auto"/>
        <w:ind w:left="0" w:right="111" w:firstLineChars="200" w:firstLine="460"/>
      </w:pPr>
      <w:r>
        <w:rPr>
          <w:rFonts w:hint="eastAsia"/>
          <w:spacing w:val="-10"/>
          <w:lang w:val="en-US"/>
        </w:rPr>
        <w:t>4.</w:t>
      </w:r>
      <w:r>
        <w:rPr>
          <w:spacing w:val="-10"/>
        </w:rPr>
        <w:t>业务办理的业务规则和流程以上述机构的安排和规定为准。相关活动的具体规定如有变化，以上述机构网站或平台的最新公告为准，敬请投资者关注。</w:t>
      </w:r>
    </w:p>
    <w:p w:rsidR="00A23753" w:rsidRDefault="00A23753">
      <w:pPr>
        <w:rPr>
          <w:lang w:val="en-US"/>
        </w:rPr>
      </w:pPr>
    </w:p>
    <w:p w:rsidR="00A23753" w:rsidRDefault="00896484" w:rsidP="00896484">
      <w:pPr>
        <w:spacing w:before="1" w:line="364" w:lineRule="auto"/>
        <w:ind w:leftChars="63" w:left="619" w:right="3441" w:hangingChars="200" w:hanging="480"/>
        <w:rPr>
          <w:b/>
          <w:bCs/>
          <w:sz w:val="24"/>
          <w:szCs w:val="24"/>
        </w:rPr>
        <w:pPrChange w:id="1" w:author="ZHONGM" w:date="2023-06-19T00:02:00Z">
          <w:pPr>
            <w:spacing w:before="1" w:line="364" w:lineRule="auto"/>
            <w:ind w:leftChars="63" w:left="619" w:right="3441" w:hangingChars="200" w:hanging="480"/>
          </w:pPr>
        </w:pPrChange>
      </w:pPr>
      <w:r>
        <w:rPr>
          <w:rFonts w:hint="eastAsia"/>
          <w:b/>
          <w:bCs/>
          <w:sz w:val="24"/>
          <w:szCs w:val="24"/>
          <w:lang w:val="en-US"/>
        </w:rPr>
        <w:lastRenderedPageBreak/>
        <w:t>三、</w:t>
      </w:r>
      <w:r>
        <w:rPr>
          <w:b/>
          <w:bCs/>
          <w:sz w:val="24"/>
          <w:szCs w:val="24"/>
        </w:rPr>
        <w:t>投资者可通过以下途径咨询有关详情</w:t>
      </w:r>
    </w:p>
    <w:p w:rsidR="00A23753" w:rsidRDefault="00896484" w:rsidP="00896484">
      <w:pPr>
        <w:spacing w:line="360" w:lineRule="auto"/>
        <w:ind w:firstLineChars="200" w:firstLine="478"/>
        <w:rPr>
          <w:spacing w:val="-1"/>
          <w:sz w:val="24"/>
          <w:szCs w:val="24"/>
          <w:lang w:val="en-US"/>
        </w:rPr>
        <w:pPrChange w:id="2" w:author="ZHONGM" w:date="2023-06-19T00:02:00Z">
          <w:pPr>
            <w:spacing w:line="360" w:lineRule="auto"/>
            <w:ind w:firstLineChars="200" w:firstLine="478"/>
          </w:pPr>
        </w:pPrChange>
      </w:pPr>
      <w:r>
        <w:rPr>
          <w:rFonts w:hint="eastAsia"/>
          <w:spacing w:val="-1"/>
          <w:sz w:val="24"/>
          <w:szCs w:val="24"/>
          <w:lang w:val="en-US"/>
        </w:rPr>
        <w:t>1.</w:t>
      </w:r>
      <w:r>
        <w:rPr>
          <w:rFonts w:hint="eastAsia"/>
          <w:spacing w:val="-1"/>
          <w:sz w:val="24"/>
          <w:szCs w:val="24"/>
          <w:lang w:val="en-US"/>
        </w:rPr>
        <w:t>腾安基金销售（深圳）有限公司</w:t>
      </w:r>
    </w:p>
    <w:p w:rsidR="00A23753" w:rsidRDefault="00896484" w:rsidP="00896484">
      <w:pPr>
        <w:spacing w:line="360" w:lineRule="auto"/>
        <w:ind w:firstLineChars="200" w:firstLine="478"/>
        <w:rPr>
          <w:spacing w:val="-1"/>
          <w:sz w:val="24"/>
          <w:szCs w:val="24"/>
          <w:lang w:val="en-US"/>
        </w:rPr>
        <w:pPrChange w:id="3" w:author="ZHONGM" w:date="2023-06-19T00:02:00Z">
          <w:pPr>
            <w:spacing w:line="360" w:lineRule="auto"/>
            <w:ind w:firstLineChars="200" w:firstLine="478"/>
          </w:pPr>
        </w:pPrChange>
      </w:pPr>
      <w:r>
        <w:rPr>
          <w:rFonts w:hint="eastAsia"/>
          <w:spacing w:val="-1"/>
          <w:sz w:val="24"/>
          <w:szCs w:val="24"/>
          <w:lang w:val="en-US"/>
        </w:rPr>
        <w:t>客服电话：</w:t>
      </w:r>
      <w:r>
        <w:rPr>
          <w:rFonts w:hint="eastAsia"/>
          <w:spacing w:val="-1"/>
          <w:sz w:val="24"/>
          <w:szCs w:val="24"/>
          <w:lang w:val="en-US"/>
        </w:rPr>
        <w:t>95017</w:t>
      </w:r>
    </w:p>
    <w:p w:rsidR="00A23753" w:rsidRDefault="00A23753">
      <w:pPr>
        <w:spacing w:line="360" w:lineRule="auto"/>
        <w:ind w:firstLineChars="200" w:firstLine="440"/>
        <w:rPr>
          <w:spacing w:val="-1"/>
          <w:sz w:val="24"/>
          <w:szCs w:val="24"/>
          <w:lang w:val="en-US"/>
        </w:rPr>
      </w:pPr>
      <w:hyperlink r:id="rId8">
        <w:r w:rsidR="00896484">
          <w:rPr>
            <w:rFonts w:hint="eastAsia"/>
            <w:spacing w:val="-1"/>
            <w:sz w:val="24"/>
            <w:szCs w:val="24"/>
            <w:lang w:val="en-US"/>
          </w:rPr>
          <w:t>网址：</w:t>
        </w:r>
      </w:hyperlink>
      <w:r w:rsidR="00896484">
        <w:rPr>
          <w:rFonts w:hint="eastAsia"/>
          <w:spacing w:val="-1"/>
          <w:sz w:val="24"/>
          <w:szCs w:val="24"/>
          <w:lang w:val="en-US"/>
        </w:rPr>
        <w:t>www.txfund.com</w:t>
      </w:r>
    </w:p>
    <w:p w:rsidR="00A23753" w:rsidRDefault="00896484" w:rsidP="00896484">
      <w:pPr>
        <w:spacing w:line="360" w:lineRule="auto"/>
        <w:ind w:firstLineChars="200" w:firstLine="478"/>
        <w:rPr>
          <w:spacing w:val="-1"/>
          <w:sz w:val="24"/>
          <w:szCs w:val="24"/>
          <w:lang w:val="en-US"/>
        </w:rPr>
        <w:pPrChange w:id="4" w:author="ZHONGM" w:date="2023-06-19T00:02:00Z">
          <w:pPr>
            <w:spacing w:line="360" w:lineRule="auto"/>
            <w:ind w:firstLineChars="200" w:firstLine="478"/>
          </w:pPr>
        </w:pPrChange>
      </w:pPr>
      <w:r>
        <w:rPr>
          <w:rFonts w:hint="eastAsia"/>
          <w:spacing w:val="-1"/>
          <w:sz w:val="24"/>
          <w:szCs w:val="24"/>
          <w:lang w:val="en-US"/>
        </w:rPr>
        <w:t>2.</w:t>
      </w:r>
      <w:r>
        <w:rPr>
          <w:rFonts w:hint="eastAsia"/>
          <w:spacing w:val="-1"/>
          <w:sz w:val="24"/>
          <w:szCs w:val="24"/>
          <w:lang w:val="en-US"/>
        </w:rPr>
        <w:t>东方基金管理股份有限公司</w:t>
      </w:r>
    </w:p>
    <w:p w:rsidR="00A23753" w:rsidRDefault="00896484" w:rsidP="00896484">
      <w:pPr>
        <w:spacing w:line="360" w:lineRule="auto"/>
        <w:ind w:firstLineChars="200" w:firstLine="478"/>
        <w:rPr>
          <w:spacing w:val="-1"/>
          <w:sz w:val="24"/>
          <w:szCs w:val="24"/>
          <w:lang w:val="en-US"/>
        </w:rPr>
        <w:pPrChange w:id="5" w:author="ZHONGM" w:date="2023-06-19T00:02:00Z">
          <w:pPr>
            <w:spacing w:line="360" w:lineRule="auto"/>
            <w:ind w:firstLineChars="200" w:firstLine="478"/>
          </w:pPr>
        </w:pPrChange>
      </w:pPr>
      <w:r>
        <w:rPr>
          <w:rFonts w:hint="eastAsia"/>
          <w:spacing w:val="-1"/>
          <w:sz w:val="24"/>
          <w:szCs w:val="24"/>
          <w:lang w:val="en-US"/>
        </w:rPr>
        <w:t>客服电话：</w:t>
      </w:r>
      <w:r>
        <w:rPr>
          <w:rFonts w:hint="eastAsia"/>
          <w:spacing w:val="-1"/>
          <w:sz w:val="24"/>
          <w:szCs w:val="24"/>
          <w:lang w:val="en-US"/>
        </w:rPr>
        <w:t>400-628-5888</w:t>
      </w:r>
    </w:p>
    <w:p w:rsidR="00A23753" w:rsidRDefault="00A23753" w:rsidP="00896484">
      <w:pPr>
        <w:spacing w:line="360" w:lineRule="auto"/>
        <w:ind w:firstLineChars="200" w:firstLine="480"/>
        <w:rPr>
          <w:spacing w:val="-1"/>
          <w:sz w:val="24"/>
          <w:szCs w:val="24"/>
          <w:lang w:val="en-US"/>
        </w:rPr>
        <w:pPrChange w:id="6" w:author="ZHONGM" w:date="2023-06-19T00:02:00Z">
          <w:pPr>
            <w:spacing w:line="360" w:lineRule="auto"/>
            <w:ind w:firstLineChars="200" w:firstLine="480"/>
          </w:pPr>
        </w:pPrChange>
      </w:pPr>
      <w:r>
        <w:rPr>
          <w:rFonts w:hint="eastAsia"/>
          <w:spacing w:val="-1"/>
          <w:sz w:val="24"/>
          <w:szCs w:val="24"/>
          <w:lang w:val="en-US"/>
        </w:rPr>
        <w:fldChar w:fldCharType="begin"/>
      </w:r>
      <w:r w:rsidR="00896484">
        <w:rPr>
          <w:rFonts w:hint="eastAsia"/>
          <w:spacing w:val="-1"/>
          <w:sz w:val="24"/>
          <w:szCs w:val="24"/>
          <w:lang w:val="en-US"/>
        </w:rPr>
        <w:instrText xml:space="preserve"> HYPERLINK "http://www.orient-fund.com/" \h </w:instrText>
      </w:r>
      <w:r>
        <w:rPr>
          <w:rFonts w:hint="eastAsia"/>
          <w:spacing w:val="-1"/>
          <w:sz w:val="24"/>
          <w:szCs w:val="24"/>
          <w:lang w:val="en-US"/>
        </w:rPr>
        <w:fldChar w:fldCharType="separate"/>
      </w:r>
      <w:r w:rsidR="00896484">
        <w:rPr>
          <w:rFonts w:hint="eastAsia"/>
          <w:spacing w:val="-1"/>
          <w:sz w:val="24"/>
          <w:szCs w:val="24"/>
          <w:lang w:val="en-US"/>
        </w:rPr>
        <w:t>网址：</w:t>
      </w:r>
      <w:r w:rsidR="00896484">
        <w:rPr>
          <w:rFonts w:hint="eastAsia"/>
          <w:spacing w:val="-1"/>
          <w:sz w:val="24"/>
          <w:szCs w:val="24"/>
          <w:lang w:val="en-US"/>
        </w:rPr>
        <w:t xml:space="preserve">www.orient-fund.com </w:t>
      </w:r>
      <w:r>
        <w:rPr>
          <w:rFonts w:hint="eastAsia"/>
          <w:spacing w:val="-1"/>
          <w:sz w:val="24"/>
          <w:szCs w:val="24"/>
          <w:lang w:val="en-US"/>
        </w:rPr>
        <w:fldChar w:fldCharType="end"/>
      </w:r>
    </w:p>
    <w:p w:rsidR="00A23753" w:rsidRDefault="00896484">
      <w:pPr>
        <w:spacing w:before="1" w:line="364" w:lineRule="auto"/>
        <w:ind w:left="140" w:right="4541"/>
        <w:rPr>
          <w:b/>
          <w:spacing w:val="-1"/>
          <w:sz w:val="24"/>
        </w:rPr>
      </w:pPr>
      <w:r>
        <w:rPr>
          <w:rFonts w:hint="eastAsia"/>
          <w:b/>
          <w:spacing w:val="-1"/>
          <w:sz w:val="24"/>
          <w:lang w:val="en-US"/>
        </w:rPr>
        <w:t>四、</w:t>
      </w:r>
      <w:r>
        <w:rPr>
          <w:b/>
          <w:spacing w:val="-1"/>
          <w:sz w:val="24"/>
        </w:rPr>
        <w:t>风险提示</w:t>
      </w:r>
    </w:p>
    <w:p w:rsidR="00A23753" w:rsidRDefault="00896484">
      <w:pPr>
        <w:pStyle w:val="a4"/>
        <w:spacing w:before="1" w:line="364" w:lineRule="auto"/>
        <w:ind w:right="239" w:firstLine="480"/>
        <w:jc w:val="both"/>
      </w:pPr>
      <w:r>
        <w:t>基金管理人承诺以诚实信用、勤勉尽责的原则管理和运用基金资产，但不保证基金一定盈利，也不保证最低收益。基金管理人管理的基金业绩不构成对其他基金业绩表现的保证。基金管理人提醒投资人遵循基金投资</w:t>
      </w:r>
      <w:r>
        <w:t>“</w:t>
      </w:r>
      <w:r>
        <w:t>买者自负</w:t>
      </w:r>
      <w:r>
        <w:t>”</w:t>
      </w:r>
      <w:r>
        <w:t>的原则，应认真阅读《基金合同》、《招募说明书（更新）》、《基金产品资料概要》等基金法律文件，全面认识产品风险收益特征和产品特征，充分考虑自身的风险承受能力，</w:t>
      </w:r>
      <w:r>
        <w:t xml:space="preserve"> </w:t>
      </w:r>
      <w:r>
        <w:t>理性判断市场，在对申购基金的意愿、时机、数量等投资行为做出独立、谨慎决策后，基金运营状况与基金净值变化引致的投资风险，由投资者自行负担。</w:t>
      </w:r>
    </w:p>
    <w:p w:rsidR="00A23753" w:rsidRDefault="00A23753">
      <w:pPr>
        <w:pStyle w:val="a4"/>
        <w:ind w:left="0"/>
      </w:pPr>
    </w:p>
    <w:p w:rsidR="00A23753" w:rsidRDefault="00896484">
      <w:pPr>
        <w:pStyle w:val="a4"/>
        <w:spacing w:before="165"/>
        <w:ind w:left="620"/>
      </w:pPr>
      <w:r>
        <w:t>特此公告。</w:t>
      </w:r>
    </w:p>
    <w:p w:rsidR="00A23753" w:rsidRDefault="00A23753">
      <w:pPr>
        <w:pStyle w:val="a4"/>
        <w:ind w:left="0"/>
      </w:pPr>
    </w:p>
    <w:p w:rsidR="00A23753" w:rsidRDefault="00A23753">
      <w:pPr>
        <w:pStyle w:val="a4"/>
        <w:spacing w:before="1"/>
        <w:ind w:left="0"/>
        <w:rPr>
          <w:sz w:val="25"/>
        </w:rPr>
      </w:pPr>
    </w:p>
    <w:p w:rsidR="00A23753" w:rsidRDefault="00896484">
      <w:pPr>
        <w:pStyle w:val="a4"/>
        <w:spacing w:line="364" w:lineRule="auto"/>
        <w:ind w:left="6200" w:right="239" w:hanging="300"/>
        <w:rPr>
          <w:lang w:val="en-US"/>
        </w:rPr>
      </w:pPr>
      <w:r>
        <w:t>东方基金管理股份有限公</w:t>
      </w:r>
      <w:r>
        <w:rPr>
          <w:rFonts w:hint="eastAsia"/>
          <w:lang w:val="en-US"/>
        </w:rPr>
        <w:t>司</w:t>
      </w:r>
    </w:p>
    <w:p w:rsidR="00A23753" w:rsidRDefault="00896484">
      <w:pPr>
        <w:pStyle w:val="a4"/>
        <w:spacing w:line="364" w:lineRule="auto"/>
        <w:ind w:left="0" w:right="239" w:firstLineChars="2500" w:firstLine="6000"/>
      </w:pPr>
      <w:r>
        <w:t>二</w:t>
      </w:r>
      <w:r>
        <w:t>○</w:t>
      </w:r>
      <w:r>
        <w:t>二</w:t>
      </w:r>
      <w:r>
        <w:rPr>
          <w:rFonts w:hint="eastAsia"/>
          <w:lang w:val="en-US"/>
        </w:rPr>
        <w:t>三</w:t>
      </w:r>
      <w:r>
        <w:t>年</w:t>
      </w:r>
      <w:r>
        <w:rPr>
          <w:rFonts w:hint="eastAsia"/>
          <w:lang w:val="en-US"/>
        </w:rPr>
        <w:t>六月十九</w:t>
      </w:r>
      <w:r>
        <w:t>日</w:t>
      </w:r>
    </w:p>
    <w:sectPr w:rsidR="00A23753" w:rsidSect="00A23753">
      <w:pgSz w:w="12240" w:h="15840"/>
      <w:pgMar w:top="1480" w:right="1560" w:bottom="280" w:left="16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753" w:rsidRDefault="00A23753"/>
  </w:endnote>
  <w:endnote w:type="continuationSeparator" w:id="0">
    <w:p w:rsidR="00A23753" w:rsidRDefault="00A2375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753" w:rsidRDefault="00A23753"/>
  </w:footnote>
  <w:footnote w:type="continuationSeparator" w:id="0">
    <w:p w:rsidR="00A23753" w:rsidRDefault="00A2375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226049"/>
    <w:multiLevelType w:val="singleLevel"/>
    <w:tmpl w:val="70226049"/>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
  <w:docVars>
    <w:docVar w:name="commondata" w:val="eyJoZGlkIjoiYzZkNzQ4ZWFiZmQ4NTRhOWRkZTk3YTMwMjlmMmZhYmUifQ=="/>
  </w:docVars>
  <w:rsids>
    <w:rsidRoot w:val="00172A27"/>
    <w:rsid w:val="000251CF"/>
    <w:rsid w:val="00080D3E"/>
    <w:rsid w:val="00095A78"/>
    <w:rsid w:val="00172A27"/>
    <w:rsid w:val="002D6BEA"/>
    <w:rsid w:val="00317E6F"/>
    <w:rsid w:val="00334286"/>
    <w:rsid w:val="003A6A0D"/>
    <w:rsid w:val="003E50C5"/>
    <w:rsid w:val="004D0DE3"/>
    <w:rsid w:val="005B17A7"/>
    <w:rsid w:val="00631E68"/>
    <w:rsid w:val="00656887"/>
    <w:rsid w:val="00673AD6"/>
    <w:rsid w:val="00722EA2"/>
    <w:rsid w:val="0075113A"/>
    <w:rsid w:val="007A4FBB"/>
    <w:rsid w:val="00896484"/>
    <w:rsid w:val="008E7C30"/>
    <w:rsid w:val="009B55C3"/>
    <w:rsid w:val="009B66E2"/>
    <w:rsid w:val="00A23753"/>
    <w:rsid w:val="00A91F2C"/>
    <w:rsid w:val="00AF04A7"/>
    <w:rsid w:val="00D962C0"/>
    <w:rsid w:val="00DC22DB"/>
    <w:rsid w:val="00E11A95"/>
    <w:rsid w:val="00E374FC"/>
    <w:rsid w:val="00F27103"/>
    <w:rsid w:val="08BD7A8B"/>
    <w:rsid w:val="09391F60"/>
    <w:rsid w:val="0C5F0F66"/>
    <w:rsid w:val="10C76D3A"/>
    <w:rsid w:val="12C64C2D"/>
    <w:rsid w:val="14313CF0"/>
    <w:rsid w:val="15782CA6"/>
    <w:rsid w:val="171F4A0B"/>
    <w:rsid w:val="18D16DAF"/>
    <w:rsid w:val="18F43C12"/>
    <w:rsid w:val="197818EF"/>
    <w:rsid w:val="1B4258B4"/>
    <w:rsid w:val="1BD14649"/>
    <w:rsid w:val="22192222"/>
    <w:rsid w:val="22822970"/>
    <w:rsid w:val="23886A4C"/>
    <w:rsid w:val="26535247"/>
    <w:rsid w:val="28F53A51"/>
    <w:rsid w:val="2CD301D8"/>
    <w:rsid w:val="2D875813"/>
    <w:rsid w:val="310615FC"/>
    <w:rsid w:val="3740298A"/>
    <w:rsid w:val="3C885310"/>
    <w:rsid w:val="3DBE5E49"/>
    <w:rsid w:val="3F20506F"/>
    <w:rsid w:val="4097652A"/>
    <w:rsid w:val="433B77A2"/>
    <w:rsid w:val="46A613F2"/>
    <w:rsid w:val="47CC47F6"/>
    <w:rsid w:val="48BD1D34"/>
    <w:rsid w:val="4AA36179"/>
    <w:rsid w:val="4F6B2315"/>
    <w:rsid w:val="51ED6410"/>
    <w:rsid w:val="539C0FE3"/>
    <w:rsid w:val="5FE5438B"/>
    <w:rsid w:val="607626EF"/>
    <w:rsid w:val="60A96349"/>
    <w:rsid w:val="649345E0"/>
    <w:rsid w:val="64B54360"/>
    <w:rsid w:val="65096018"/>
    <w:rsid w:val="66075047"/>
    <w:rsid w:val="67580C13"/>
    <w:rsid w:val="67786081"/>
    <w:rsid w:val="69DD1073"/>
    <w:rsid w:val="6AE802A9"/>
    <w:rsid w:val="716C43AF"/>
    <w:rsid w:val="71B662EC"/>
    <w:rsid w:val="72D21FD4"/>
    <w:rsid w:val="73642A3F"/>
    <w:rsid w:val="78411888"/>
    <w:rsid w:val="79774FAD"/>
    <w:rsid w:val="7B9C6B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A23753"/>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rsid w:val="00A23753"/>
    <w:pPr>
      <w:spacing w:before="61"/>
      <w:ind w:left="839" w:right="939"/>
      <w:jc w:val="center"/>
      <w:outlineLvl w:val="0"/>
    </w:pPr>
    <w:rPr>
      <w:sz w:val="30"/>
      <w:szCs w:val="30"/>
    </w:rPr>
  </w:style>
  <w:style w:type="paragraph" w:styleId="2">
    <w:name w:val="heading 2"/>
    <w:basedOn w:val="a"/>
    <w:next w:val="a"/>
    <w:uiPriority w:val="1"/>
    <w:qFormat/>
    <w:rsid w:val="00A23753"/>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A23753"/>
  </w:style>
  <w:style w:type="paragraph" w:styleId="a4">
    <w:name w:val="Body Text"/>
    <w:basedOn w:val="a"/>
    <w:uiPriority w:val="1"/>
    <w:qFormat/>
    <w:rsid w:val="00A23753"/>
    <w:pPr>
      <w:ind w:left="140"/>
    </w:pPr>
    <w:rPr>
      <w:sz w:val="24"/>
      <w:szCs w:val="24"/>
    </w:rPr>
  </w:style>
  <w:style w:type="paragraph" w:styleId="a5">
    <w:name w:val="Balloon Text"/>
    <w:basedOn w:val="a"/>
    <w:link w:val="Char0"/>
    <w:qFormat/>
    <w:rsid w:val="00A23753"/>
    <w:rPr>
      <w:sz w:val="18"/>
      <w:szCs w:val="18"/>
    </w:rPr>
  </w:style>
  <w:style w:type="paragraph" w:styleId="a6">
    <w:name w:val="footer"/>
    <w:basedOn w:val="a"/>
    <w:link w:val="Char1"/>
    <w:qFormat/>
    <w:rsid w:val="00A23753"/>
    <w:pPr>
      <w:tabs>
        <w:tab w:val="center" w:pos="4153"/>
        <w:tab w:val="right" w:pos="8306"/>
      </w:tabs>
      <w:snapToGrid w:val="0"/>
    </w:pPr>
    <w:rPr>
      <w:sz w:val="18"/>
      <w:szCs w:val="18"/>
    </w:rPr>
  </w:style>
  <w:style w:type="paragraph" w:styleId="a7">
    <w:name w:val="header"/>
    <w:basedOn w:val="a"/>
    <w:link w:val="Char2"/>
    <w:qFormat/>
    <w:rsid w:val="00A23753"/>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sid w:val="00A23753"/>
    <w:rPr>
      <w:b/>
      <w:bCs/>
    </w:rPr>
  </w:style>
  <w:style w:type="table" w:styleId="a9">
    <w:name w:val="Table Grid"/>
    <w:basedOn w:val="a1"/>
    <w:qFormat/>
    <w:rsid w:val="00A237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qFormat/>
    <w:rsid w:val="00A23753"/>
    <w:rPr>
      <w:color w:val="0563C1"/>
      <w:u w:val="single"/>
    </w:rPr>
  </w:style>
  <w:style w:type="character" w:styleId="ab">
    <w:name w:val="annotation reference"/>
    <w:basedOn w:val="a0"/>
    <w:qFormat/>
    <w:rsid w:val="00A23753"/>
    <w:rPr>
      <w:sz w:val="21"/>
      <w:szCs w:val="21"/>
    </w:rPr>
  </w:style>
  <w:style w:type="table" w:customStyle="1" w:styleId="TableNormal">
    <w:name w:val="Table Normal"/>
    <w:uiPriority w:val="2"/>
    <w:semiHidden/>
    <w:unhideWhenUsed/>
    <w:qFormat/>
    <w:rsid w:val="00A23753"/>
    <w:tblPr>
      <w:tblCellMar>
        <w:top w:w="0" w:type="dxa"/>
        <w:left w:w="0" w:type="dxa"/>
        <w:bottom w:w="0" w:type="dxa"/>
        <w:right w:w="0" w:type="dxa"/>
      </w:tblCellMar>
    </w:tblPr>
  </w:style>
  <w:style w:type="paragraph" w:styleId="ac">
    <w:name w:val="List Paragraph"/>
    <w:basedOn w:val="a"/>
    <w:uiPriority w:val="1"/>
    <w:qFormat/>
    <w:rsid w:val="00A23753"/>
    <w:pPr>
      <w:spacing w:before="1"/>
      <w:ind w:left="140" w:right="239" w:firstLine="480"/>
    </w:pPr>
  </w:style>
  <w:style w:type="paragraph" w:customStyle="1" w:styleId="TableParagraph">
    <w:name w:val="Table Paragraph"/>
    <w:basedOn w:val="a"/>
    <w:uiPriority w:val="1"/>
    <w:qFormat/>
    <w:rsid w:val="00A23753"/>
  </w:style>
  <w:style w:type="paragraph" w:customStyle="1" w:styleId="Default">
    <w:name w:val="Default"/>
    <w:uiPriority w:val="99"/>
    <w:unhideWhenUsed/>
    <w:qFormat/>
    <w:rsid w:val="00A23753"/>
    <w:pPr>
      <w:widowControl w:val="0"/>
      <w:autoSpaceDE w:val="0"/>
      <w:autoSpaceDN w:val="0"/>
      <w:adjustRightInd w:val="0"/>
    </w:pPr>
    <w:rPr>
      <w:rFonts w:ascii="宋体" w:hAnsi="宋体" w:hint="eastAsia"/>
      <w:color w:val="000000"/>
      <w:sz w:val="24"/>
    </w:rPr>
  </w:style>
  <w:style w:type="character" w:customStyle="1" w:styleId="Char0">
    <w:name w:val="批注框文本 Char"/>
    <w:basedOn w:val="a0"/>
    <w:link w:val="a5"/>
    <w:qFormat/>
    <w:rsid w:val="00A23753"/>
    <w:rPr>
      <w:rFonts w:ascii="仿宋" w:eastAsia="仿宋" w:hAnsi="仿宋" w:cs="仿宋"/>
      <w:sz w:val="18"/>
      <w:szCs w:val="18"/>
      <w:lang w:val="zh-CN" w:bidi="zh-CN"/>
    </w:rPr>
  </w:style>
  <w:style w:type="character" w:customStyle="1" w:styleId="Char">
    <w:name w:val="批注文字 Char"/>
    <w:basedOn w:val="a0"/>
    <w:link w:val="a3"/>
    <w:qFormat/>
    <w:rsid w:val="00A23753"/>
    <w:rPr>
      <w:rFonts w:ascii="仿宋" w:eastAsia="仿宋" w:hAnsi="仿宋" w:cs="仿宋"/>
      <w:sz w:val="22"/>
      <w:szCs w:val="22"/>
      <w:lang w:val="zh-CN" w:bidi="zh-CN"/>
    </w:rPr>
  </w:style>
  <w:style w:type="character" w:customStyle="1" w:styleId="Char3">
    <w:name w:val="批注主题 Char"/>
    <w:basedOn w:val="Char"/>
    <w:link w:val="a8"/>
    <w:qFormat/>
    <w:rsid w:val="00A23753"/>
    <w:rPr>
      <w:rFonts w:ascii="仿宋" w:eastAsia="仿宋" w:hAnsi="仿宋" w:cs="仿宋"/>
      <w:b/>
      <w:bCs/>
      <w:sz w:val="22"/>
      <w:szCs w:val="22"/>
      <w:lang w:val="zh-CN" w:bidi="zh-CN"/>
    </w:rPr>
  </w:style>
  <w:style w:type="character" w:customStyle="1" w:styleId="Char2">
    <w:name w:val="页眉 Char"/>
    <w:basedOn w:val="a0"/>
    <w:link w:val="a7"/>
    <w:qFormat/>
    <w:rsid w:val="00A23753"/>
    <w:rPr>
      <w:rFonts w:ascii="仿宋" w:eastAsia="仿宋" w:hAnsi="仿宋" w:cs="仿宋"/>
      <w:sz w:val="18"/>
      <w:szCs w:val="18"/>
      <w:lang w:val="zh-CN" w:bidi="zh-CN"/>
    </w:rPr>
  </w:style>
  <w:style w:type="character" w:customStyle="1" w:styleId="Char1">
    <w:name w:val="页脚 Char"/>
    <w:basedOn w:val="a0"/>
    <w:link w:val="a6"/>
    <w:qFormat/>
    <w:rsid w:val="00A23753"/>
    <w:rPr>
      <w:rFonts w:ascii="仿宋" w:eastAsia="仿宋" w:hAnsi="仿宋" w:cs="仿宋"/>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iticban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319EB-265E-48F4-9ED4-2E72AE539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1985</Characters>
  <Application>Microsoft Office Word</Application>
  <DocSecurity>4</DocSecurity>
  <Lines>16</Lines>
  <Paragraphs>4</Paragraphs>
  <ScaleCrop>false</ScaleCrop>
  <Company>CNSTOCK</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张路遥</dc:creator>
  <cp:lastModifiedBy>ZHONGM</cp:lastModifiedBy>
  <cp:revision>2</cp:revision>
  <dcterms:created xsi:type="dcterms:W3CDTF">2023-06-18T16:02:00Z</dcterms:created>
  <dcterms:modified xsi:type="dcterms:W3CDTF">2023-06-18T16:02:00Z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WPS 文字</vt:lpwstr>
  </property>
  <property fmtid="{D5CDD505-2E9C-101B-9397-08002B2CF9AE}" pid="4" name="LastSaved">
    <vt:filetime>2021-08-09T00:00:00Z</vt:filetime>
  </property>
  <property fmtid="{D5CDD505-2E9C-101B-9397-08002B2CF9AE}" pid="5" name="KSOProductBuildVer">
    <vt:lpwstr>2052-11.1.0.14309</vt:lpwstr>
  </property>
  <property fmtid="{D5CDD505-2E9C-101B-9397-08002B2CF9AE}" pid="6" name="ICV">
    <vt:lpwstr>C2598E63EF654A9D9D4441CFD80768CC</vt:lpwstr>
  </property>
</Properties>
</file>