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55" w:rsidRPr="00082170" w:rsidRDefault="007F1355" w:rsidP="007F1355">
      <w:pPr>
        <w:spacing w:line="360" w:lineRule="auto"/>
        <w:jc w:val="center"/>
        <w:rPr>
          <w:rFonts w:ascii="宋体" w:hAnsi="宋体"/>
          <w:b/>
          <w:sz w:val="24"/>
          <w:szCs w:val="24"/>
        </w:rPr>
      </w:pPr>
      <w:r w:rsidRPr="00082170">
        <w:rPr>
          <w:rFonts w:ascii="宋体" w:hAnsi="宋体" w:hint="eastAsia"/>
          <w:b/>
          <w:sz w:val="24"/>
          <w:szCs w:val="24"/>
        </w:rPr>
        <w:t>汇丰晋信基金管理有限公司关于调整旗下开放式基金在</w:t>
      </w:r>
      <w:r w:rsidR="00214055" w:rsidRPr="00214055">
        <w:rPr>
          <w:rFonts w:hint="eastAsia"/>
          <w:b/>
          <w:sz w:val="24"/>
        </w:rPr>
        <w:t>国信证券股份有限公司</w:t>
      </w:r>
      <w:r w:rsidRPr="00082170">
        <w:rPr>
          <w:rFonts w:ascii="宋体" w:hAnsi="宋体" w:hint="eastAsia"/>
          <w:b/>
          <w:sz w:val="24"/>
          <w:szCs w:val="24"/>
        </w:rPr>
        <w:t>的交易限额的公告</w:t>
      </w:r>
    </w:p>
    <w:p w:rsidR="007F1355" w:rsidRPr="00082170" w:rsidRDefault="007F1355" w:rsidP="007F1355">
      <w:pPr>
        <w:spacing w:line="360" w:lineRule="auto"/>
        <w:ind w:firstLineChars="236" w:firstLine="566"/>
        <w:rPr>
          <w:rFonts w:ascii="宋体" w:hAnsi="宋体"/>
          <w:sz w:val="24"/>
          <w:szCs w:val="24"/>
        </w:rPr>
      </w:pP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为更好地满足广大投资者的理财需求，经与</w:t>
      </w:r>
      <w:r w:rsidR="00214055" w:rsidRPr="00214055">
        <w:rPr>
          <w:rFonts w:hint="eastAsia"/>
          <w:color w:val="000000"/>
          <w:sz w:val="24"/>
        </w:rPr>
        <w:t>国信证券股份有限公司</w:t>
      </w:r>
      <w:r w:rsidR="007E76C1" w:rsidRPr="007E76C1">
        <w:rPr>
          <w:rFonts w:ascii="宋体" w:hAnsi="宋体" w:hint="eastAsia"/>
          <w:sz w:val="24"/>
          <w:szCs w:val="24"/>
        </w:rPr>
        <w:t>（以下简称“</w:t>
      </w:r>
      <w:r w:rsidR="00214055">
        <w:rPr>
          <w:rFonts w:ascii="宋体" w:hAnsi="宋体" w:hint="eastAsia"/>
          <w:kern w:val="0"/>
          <w:sz w:val="24"/>
        </w:rPr>
        <w:t>国信证券</w:t>
      </w:r>
      <w:r w:rsidR="007E76C1" w:rsidRPr="007E76C1">
        <w:rPr>
          <w:rFonts w:ascii="宋体" w:hAnsi="宋体" w:hint="eastAsia"/>
          <w:sz w:val="24"/>
          <w:szCs w:val="24"/>
        </w:rPr>
        <w:t>”）</w:t>
      </w:r>
      <w:r w:rsidRPr="00082170">
        <w:rPr>
          <w:rFonts w:ascii="宋体" w:hAnsi="宋体" w:hint="eastAsia"/>
          <w:sz w:val="24"/>
          <w:szCs w:val="24"/>
        </w:rPr>
        <w:t>协商一致，根据有关法律法规及相关产品公告，汇丰晋信基金管理有限公司（以下简称“本公司”）决定自20</w:t>
      </w:r>
      <w:r w:rsidR="006C1054">
        <w:rPr>
          <w:rFonts w:ascii="宋体" w:hAnsi="宋体" w:hint="eastAsia"/>
          <w:sz w:val="24"/>
          <w:szCs w:val="24"/>
        </w:rPr>
        <w:t>2</w:t>
      </w:r>
      <w:r w:rsidR="000B005F">
        <w:rPr>
          <w:rFonts w:ascii="宋体" w:hAnsi="宋体"/>
          <w:sz w:val="24"/>
          <w:szCs w:val="24"/>
        </w:rPr>
        <w:t>3</w:t>
      </w:r>
      <w:r w:rsidRPr="00082170">
        <w:rPr>
          <w:rFonts w:ascii="宋体" w:hAnsi="宋体" w:hint="eastAsia"/>
          <w:sz w:val="24"/>
          <w:szCs w:val="24"/>
        </w:rPr>
        <w:t>年</w:t>
      </w:r>
      <w:r w:rsidR="00214055">
        <w:rPr>
          <w:rFonts w:ascii="宋体" w:hAnsi="宋体"/>
          <w:sz w:val="24"/>
          <w:szCs w:val="24"/>
        </w:rPr>
        <w:t>6</w:t>
      </w:r>
      <w:r w:rsidRPr="00082170">
        <w:rPr>
          <w:rFonts w:ascii="宋体" w:hAnsi="宋体" w:hint="eastAsia"/>
          <w:sz w:val="24"/>
          <w:szCs w:val="24"/>
        </w:rPr>
        <w:t>月</w:t>
      </w:r>
      <w:r w:rsidR="00214055">
        <w:rPr>
          <w:rFonts w:ascii="宋体" w:hAnsi="宋体"/>
          <w:sz w:val="24"/>
          <w:szCs w:val="24"/>
        </w:rPr>
        <w:t>16</w:t>
      </w:r>
      <w:r w:rsidRPr="00082170">
        <w:rPr>
          <w:rFonts w:ascii="宋体" w:hAnsi="宋体" w:hint="eastAsia"/>
          <w:sz w:val="24"/>
          <w:szCs w:val="24"/>
        </w:rPr>
        <w:t>日起调整本公司旗下开放式基金在</w:t>
      </w:r>
      <w:r w:rsidR="00214055">
        <w:rPr>
          <w:rFonts w:ascii="宋体" w:hAnsi="宋体" w:hint="eastAsia"/>
          <w:kern w:val="0"/>
          <w:sz w:val="24"/>
        </w:rPr>
        <w:t>国信证券</w:t>
      </w:r>
      <w:r w:rsidRPr="00082170">
        <w:rPr>
          <w:rFonts w:ascii="宋体" w:hAnsi="宋体" w:hint="eastAsia"/>
          <w:sz w:val="24"/>
          <w:szCs w:val="24"/>
        </w:rPr>
        <w:t>的交易限额。现将有关事宜公告如下：</w:t>
      </w:r>
    </w:p>
    <w:p w:rsidR="007F1355" w:rsidRPr="00082170" w:rsidRDefault="007F1355" w:rsidP="007F1355">
      <w:pPr>
        <w:spacing w:line="360" w:lineRule="auto"/>
        <w:ind w:firstLineChars="236" w:firstLine="566"/>
        <w:rPr>
          <w:rFonts w:ascii="宋体" w:hAnsi="宋体"/>
          <w:sz w:val="24"/>
          <w:szCs w:val="24"/>
        </w:rPr>
      </w:pP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一、</w:t>
      </w:r>
      <w:r w:rsidRPr="00082170">
        <w:rPr>
          <w:rFonts w:ascii="宋体" w:hAnsi="宋体" w:hint="eastAsia"/>
          <w:sz w:val="24"/>
          <w:szCs w:val="24"/>
        </w:rPr>
        <w:tab/>
        <w:t>适用基金范围</w:t>
      </w: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适用于通过</w:t>
      </w:r>
      <w:r w:rsidR="00214055">
        <w:rPr>
          <w:rFonts w:ascii="宋体" w:hAnsi="宋体" w:hint="eastAsia"/>
          <w:kern w:val="0"/>
          <w:sz w:val="24"/>
        </w:rPr>
        <w:t>国信证券</w:t>
      </w:r>
      <w:r w:rsidR="006E2268">
        <w:rPr>
          <w:rFonts w:hint="eastAsia"/>
          <w:color w:val="000000"/>
          <w:sz w:val="24"/>
        </w:rPr>
        <w:t>销售</w:t>
      </w:r>
      <w:r w:rsidRPr="00082170">
        <w:rPr>
          <w:rFonts w:ascii="宋体" w:hAnsi="宋体" w:hint="eastAsia"/>
          <w:sz w:val="24"/>
          <w:szCs w:val="24"/>
        </w:rPr>
        <w:t>的本公司旗下开放式基金（以下简称“上述基金”）。</w:t>
      </w:r>
    </w:p>
    <w:p w:rsidR="007F1355" w:rsidRPr="00082170" w:rsidRDefault="007F1355" w:rsidP="007F1355">
      <w:pPr>
        <w:spacing w:line="360" w:lineRule="auto"/>
        <w:ind w:firstLineChars="236" w:firstLine="566"/>
        <w:rPr>
          <w:rFonts w:ascii="宋体" w:hAnsi="宋体"/>
          <w:sz w:val="24"/>
          <w:szCs w:val="24"/>
        </w:rPr>
      </w:pPr>
    </w:p>
    <w:p w:rsidR="007F1355"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二、</w:t>
      </w:r>
      <w:r w:rsidRPr="00082170">
        <w:rPr>
          <w:rFonts w:ascii="宋体" w:hAnsi="宋体" w:hint="eastAsia"/>
          <w:sz w:val="24"/>
          <w:szCs w:val="24"/>
        </w:rPr>
        <w:tab/>
        <w:t>调整内容</w:t>
      </w:r>
    </w:p>
    <w:p w:rsidR="000D3EA9" w:rsidRDefault="000D3EA9" w:rsidP="000D3EA9">
      <w:pPr>
        <w:spacing w:line="360" w:lineRule="auto"/>
        <w:ind w:firstLineChars="236" w:firstLine="566"/>
        <w:rPr>
          <w:rFonts w:ascii="宋体" w:hAnsi="宋体"/>
          <w:sz w:val="24"/>
          <w:szCs w:val="24"/>
        </w:rPr>
      </w:pPr>
      <w:r w:rsidRPr="00082170">
        <w:rPr>
          <w:rFonts w:ascii="宋体" w:hAnsi="宋体" w:hint="eastAsia"/>
          <w:sz w:val="24"/>
          <w:szCs w:val="24"/>
        </w:rPr>
        <w:t>自20</w:t>
      </w:r>
      <w:r>
        <w:rPr>
          <w:rFonts w:ascii="宋体" w:hAnsi="宋体" w:hint="eastAsia"/>
          <w:sz w:val="24"/>
          <w:szCs w:val="24"/>
        </w:rPr>
        <w:t>2</w:t>
      </w:r>
      <w:r>
        <w:rPr>
          <w:rFonts w:ascii="宋体" w:hAnsi="宋体"/>
          <w:sz w:val="24"/>
          <w:szCs w:val="24"/>
        </w:rPr>
        <w:t>3</w:t>
      </w:r>
      <w:r w:rsidRPr="00082170">
        <w:rPr>
          <w:rFonts w:ascii="宋体" w:hAnsi="宋体" w:hint="eastAsia"/>
          <w:sz w:val="24"/>
          <w:szCs w:val="24"/>
        </w:rPr>
        <w:t>年</w:t>
      </w:r>
      <w:r w:rsidR="00214055">
        <w:rPr>
          <w:rFonts w:ascii="宋体" w:hAnsi="宋体"/>
          <w:sz w:val="24"/>
          <w:szCs w:val="24"/>
        </w:rPr>
        <w:t>6</w:t>
      </w:r>
      <w:r w:rsidRPr="00082170">
        <w:rPr>
          <w:rFonts w:ascii="宋体" w:hAnsi="宋体" w:hint="eastAsia"/>
          <w:sz w:val="24"/>
          <w:szCs w:val="24"/>
        </w:rPr>
        <w:t>月</w:t>
      </w:r>
      <w:r w:rsidR="00214055">
        <w:rPr>
          <w:rFonts w:ascii="宋体" w:hAnsi="宋体"/>
          <w:sz w:val="24"/>
          <w:szCs w:val="24"/>
        </w:rPr>
        <w:t>16</w:t>
      </w:r>
      <w:r w:rsidRPr="00082170">
        <w:rPr>
          <w:rFonts w:ascii="宋体" w:hAnsi="宋体" w:hint="eastAsia"/>
          <w:sz w:val="24"/>
          <w:szCs w:val="24"/>
        </w:rPr>
        <w:t>日起，投资者通过</w:t>
      </w:r>
      <w:r w:rsidR="00214055">
        <w:rPr>
          <w:rFonts w:ascii="宋体" w:hAnsi="宋体" w:hint="eastAsia"/>
          <w:kern w:val="0"/>
          <w:sz w:val="24"/>
        </w:rPr>
        <w:t>国信证券</w:t>
      </w:r>
      <w:r w:rsidRPr="00082170">
        <w:rPr>
          <w:rFonts w:ascii="宋体" w:hAnsi="宋体" w:hint="eastAsia"/>
          <w:sz w:val="24"/>
          <w:szCs w:val="24"/>
        </w:rPr>
        <w:t>申</w:t>
      </w:r>
      <w:r>
        <w:rPr>
          <w:rFonts w:ascii="宋体" w:hAnsi="宋体" w:hint="eastAsia"/>
          <w:sz w:val="24"/>
          <w:szCs w:val="24"/>
        </w:rPr>
        <w:t>（认）</w:t>
      </w:r>
      <w:r w:rsidRPr="00082170">
        <w:rPr>
          <w:rFonts w:ascii="宋体" w:hAnsi="宋体" w:hint="eastAsia"/>
          <w:sz w:val="24"/>
          <w:szCs w:val="24"/>
        </w:rPr>
        <w:t>购上述基金时，首次申</w:t>
      </w:r>
      <w:r>
        <w:rPr>
          <w:rFonts w:ascii="宋体" w:hAnsi="宋体" w:hint="eastAsia"/>
          <w:sz w:val="24"/>
          <w:szCs w:val="24"/>
        </w:rPr>
        <w:t>（认）</w:t>
      </w:r>
      <w:r w:rsidRPr="00082170">
        <w:rPr>
          <w:rFonts w:ascii="宋体" w:hAnsi="宋体" w:hint="eastAsia"/>
          <w:sz w:val="24"/>
          <w:szCs w:val="24"/>
        </w:rPr>
        <w:t>购最低金额调整为</w:t>
      </w:r>
      <w:r>
        <w:rPr>
          <w:rFonts w:ascii="宋体" w:hAnsi="宋体" w:hint="eastAsia"/>
          <w:sz w:val="24"/>
          <w:szCs w:val="24"/>
        </w:rPr>
        <w:t>1</w:t>
      </w:r>
      <w:r w:rsidR="00214055">
        <w:rPr>
          <w:rFonts w:ascii="宋体" w:hAnsi="宋体"/>
          <w:sz w:val="24"/>
          <w:szCs w:val="24"/>
        </w:rPr>
        <w:t>0</w:t>
      </w:r>
      <w:r w:rsidRPr="00082170">
        <w:rPr>
          <w:rFonts w:ascii="宋体" w:hAnsi="宋体" w:hint="eastAsia"/>
          <w:sz w:val="24"/>
          <w:szCs w:val="24"/>
        </w:rPr>
        <w:t>元，追加申</w:t>
      </w:r>
      <w:r>
        <w:rPr>
          <w:rFonts w:ascii="宋体" w:hAnsi="宋体" w:hint="eastAsia"/>
          <w:sz w:val="24"/>
          <w:szCs w:val="24"/>
        </w:rPr>
        <w:t>（认）</w:t>
      </w:r>
      <w:r w:rsidRPr="00082170">
        <w:rPr>
          <w:rFonts w:ascii="宋体" w:hAnsi="宋体" w:hint="eastAsia"/>
          <w:sz w:val="24"/>
          <w:szCs w:val="24"/>
        </w:rPr>
        <w:t>购每次最低金额调整为</w:t>
      </w:r>
      <w:r>
        <w:rPr>
          <w:rFonts w:ascii="宋体" w:hAnsi="宋体" w:hint="eastAsia"/>
          <w:sz w:val="24"/>
          <w:szCs w:val="24"/>
        </w:rPr>
        <w:t>1</w:t>
      </w:r>
      <w:r w:rsidR="00214055">
        <w:rPr>
          <w:rFonts w:ascii="宋体" w:hAnsi="宋体"/>
          <w:sz w:val="24"/>
          <w:szCs w:val="24"/>
        </w:rPr>
        <w:t>0</w:t>
      </w:r>
      <w:r w:rsidRPr="00082170">
        <w:rPr>
          <w:rFonts w:ascii="宋体" w:hAnsi="宋体" w:hint="eastAsia"/>
          <w:sz w:val="24"/>
          <w:szCs w:val="24"/>
        </w:rPr>
        <w:t>元。</w:t>
      </w:r>
    </w:p>
    <w:p w:rsidR="00214055" w:rsidRPr="00214055" w:rsidRDefault="00214055" w:rsidP="000D3EA9">
      <w:pPr>
        <w:spacing w:line="360" w:lineRule="auto"/>
        <w:ind w:firstLineChars="236" w:firstLine="566"/>
        <w:rPr>
          <w:rFonts w:ascii="宋体" w:hAnsi="宋体" w:hint="eastAsia"/>
          <w:sz w:val="24"/>
          <w:szCs w:val="24"/>
        </w:rPr>
      </w:pPr>
      <w:r w:rsidRPr="00214055">
        <w:rPr>
          <w:rFonts w:ascii="宋体" w:hAnsi="宋体" w:hint="eastAsia"/>
          <w:sz w:val="24"/>
          <w:szCs w:val="24"/>
        </w:rPr>
        <w:t>自202</w:t>
      </w:r>
      <w:r>
        <w:rPr>
          <w:rFonts w:ascii="宋体" w:hAnsi="宋体"/>
          <w:sz w:val="24"/>
          <w:szCs w:val="24"/>
        </w:rPr>
        <w:t>3</w:t>
      </w:r>
      <w:r w:rsidRPr="00214055">
        <w:rPr>
          <w:rFonts w:ascii="宋体" w:hAnsi="宋体" w:hint="eastAsia"/>
          <w:sz w:val="24"/>
          <w:szCs w:val="24"/>
        </w:rPr>
        <w:t>年6月</w:t>
      </w:r>
      <w:r>
        <w:rPr>
          <w:rFonts w:ascii="宋体" w:hAnsi="宋体" w:hint="eastAsia"/>
          <w:sz w:val="24"/>
          <w:szCs w:val="24"/>
        </w:rPr>
        <w:t>1</w:t>
      </w:r>
      <w:r>
        <w:rPr>
          <w:rFonts w:ascii="宋体" w:hAnsi="宋体"/>
          <w:sz w:val="24"/>
          <w:szCs w:val="24"/>
        </w:rPr>
        <w:t>6</w:t>
      </w:r>
      <w:r w:rsidRPr="00214055">
        <w:rPr>
          <w:rFonts w:ascii="宋体" w:hAnsi="宋体" w:hint="eastAsia"/>
          <w:sz w:val="24"/>
          <w:szCs w:val="24"/>
        </w:rPr>
        <w:t>日起，投资者通过</w:t>
      </w:r>
      <w:r>
        <w:rPr>
          <w:rFonts w:ascii="宋体" w:hAnsi="宋体" w:hint="eastAsia"/>
          <w:kern w:val="0"/>
          <w:sz w:val="24"/>
        </w:rPr>
        <w:t>国信证券</w:t>
      </w:r>
      <w:r w:rsidRPr="00214055">
        <w:rPr>
          <w:rFonts w:ascii="宋体" w:hAnsi="宋体" w:hint="eastAsia"/>
          <w:sz w:val="24"/>
          <w:szCs w:val="24"/>
        </w:rPr>
        <w:t>定期定额投资上述基金时，定期定额投资单笔最低金额调整为1</w:t>
      </w:r>
      <w:r w:rsidR="00F27C19">
        <w:rPr>
          <w:rFonts w:ascii="宋体" w:hAnsi="宋体"/>
          <w:sz w:val="24"/>
          <w:szCs w:val="24"/>
        </w:rPr>
        <w:t>00</w:t>
      </w:r>
      <w:r w:rsidRPr="00214055">
        <w:rPr>
          <w:rFonts w:ascii="宋体" w:hAnsi="宋体" w:hint="eastAsia"/>
          <w:sz w:val="24"/>
          <w:szCs w:val="24"/>
        </w:rPr>
        <w:t>元。</w:t>
      </w:r>
    </w:p>
    <w:p w:rsidR="000D3EA9" w:rsidRPr="006F143D" w:rsidRDefault="000D3EA9" w:rsidP="000D3EA9">
      <w:pPr>
        <w:spacing w:line="360" w:lineRule="auto"/>
        <w:ind w:firstLineChars="236" w:firstLine="566"/>
        <w:rPr>
          <w:rFonts w:ascii="宋体" w:hAnsi="宋体" w:hint="eastAsia"/>
          <w:sz w:val="24"/>
          <w:szCs w:val="24"/>
        </w:rPr>
      </w:pPr>
      <w:r w:rsidRPr="006F143D">
        <w:rPr>
          <w:rFonts w:ascii="宋体" w:hAnsi="宋体" w:hint="eastAsia"/>
          <w:sz w:val="24"/>
          <w:szCs w:val="24"/>
        </w:rPr>
        <w:t>自</w:t>
      </w:r>
      <w:r w:rsidRPr="00082170">
        <w:rPr>
          <w:rFonts w:ascii="宋体" w:hAnsi="宋体" w:hint="eastAsia"/>
          <w:sz w:val="24"/>
          <w:szCs w:val="24"/>
        </w:rPr>
        <w:t>20</w:t>
      </w:r>
      <w:r>
        <w:rPr>
          <w:rFonts w:ascii="宋体" w:hAnsi="宋体" w:hint="eastAsia"/>
          <w:sz w:val="24"/>
          <w:szCs w:val="24"/>
        </w:rPr>
        <w:t>2</w:t>
      </w:r>
      <w:r>
        <w:rPr>
          <w:rFonts w:ascii="宋体" w:hAnsi="宋体"/>
          <w:sz w:val="24"/>
          <w:szCs w:val="24"/>
        </w:rPr>
        <w:t>3</w:t>
      </w:r>
      <w:r w:rsidRPr="00082170">
        <w:rPr>
          <w:rFonts w:ascii="宋体" w:hAnsi="宋体" w:hint="eastAsia"/>
          <w:sz w:val="24"/>
          <w:szCs w:val="24"/>
        </w:rPr>
        <w:t>年</w:t>
      </w:r>
      <w:r w:rsidR="00214055">
        <w:rPr>
          <w:rFonts w:ascii="宋体" w:hAnsi="宋体"/>
          <w:sz w:val="24"/>
          <w:szCs w:val="24"/>
        </w:rPr>
        <w:t>6</w:t>
      </w:r>
      <w:r w:rsidRPr="00082170">
        <w:rPr>
          <w:rFonts w:ascii="宋体" w:hAnsi="宋体" w:hint="eastAsia"/>
          <w:sz w:val="24"/>
          <w:szCs w:val="24"/>
        </w:rPr>
        <w:t>月</w:t>
      </w:r>
      <w:r w:rsidR="00214055">
        <w:rPr>
          <w:rFonts w:ascii="宋体" w:hAnsi="宋体"/>
          <w:sz w:val="24"/>
          <w:szCs w:val="24"/>
        </w:rPr>
        <w:t>16</w:t>
      </w:r>
      <w:r w:rsidRPr="00082170">
        <w:rPr>
          <w:rFonts w:ascii="宋体" w:hAnsi="宋体" w:hint="eastAsia"/>
          <w:sz w:val="24"/>
          <w:szCs w:val="24"/>
        </w:rPr>
        <w:t>日</w:t>
      </w:r>
      <w:r w:rsidRPr="006F143D">
        <w:rPr>
          <w:rFonts w:ascii="宋体" w:hAnsi="宋体" w:hint="eastAsia"/>
          <w:sz w:val="24"/>
          <w:szCs w:val="24"/>
        </w:rPr>
        <w:t>起，投资者通过</w:t>
      </w:r>
      <w:r w:rsidR="00214055">
        <w:rPr>
          <w:rFonts w:ascii="宋体" w:hAnsi="宋体" w:hint="eastAsia"/>
          <w:kern w:val="0"/>
          <w:sz w:val="24"/>
        </w:rPr>
        <w:t>国信证券</w:t>
      </w:r>
      <w:r w:rsidRPr="006F143D">
        <w:rPr>
          <w:rFonts w:ascii="宋体" w:hAnsi="宋体" w:hint="eastAsia"/>
          <w:sz w:val="24"/>
          <w:szCs w:val="24"/>
        </w:rPr>
        <w:t>赎回上述基金时，最低赎回份额调整为1</w:t>
      </w:r>
      <w:r w:rsidR="00214055">
        <w:rPr>
          <w:rFonts w:ascii="宋体" w:hAnsi="宋体"/>
          <w:sz w:val="24"/>
          <w:szCs w:val="24"/>
        </w:rPr>
        <w:t>0</w:t>
      </w:r>
      <w:r w:rsidRPr="006F143D">
        <w:rPr>
          <w:rFonts w:ascii="宋体" w:hAnsi="宋体" w:hint="eastAsia"/>
          <w:sz w:val="24"/>
          <w:szCs w:val="24"/>
        </w:rPr>
        <w:t>份，每个交易账户的最低基金份额余额调整为</w:t>
      </w:r>
      <w:r>
        <w:rPr>
          <w:rFonts w:ascii="宋体" w:hAnsi="宋体"/>
          <w:sz w:val="24"/>
          <w:szCs w:val="24"/>
        </w:rPr>
        <w:t>1</w:t>
      </w:r>
      <w:r w:rsidR="00214055">
        <w:rPr>
          <w:rFonts w:ascii="宋体" w:hAnsi="宋体"/>
          <w:sz w:val="24"/>
          <w:szCs w:val="24"/>
        </w:rPr>
        <w:t>0</w:t>
      </w:r>
      <w:r w:rsidRPr="006F143D">
        <w:rPr>
          <w:rFonts w:ascii="宋体" w:hAnsi="宋体" w:hint="eastAsia"/>
          <w:sz w:val="24"/>
          <w:szCs w:val="24"/>
        </w:rPr>
        <w:t>份，基金份额持有人赎回时或赎回后将导致在</w:t>
      </w:r>
      <w:r w:rsidR="00214055">
        <w:rPr>
          <w:rFonts w:ascii="宋体" w:hAnsi="宋体" w:hint="eastAsia"/>
          <w:kern w:val="0"/>
          <w:sz w:val="24"/>
        </w:rPr>
        <w:t>国信证券</w:t>
      </w:r>
      <w:r w:rsidRPr="006F143D">
        <w:rPr>
          <w:rFonts w:ascii="宋体" w:hAnsi="宋体" w:hint="eastAsia"/>
          <w:sz w:val="24"/>
          <w:szCs w:val="24"/>
        </w:rPr>
        <w:t>保留的基金份额余额不足</w:t>
      </w:r>
      <w:r>
        <w:rPr>
          <w:rFonts w:ascii="宋体" w:hAnsi="宋体"/>
          <w:sz w:val="24"/>
          <w:szCs w:val="24"/>
        </w:rPr>
        <w:t>1</w:t>
      </w:r>
      <w:r w:rsidR="00214055">
        <w:rPr>
          <w:rFonts w:ascii="宋体" w:hAnsi="宋体"/>
          <w:sz w:val="24"/>
          <w:szCs w:val="24"/>
        </w:rPr>
        <w:t>0</w:t>
      </w:r>
      <w:r w:rsidRPr="006F143D">
        <w:rPr>
          <w:rFonts w:ascii="宋体" w:hAnsi="宋体" w:hint="eastAsia"/>
          <w:sz w:val="24"/>
          <w:szCs w:val="24"/>
        </w:rPr>
        <w:t>份的，需一次全部赎回。如因分红再投资、非交易过户、转托管、巨额赎回、转换等原因导致在</w:t>
      </w:r>
      <w:r w:rsidR="00214055">
        <w:rPr>
          <w:rFonts w:ascii="宋体" w:hAnsi="宋体" w:hint="eastAsia"/>
          <w:kern w:val="0"/>
          <w:sz w:val="24"/>
        </w:rPr>
        <w:t>国信证券</w:t>
      </w:r>
      <w:r w:rsidRPr="006F143D">
        <w:rPr>
          <w:rFonts w:ascii="宋体" w:hAnsi="宋体" w:hint="eastAsia"/>
          <w:sz w:val="24"/>
          <w:szCs w:val="24"/>
        </w:rPr>
        <w:t>的账户余额少于</w:t>
      </w:r>
      <w:r>
        <w:rPr>
          <w:rFonts w:ascii="宋体" w:hAnsi="宋体"/>
          <w:sz w:val="24"/>
          <w:szCs w:val="24"/>
        </w:rPr>
        <w:t>1</w:t>
      </w:r>
      <w:r w:rsidR="00214055">
        <w:rPr>
          <w:rFonts w:ascii="宋体" w:hAnsi="宋体"/>
          <w:sz w:val="24"/>
          <w:szCs w:val="24"/>
        </w:rPr>
        <w:t>0</w:t>
      </w:r>
      <w:r w:rsidRPr="006F143D">
        <w:rPr>
          <w:rFonts w:ascii="宋体" w:hAnsi="宋体" w:hint="eastAsia"/>
          <w:sz w:val="24"/>
          <w:szCs w:val="24"/>
        </w:rPr>
        <w:t>份的，不受此限，但再次赎回时必须一次性全部赎回。</w:t>
      </w:r>
    </w:p>
    <w:p w:rsidR="000D3EA9" w:rsidRDefault="000D3EA9" w:rsidP="000D3EA9">
      <w:pPr>
        <w:spacing w:line="360" w:lineRule="auto"/>
        <w:ind w:firstLineChars="236" w:firstLine="566"/>
        <w:rPr>
          <w:rFonts w:ascii="宋体" w:hAnsi="宋体" w:hint="eastAsia"/>
          <w:sz w:val="24"/>
          <w:szCs w:val="24"/>
        </w:rPr>
      </w:pPr>
      <w:r w:rsidRPr="006F143D">
        <w:rPr>
          <w:rFonts w:ascii="宋体" w:hAnsi="宋体" w:hint="eastAsia"/>
          <w:sz w:val="24"/>
          <w:szCs w:val="24"/>
        </w:rPr>
        <w:t>自</w:t>
      </w:r>
      <w:r w:rsidRPr="00082170">
        <w:rPr>
          <w:rFonts w:ascii="宋体" w:hAnsi="宋体" w:hint="eastAsia"/>
          <w:sz w:val="24"/>
          <w:szCs w:val="24"/>
        </w:rPr>
        <w:t>20</w:t>
      </w:r>
      <w:r>
        <w:rPr>
          <w:rFonts w:ascii="宋体" w:hAnsi="宋体" w:hint="eastAsia"/>
          <w:sz w:val="24"/>
          <w:szCs w:val="24"/>
        </w:rPr>
        <w:t>2</w:t>
      </w:r>
      <w:r>
        <w:rPr>
          <w:rFonts w:ascii="宋体" w:hAnsi="宋体"/>
          <w:sz w:val="24"/>
          <w:szCs w:val="24"/>
        </w:rPr>
        <w:t>3</w:t>
      </w:r>
      <w:r w:rsidRPr="00082170">
        <w:rPr>
          <w:rFonts w:ascii="宋体" w:hAnsi="宋体" w:hint="eastAsia"/>
          <w:sz w:val="24"/>
          <w:szCs w:val="24"/>
        </w:rPr>
        <w:t>年</w:t>
      </w:r>
      <w:r w:rsidR="00214055">
        <w:rPr>
          <w:rFonts w:ascii="宋体" w:hAnsi="宋体"/>
          <w:sz w:val="24"/>
          <w:szCs w:val="24"/>
        </w:rPr>
        <w:t>6</w:t>
      </w:r>
      <w:r w:rsidRPr="00082170">
        <w:rPr>
          <w:rFonts w:ascii="宋体" w:hAnsi="宋体" w:hint="eastAsia"/>
          <w:sz w:val="24"/>
          <w:szCs w:val="24"/>
        </w:rPr>
        <w:t>月</w:t>
      </w:r>
      <w:r w:rsidR="00214055">
        <w:rPr>
          <w:rFonts w:ascii="宋体" w:hAnsi="宋体"/>
          <w:sz w:val="24"/>
          <w:szCs w:val="24"/>
        </w:rPr>
        <w:t>16</w:t>
      </w:r>
      <w:r w:rsidRPr="00082170">
        <w:rPr>
          <w:rFonts w:ascii="宋体" w:hAnsi="宋体" w:hint="eastAsia"/>
          <w:sz w:val="24"/>
          <w:szCs w:val="24"/>
        </w:rPr>
        <w:t>日</w:t>
      </w:r>
      <w:r w:rsidRPr="006F143D">
        <w:rPr>
          <w:rFonts w:ascii="宋体" w:hAnsi="宋体" w:hint="eastAsia"/>
          <w:sz w:val="24"/>
          <w:szCs w:val="24"/>
        </w:rPr>
        <w:t>起，投资者通过</w:t>
      </w:r>
      <w:r w:rsidR="00214055">
        <w:rPr>
          <w:rFonts w:ascii="宋体" w:hAnsi="宋体" w:hint="eastAsia"/>
          <w:kern w:val="0"/>
          <w:sz w:val="24"/>
        </w:rPr>
        <w:t>国信证券</w:t>
      </w:r>
      <w:r w:rsidRPr="006F143D">
        <w:rPr>
          <w:rFonts w:ascii="宋体" w:hAnsi="宋体" w:hint="eastAsia"/>
          <w:sz w:val="24"/>
          <w:szCs w:val="24"/>
        </w:rPr>
        <w:t>进行基金转换的，基金转换的最低申请份额调整为1</w:t>
      </w:r>
      <w:r w:rsidR="00214055">
        <w:rPr>
          <w:rFonts w:ascii="宋体" w:hAnsi="宋体"/>
          <w:sz w:val="24"/>
          <w:szCs w:val="24"/>
        </w:rPr>
        <w:t>0</w:t>
      </w:r>
      <w:r w:rsidRPr="006F143D">
        <w:rPr>
          <w:rFonts w:ascii="宋体" w:hAnsi="宋体" w:hint="eastAsia"/>
          <w:sz w:val="24"/>
          <w:szCs w:val="24"/>
        </w:rPr>
        <w:t>份，每个交易账户的最低基金份额余额调整为</w:t>
      </w:r>
      <w:r>
        <w:rPr>
          <w:rFonts w:ascii="宋体" w:hAnsi="宋体"/>
          <w:sz w:val="24"/>
          <w:szCs w:val="24"/>
        </w:rPr>
        <w:t>1</w:t>
      </w:r>
      <w:r w:rsidR="00214055">
        <w:rPr>
          <w:rFonts w:ascii="宋体" w:hAnsi="宋体"/>
          <w:sz w:val="24"/>
          <w:szCs w:val="24"/>
        </w:rPr>
        <w:t>0</w:t>
      </w:r>
      <w:r w:rsidRPr="006F143D">
        <w:rPr>
          <w:rFonts w:ascii="宋体" w:hAnsi="宋体" w:hint="eastAsia"/>
          <w:sz w:val="24"/>
          <w:szCs w:val="24"/>
        </w:rPr>
        <w:t>份，如投资者办理基金转换转出后导致该基金份额不足</w:t>
      </w:r>
      <w:r>
        <w:rPr>
          <w:rFonts w:ascii="宋体" w:hAnsi="宋体"/>
          <w:sz w:val="24"/>
          <w:szCs w:val="24"/>
        </w:rPr>
        <w:t>1</w:t>
      </w:r>
      <w:r w:rsidR="00214055">
        <w:rPr>
          <w:rFonts w:ascii="宋体" w:hAnsi="宋体"/>
          <w:sz w:val="24"/>
          <w:szCs w:val="24"/>
        </w:rPr>
        <w:t>0</w:t>
      </w:r>
      <w:r w:rsidRPr="006F143D">
        <w:rPr>
          <w:rFonts w:ascii="宋体" w:hAnsi="宋体" w:hint="eastAsia"/>
          <w:sz w:val="24"/>
          <w:szCs w:val="24"/>
        </w:rPr>
        <w:t>份时，下次需一次性全额转出。</w:t>
      </w:r>
    </w:p>
    <w:p w:rsidR="000D3EA9" w:rsidRPr="00082170" w:rsidRDefault="000D3EA9" w:rsidP="000D3EA9">
      <w:pPr>
        <w:spacing w:line="360" w:lineRule="auto"/>
        <w:ind w:firstLineChars="236" w:firstLine="566"/>
        <w:rPr>
          <w:rFonts w:ascii="宋体" w:hAnsi="宋体"/>
          <w:sz w:val="24"/>
          <w:szCs w:val="24"/>
        </w:rPr>
      </w:pPr>
      <w:r w:rsidRPr="00082170">
        <w:rPr>
          <w:rFonts w:ascii="宋体" w:hAnsi="宋体" w:hint="eastAsia"/>
          <w:sz w:val="24"/>
          <w:szCs w:val="24"/>
        </w:rPr>
        <w:t>如本公司新增通过</w:t>
      </w:r>
      <w:r w:rsidR="00F27C19">
        <w:rPr>
          <w:rFonts w:ascii="宋体" w:hAnsi="宋体" w:hint="eastAsia"/>
          <w:kern w:val="0"/>
          <w:sz w:val="24"/>
        </w:rPr>
        <w:t>国信证券</w:t>
      </w:r>
      <w:r w:rsidRPr="00082170">
        <w:rPr>
          <w:rFonts w:ascii="宋体" w:hAnsi="宋体" w:hint="eastAsia"/>
          <w:sz w:val="24"/>
          <w:szCs w:val="24"/>
        </w:rPr>
        <w:t>代销的开放式基金产品，则自该基金产品</w:t>
      </w:r>
      <w:r>
        <w:rPr>
          <w:rFonts w:ascii="宋体" w:hAnsi="宋体" w:hint="eastAsia"/>
          <w:sz w:val="24"/>
          <w:szCs w:val="24"/>
        </w:rPr>
        <w:t>开放</w:t>
      </w:r>
      <w:r>
        <w:rPr>
          <w:rFonts w:ascii="宋体" w:hAnsi="宋体" w:hint="eastAsia"/>
          <w:sz w:val="24"/>
          <w:szCs w:val="24"/>
        </w:rPr>
        <w:lastRenderedPageBreak/>
        <w:t>（认）</w:t>
      </w:r>
      <w:r w:rsidRPr="00082170">
        <w:rPr>
          <w:rFonts w:ascii="宋体" w:hAnsi="宋体" w:hint="eastAsia"/>
          <w:sz w:val="24"/>
          <w:szCs w:val="24"/>
        </w:rPr>
        <w:t>申购</w:t>
      </w:r>
      <w:r>
        <w:rPr>
          <w:rFonts w:ascii="宋体" w:hAnsi="宋体" w:hint="eastAsia"/>
          <w:sz w:val="24"/>
          <w:szCs w:val="24"/>
        </w:rPr>
        <w:t>、赎回、</w:t>
      </w:r>
      <w:r w:rsidRPr="00082170">
        <w:rPr>
          <w:rFonts w:ascii="宋体" w:hAnsi="宋体" w:hint="eastAsia"/>
          <w:sz w:val="24"/>
          <w:szCs w:val="24"/>
        </w:rPr>
        <w:t>开通定期定额投资业务</w:t>
      </w:r>
      <w:r w:rsidRPr="001F15F6">
        <w:rPr>
          <w:rFonts w:ascii="宋体" w:hAnsi="宋体" w:hint="eastAsia"/>
          <w:sz w:val="24"/>
          <w:szCs w:val="24"/>
        </w:rPr>
        <w:t>或转换业务</w:t>
      </w:r>
      <w:r w:rsidRPr="00082170">
        <w:rPr>
          <w:rFonts w:ascii="宋体" w:hAnsi="宋体" w:hint="eastAsia"/>
          <w:sz w:val="24"/>
          <w:szCs w:val="24"/>
        </w:rPr>
        <w:t>当日起，将同时按前述标准调整交易限额。</w:t>
      </w:r>
    </w:p>
    <w:p w:rsidR="000D3EA9" w:rsidRPr="00082170" w:rsidRDefault="000D3EA9" w:rsidP="000D3EA9">
      <w:pPr>
        <w:spacing w:line="360" w:lineRule="auto"/>
        <w:ind w:firstLineChars="200" w:firstLine="480"/>
        <w:rPr>
          <w:rFonts w:ascii="宋体" w:hAnsi="宋体"/>
          <w:sz w:val="24"/>
          <w:szCs w:val="24"/>
        </w:rPr>
      </w:pPr>
      <w:r w:rsidRPr="00082170">
        <w:rPr>
          <w:rFonts w:ascii="宋体" w:hAnsi="宋体" w:hint="eastAsia"/>
          <w:sz w:val="24"/>
          <w:szCs w:val="24"/>
        </w:rPr>
        <w:t>原交易限额低于上述交易限额的，不再调整。</w:t>
      </w:r>
    </w:p>
    <w:p w:rsidR="007F1355" w:rsidRPr="000D3EA9" w:rsidRDefault="007F1355" w:rsidP="007F1355">
      <w:pPr>
        <w:spacing w:line="360" w:lineRule="auto"/>
        <w:ind w:firstLineChars="236" w:firstLine="566"/>
        <w:rPr>
          <w:rFonts w:ascii="宋体" w:hAnsi="宋体"/>
          <w:sz w:val="24"/>
          <w:szCs w:val="24"/>
        </w:rPr>
      </w:pPr>
    </w:p>
    <w:p w:rsidR="007F1355" w:rsidRPr="00082170" w:rsidRDefault="007F1355" w:rsidP="007F1355">
      <w:pPr>
        <w:spacing w:line="360" w:lineRule="auto"/>
        <w:ind w:firstLineChars="236" w:firstLine="566"/>
        <w:rPr>
          <w:rFonts w:ascii="宋体" w:hAnsi="宋体"/>
          <w:sz w:val="24"/>
          <w:szCs w:val="24"/>
        </w:rPr>
      </w:pP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三、</w:t>
      </w:r>
      <w:r w:rsidRPr="00082170">
        <w:rPr>
          <w:rFonts w:ascii="宋体" w:hAnsi="宋体" w:hint="eastAsia"/>
          <w:sz w:val="24"/>
          <w:szCs w:val="24"/>
        </w:rPr>
        <w:tab/>
        <w:t>其他需要提示的事项</w:t>
      </w: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本公告仅对本公司旗下开放式基金在</w:t>
      </w:r>
      <w:r w:rsidR="00F27C19">
        <w:rPr>
          <w:rFonts w:ascii="宋体" w:hAnsi="宋体" w:hint="eastAsia"/>
          <w:kern w:val="0"/>
          <w:sz w:val="24"/>
        </w:rPr>
        <w:t>国信证券</w:t>
      </w:r>
      <w:r w:rsidRPr="00082170">
        <w:rPr>
          <w:rFonts w:ascii="宋体" w:hAnsi="宋体" w:hint="eastAsia"/>
          <w:sz w:val="24"/>
          <w:szCs w:val="24"/>
        </w:rPr>
        <w:t>的交易限额调整事宜予以说明。投资者欲了解基金的详细情况，请仔细阅读基金合同、最新的招募说明书等相关基金法律文件。</w:t>
      </w: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具体交易规则请遵循</w:t>
      </w:r>
      <w:r w:rsidR="00F27C19">
        <w:rPr>
          <w:rFonts w:ascii="宋体" w:hAnsi="宋体" w:hint="eastAsia"/>
          <w:kern w:val="0"/>
          <w:sz w:val="24"/>
        </w:rPr>
        <w:t>国信证券</w:t>
      </w:r>
      <w:r w:rsidRPr="00082170">
        <w:rPr>
          <w:rFonts w:ascii="宋体" w:hAnsi="宋体" w:hint="eastAsia"/>
          <w:sz w:val="24"/>
          <w:szCs w:val="24"/>
        </w:rPr>
        <w:t>的规则执行。</w:t>
      </w:r>
    </w:p>
    <w:p w:rsidR="007F1355" w:rsidRPr="00082170" w:rsidRDefault="007F1355" w:rsidP="007F1355">
      <w:pPr>
        <w:spacing w:line="360" w:lineRule="auto"/>
        <w:ind w:firstLineChars="236" w:firstLine="566"/>
        <w:rPr>
          <w:rFonts w:ascii="宋体" w:hAnsi="宋体"/>
          <w:sz w:val="24"/>
          <w:szCs w:val="24"/>
        </w:rPr>
      </w:pP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四、</w:t>
      </w:r>
      <w:r w:rsidRPr="00082170">
        <w:rPr>
          <w:rFonts w:ascii="宋体" w:hAnsi="宋体" w:hint="eastAsia"/>
          <w:sz w:val="24"/>
          <w:szCs w:val="24"/>
        </w:rPr>
        <w:tab/>
        <w:t>投资者可通过以下途径咨询详情</w:t>
      </w:r>
    </w:p>
    <w:p w:rsidR="00AF027C" w:rsidRPr="00AF027C" w:rsidRDefault="00AF027C" w:rsidP="00AF027C">
      <w:pPr>
        <w:spacing w:line="360" w:lineRule="auto"/>
        <w:ind w:firstLineChars="236" w:firstLine="566"/>
        <w:rPr>
          <w:rFonts w:ascii="宋体" w:hAnsi="宋体" w:hint="eastAsia"/>
          <w:sz w:val="24"/>
          <w:szCs w:val="24"/>
        </w:rPr>
      </w:pPr>
      <w:r w:rsidRPr="00AF027C">
        <w:rPr>
          <w:rFonts w:ascii="宋体" w:hAnsi="宋体" w:hint="eastAsia"/>
          <w:sz w:val="24"/>
          <w:szCs w:val="24"/>
        </w:rPr>
        <w:t>汇丰晋信基金管理有限公司</w:t>
      </w:r>
    </w:p>
    <w:p w:rsidR="00AF027C" w:rsidRPr="00AF027C" w:rsidRDefault="00AF027C" w:rsidP="00AF027C">
      <w:pPr>
        <w:spacing w:line="360" w:lineRule="auto"/>
        <w:ind w:firstLineChars="236" w:firstLine="566"/>
        <w:rPr>
          <w:rFonts w:ascii="宋体" w:hAnsi="宋体" w:hint="eastAsia"/>
          <w:sz w:val="24"/>
          <w:szCs w:val="24"/>
        </w:rPr>
      </w:pPr>
      <w:r w:rsidRPr="00AF027C">
        <w:rPr>
          <w:rFonts w:ascii="宋体" w:hAnsi="宋体" w:hint="eastAsia"/>
          <w:sz w:val="24"/>
          <w:szCs w:val="24"/>
        </w:rPr>
        <w:t>公司网站：www.hsbcjt.cn</w:t>
      </w:r>
    </w:p>
    <w:p w:rsidR="007F1355" w:rsidRDefault="00AF027C" w:rsidP="00AF027C">
      <w:pPr>
        <w:spacing w:line="360" w:lineRule="auto"/>
        <w:ind w:firstLineChars="236" w:firstLine="566"/>
        <w:rPr>
          <w:rFonts w:ascii="宋体" w:hAnsi="宋体"/>
          <w:sz w:val="24"/>
          <w:szCs w:val="24"/>
        </w:rPr>
      </w:pPr>
      <w:r w:rsidRPr="00AF027C">
        <w:rPr>
          <w:rFonts w:ascii="宋体" w:hAnsi="宋体" w:hint="eastAsia"/>
          <w:sz w:val="24"/>
          <w:szCs w:val="24"/>
        </w:rPr>
        <w:t>客户服务电话：021-20376888</w:t>
      </w:r>
    </w:p>
    <w:p w:rsidR="00AF027C" w:rsidRPr="00082170" w:rsidRDefault="00AF027C" w:rsidP="00AF027C">
      <w:pPr>
        <w:spacing w:line="360" w:lineRule="auto"/>
        <w:ind w:firstLineChars="236" w:firstLine="566"/>
        <w:rPr>
          <w:rFonts w:ascii="宋体" w:hAnsi="宋体"/>
          <w:sz w:val="24"/>
          <w:szCs w:val="24"/>
        </w:rPr>
      </w:pPr>
    </w:p>
    <w:p w:rsidR="00F27C19" w:rsidRPr="00F27C19" w:rsidRDefault="00F27C19" w:rsidP="00F27C19">
      <w:pPr>
        <w:spacing w:line="360" w:lineRule="auto"/>
        <w:ind w:firstLineChars="236" w:firstLine="566"/>
        <w:rPr>
          <w:rFonts w:hint="eastAsia"/>
          <w:color w:val="000000"/>
          <w:sz w:val="24"/>
        </w:rPr>
      </w:pPr>
      <w:r w:rsidRPr="00F27C19">
        <w:rPr>
          <w:rFonts w:hint="eastAsia"/>
          <w:color w:val="000000"/>
          <w:sz w:val="24"/>
        </w:rPr>
        <w:t>国信证券股份有限公司</w:t>
      </w:r>
    </w:p>
    <w:p w:rsidR="00F27C19" w:rsidRPr="00F27C19" w:rsidRDefault="00F27C19" w:rsidP="00F27C19">
      <w:pPr>
        <w:spacing w:line="360" w:lineRule="auto"/>
        <w:ind w:firstLineChars="236" w:firstLine="566"/>
        <w:rPr>
          <w:rFonts w:hint="eastAsia"/>
          <w:color w:val="000000"/>
          <w:sz w:val="24"/>
        </w:rPr>
      </w:pPr>
      <w:r w:rsidRPr="00F27C19">
        <w:rPr>
          <w:rFonts w:hint="eastAsia"/>
          <w:color w:val="000000"/>
          <w:sz w:val="24"/>
        </w:rPr>
        <w:t>公司网站：</w:t>
      </w:r>
      <w:r w:rsidRPr="00F27C19">
        <w:rPr>
          <w:rFonts w:hint="eastAsia"/>
          <w:color w:val="000000"/>
          <w:sz w:val="24"/>
        </w:rPr>
        <w:t>www.guosen.com.cn</w:t>
      </w:r>
    </w:p>
    <w:p w:rsidR="008C7F56" w:rsidRDefault="00F27C19" w:rsidP="00F27C19">
      <w:pPr>
        <w:spacing w:line="360" w:lineRule="auto"/>
        <w:ind w:firstLineChars="236" w:firstLine="566"/>
        <w:rPr>
          <w:color w:val="000000"/>
          <w:sz w:val="24"/>
        </w:rPr>
      </w:pPr>
      <w:r w:rsidRPr="00F27C19">
        <w:rPr>
          <w:rFonts w:hint="eastAsia"/>
          <w:color w:val="000000"/>
          <w:sz w:val="24"/>
        </w:rPr>
        <w:t>客服电话：</w:t>
      </w:r>
      <w:r w:rsidRPr="00F27C19">
        <w:rPr>
          <w:rFonts w:hint="eastAsia"/>
          <w:color w:val="000000"/>
          <w:sz w:val="24"/>
        </w:rPr>
        <w:t>95536</w:t>
      </w:r>
    </w:p>
    <w:p w:rsidR="00F27C19" w:rsidRPr="00082170" w:rsidRDefault="00F27C19" w:rsidP="00F27C19">
      <w:pPr>
        <w:spacing w:line="360" w:lineRule="auto"/>
        <w:ind w:firstLineChars="236" w:firstLine="566"/>
        <w:rPr>
          <w:rFonts w:ascii="宋体" w:hAnsi="宋体"/>
          <w:sz w:val="24"/>
          <w:szCs w:val="24"/>
        </w:rPr>
      </w:pP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五、</w:t>
      </w:r>
      <w:r w:rsidRPr="00082170">
        <w:rPr>
          <w:rFonts w:ascii="宋体" w:hAnsi="宋体" w:hint="eastAsia"/>
          <w:sz w:val="24"/>
          <w:szCs w:val="24"/>
        </w:rPr>
        <w:tab/>
        <w:t>风险提示：</w:t>
      </w: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1）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w:t>
      </w:r>
      <w:r w:rsidR="007E76C1">
        <w:rPr>
          <w:rFonts w:ascii="宋体" w:hAnsi="宋体" w:hint="eastAsia"/>
          <w:sz w:val="24"/>
          <w:szCs w:val="24"/>
        </w:rPr>
        <w:t>、《产品资料概要》</w:t>
      </w:r>
      <w:r w:rsidRPr="00082170">
        <w:rPr>
          <w:rFonts w:ascii="宋体" w:hAnsi="宋体" w:hint="eastAsia"/>
          <w:sz w:val="24"/>
          <w:szCs w:val="24"/>
        </w:rPr>
        <w:t>等基金法律文件，了解基金的风险收益特征，并根据自身的风险承受能力选择适合自己的基金产品。基金管理人提醒投资者基金投资的“买者自负”原则，在做出投资决策后，基金运营状况与基金净值变化引致的投资风险，由投资者自行负担。敬请投资者在购买基金前认真考虑、谨慎决策。</w:t>
      </w: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lastRenderedPageBreak/>
        <w:t>（2）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7F1355" w:rsidRPr="00082170" w:rsidRDefault="007F1355" w:rsidP="007F1355">
      <w:pPr>
        <w:spacing w:line="360" w:lineRule="auto"/>
        <w:ind w:firstLineChars="236" w:firstLine="566"/>
        <w:rPr>
          <w:rFonts w:ascii="宋体" w:hAnsi="宋体"/>
          <w:sz w:val="24"/>
          <w:szCs w:val="24"/>
        </w:rPr>
      </w:pPr>
    </w:p>
    <w:p w:rsidR="007F1355" w:rsidRPr="00082170" w:rsidRDefault="007F1355" w:rsidP="007F1355">
      <w:pPr>
        <w:spacing w:line="360" w:lineRule="auto"/>
        <w:ind w:firstLineChars="236" w:firstLine="566"/>
        <w:rPr>
          <w:rFonts w:ascii="宋体" w:hAnsi="宋体"/>
          <w:sz w:val="24"/>
          <w:szCs w:val="24"/>
        </w:rPr>
      </w:pPr>
      <w:r w:rsidRPr="00082170">
        <w:rPr>
          <w:rFonts w:ascii="宋体" w:hAnsi="宋体" w:hint="eastAsia"/>
          <w:sz w:val="24"/>
          <w:szCs w:val="24"/>
        </w:rPr>
        <w:t>特此公告。</w:t>
      </w:r>
    </w:p>
    <w:p w:rsidR="007F1355" w:rsidRPr="00082170" w:rsidRDefault="007F1355" w:rsidP="007F1355">
      <w:pPr>
        <w:spacing w:line="360" w:lineRule="auto"/>
        <w:ind w:firstLineChars="236" w:firstLine="566"/>
        <w:rPr>
          <w:rFonts w:ascii="宋体" w:hAnsi="宋体"/>
          <w:sz w:val="24"/>
          <w:szCs w:val="24"/>
        </w:rPr>
      </w:pPr>
    </w:p>
    <w:p w:rsidR="007F1355" w:rsidRPr="00082170" w:rsidRDefault="007F1355" w:rsidP="007F1355">
      <w:pPr>
        <w:spacing w:line="360" w:lineRule="auto"/>
        <w:ind w:firstLineChars="236" w:firstLine="566"/>
        <w:jc w:val="right"/>
        <w:rPr>
          <w:rFonts w:ascii="宋体" w:hAnsi="宋体"/>
          <w:sz w:val="24"/>
          <w:szCs w:val="24"/>
        </w:rPr>
      </w:pPr>
      <w:r w:rsidRPr="00082170">
        <w:rPr>
          <w:rFonts w:ascii="宋体" w:hAnsi="宋体" w:hint="eastAsia"/>
          <w:sz w:val="24"/>
          <w:szCs w:val="24"/>
        </w:rPr>
        <w:t xml:space="preserve">  汇丰晋信基金管理有限公司        </w:t>
      </w:r>
    </w:p>
    <w:p w:rsidR="003A6C55" w:rsidRPr="00082170" w:rsidRDefault="007F1355" w:rsidP="007F1355">
      <w:pPr>
        <w:spacing w:line="360" w:lineRule="auto"/>
        <w:ind w:firstLineChars="236" w:firstLine="566"/>
        <w:jc w:val="right"/>
        <w:rPr>
          <w:rFonts w:ascii="宋体" w:hAnsi="宋体"/>
          <w:sz w:val="24"/>
          <w:szCs w:val="24"/>
        </w:rPr>
      </w:pPr>
      <w:r w:rsidRPr="00082170">
        <w:rPr>
          <w:rFonts w:ascii="宋体" w:hAnsi="宋体" w:hint="eastAsia"/>
          <w:sz w:val="24"/>
          <w:szCs w:val="24"/>
        </w:rPr>
        <w:t>20</w:t>
      </w:r>
      <w:r w:rsidR="00750DA4">
        <w:rPr>
          <w:rFonts w:ascii="宋体" w:hAnsi="宋体" w:hint="eastAsia"/>
          <w:sz w:val="24"/>
          <w:szCs w:val="24"/>
        </w:rPr>
        <w:t>2</w:t>
      </w:r>
      <w:r w:rsidR="000B005F">
        <w:rPr>
          <w:rFonts w:ascii="宋体" w:hAnsi="宋体"/>
          <w:sz w:val="24"/>
          <w:szCs w:val="24"/>
        </w:rPr>
        <w:t>3</w:t>
      </w:r>
      <w:r w:rsidRPr="00082170">
        <w:rPr>
          <w:rFonts w:ascii="宋体" w:hAnsi="宋体" w:hint="eastAsia"/>
          <w:sz w:val="24"/>
          <w:szCs w:val="24"/>
        </w:rPr>
        <w:t>年</w:t>
      </w:r>
      <w:r w:rsidR="00F27C19">
        <w:rPr>
          <w:rFonts w:ascii="宋体" w:hAnsi="宋体"/>
          <w:sz w:val="24"/>
          <w:szCs w:val="24"/>
        </w:rPr>
        <w:t>6</w:t>
      </w:r>
      <w:r w:rsidRPr="00082170">
        <w:rPr>
          <w:rFonts w:ascii="宋体" w:hAnsi="宋体" w:hint="eastAsia"/>
          <w:sz w:val="24"/>
          <w:szCs w:val="24"/>
        </w:rPr>
        <w:t>月</w:t>
      </w:r>
      <w:r w:rsidR="00F27C19">
        <w:rPr>
          <w:rFonts w:ascii="宋体" w:hAnsi="宋体"/>
          <w:sz w:val="24"/>
          <w:szCs w:val="24"/>
        </w:rPr>
        <w:t>16</w:t>
      </w:r>
      <w:r w:rsidRPr="00082170">
        <w:rPr>
          <w:rFonts w:ascii="宋体" w:hAnsi="宋体" w:hint="eastAsia"/>
          <w:sz w:val="24"/>
          <w:szCs w:val="24"/>
        </w:rPr>
        <w:t>日</w:t>
      </w:r>
    </w:p>
    <w:sectPr w:rsidR="003A6C55" w:rsidRPr="0008217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6C5" w:rsidRDefault="00B326C5" w:rsidP="00082170">
      <w:r>
        <w:separator/>
      </w:r>
    </w:p>
  </w:endnote>
  <w:endnote w:type="continuationSeparator" w:id="0">
    <w:p w:rsidR="00B326C5" w:rsidRDefault="00B326C5" w:rsidP="000821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437" w:rsidRDefault="00133437">
    <w:pPr>
      <w:pStyle w:val="a4"/>
    </w:pPr>
    <w:r>
      <w:rPr>
        <w:noProof/>
      </w:rPr>
      <w:pict>
        <v:shapetype id="_x0000_t202" coordsize="21600,21600" o:spt="202" path="m,l,21600r21600,l21600,xe">
          <v:stroke joinstyle="miter"/>
          <v:path gradientshapeok="t" o:connecttype="rect"/>
        </v:shapetype>
        <v:shape id="MSIPCMad4f48f18a0745738005dd9d" o:spid="_x0000_s2049" type="#_x0000_t202" alt="{&quot;HashCode&quot;:-805422396,&quot;Height&quot;:841.0,&quot;Width&quot;:595.0,&quot;Placement&quot;:&quot;Footer&quot;,&quot;Index&quot;:&quot;Primary&quot;,&quot;Section&quot;:1,&quot;Top&quot;:0.0,&quot;Left&quot;:0.0}" style="position:absolute;margin-left:0;margin-top:805.35pt;width:595.3pt;height:21.55pt;z-index:251657728;mso-position-horizontal-relative:page;mso-position-vertical-relative:page;v-text-anchor:bottom" o:allowincell="f" filled="f" stroked="f">
          <v:textbox inset=",0,,0">
            <w:txbxContent>
              <w:p w:rsidR="00133437" w:rsidRPr="00133437" w:rsidRDefault="00133437" w:rsidP="00133437">
                <w:pPr>
                  <w:jc w:val="center"/>
                  <w:rPr>
                    <w:rFonts w:cs="Calibri"/>
                    <w:color w:val="000000"/>
                    <w:sz w:val="20"/>
                  </w:rPr>
                </w:pPr>
                <w:r w:rsidRPr="00133437">
                  <w:rPr>
                    <w:rFonts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6C5" w:rsidRDefault="00B326C5" w:rsidP="00082170">
      <w:r>
        <w:separator/>
      </w:r>
    </w:p>
  </w:footnote>
  <w:footnote w:type="continuationSeparator" w:id="0">
    <w:p w:rsidR="00B326C5" w:rsidRDefault="00B326C5" w:rsidP="000821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1355"/>
    <w:rsid w:val="00082170"/>
    <w:rsid w:val="000A6574"/>
    <w:rsid w:val="000B005F"/>
    <w:rsid w:val="000D3EA9"/>
    <w:rsid w:val="000E1762"/>
    <w:rsid w:val="00131E9F"/>
    <w:rsid w:val="00133437"/>
    <w:rsid w:val="0020579A"/>
    <w:rsid w:val="00214055"/>
    <w:rsid w:val="00220097"/>
    <w:rsid w:val="00270015"/>
    <w:rsid w:val="002B2A69"/>
    <w:rsid w:val="002C0C8A"/>
    <w:rsid w:val="002E6479"/>
    <w:rsid w:val="002F28B8"/>
    <w:rsid w:val="00336466"/>
    <w:rsid w:val="003A6C55"/>
    <w:rsid w:val="003E40B7"/>
    <w:rsid w:val="003F62AA"/>
    <w:rsid w:val="004116A6"/>
    <w:rsid w:val="005131BA"/>
    <w:rsid w:val="00521341"/>
    <w:rsid w:val="0052239C"/>
    <w:rsid w:val="00531EA3"/>
    <w:rsid w:val="00556B94"/>
    <w:rsid w:val="0057498C"/>
    <w:rsid w:val="00595AB7"/>
    <w:rsid w:val="005A734F"/>
    <w:rsid w:val="005B344B"/>
    <w:rsid w:val="006332AA"/>
    <w:rsid w:val="00662915"/>
    <w:rsid w:val="006B2400"/>
    <w:rsid w:val="006B2F16"/>
    <w:rsid w:val="006C1054"/>
    <w:rsid w:val="006D0AD6"/>
    <w:rsid w:val="006E2268"/>
    <w:rsid w:val="006F77DD"/>
    <w:rsid w:val="00731545"/>
    <w:rsid w:val="00750DA4"/>
    <w:rsid w:val="0075336C"/>
    <w:rsid w:val="007853FB"/>
    <w:rsid w:val="007B1932"/>
    <w:rsid w:val="007E76C1"/>
    <w:rsid w:val="007F1355"/>
    <w:rsid w:val="008271D7"/>
    <w:rsid w:val="00876236"/>
    <w:rsid w:val="008C7F56"/>
    <w:rsid w:val="00922332"/>
    <w:rsid w:val="00964E4B"/>
    <w:rsid w:val="00980EDE"/>
    <w:rsid w:val="009C3EAD"/>
    <w:rsid w:val="009D34C9"/>
    <w:rsid w:val="009F0CF4"/>
    <w:rsid w:val="00A6280C"/>
    <w:rsid w:val="00A901F6"/>
    <w:rsid w:val="00AD1BF5"/>
    <w:rsid w:val="00AD5958"/>
    <w:rsid w:val="00AF027C"/>
    <w:rsid w:val="00AF64BC"/>
    <w:rsid w:val="00B06364"/>
    <w:rsid w:val="00B326C5"/>
    <w:rsid w:val="00B51A4C"/>
    <w:rsid w:val="00B6745B"/>
    <w:rsid w:val="00B8175A"/>
    <w:rsid w:val="00B95537"/>
    <w:rsid w:val="00C20C1B"/>
    <w:rsid w:val="00C7249C"/>
    <w:rsid w:val="00CB0B9B"/>
    <w:rsid w:val="00D97956"/>
    <w:rsid w:val="00DE737E"/>
    <w:rsid w:val="00E21A5E"/>
    <w:rsid w:val="00E22F39"/>
    <w:rsid w:val="00E3630D"/>
    <w:rsid w:val="00E42A00"/>
    <w:rsid w:val="00E52784"/>
    <w:rsid w:val="00EB3FDE"/>
    <w:rsid w:val="00F27C19"/>
    <w:rsid w:val="00F5167F"/>
    <w:rsid w:val="00F6614F"/>
    <w:rsid w:val="00F72CC5"/>
    <w:rsid w:val="00FC3547"/>
    <w:rsid w:val="00FE5755"/>
    <w:rsid w:val="00FF5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217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82170"/>
    <w:rPr>
      <w:sz w:val="18"/>
      <w:szCs w:val="18"/>
    </w:rPr>
  </w:style>
  <w:style w:type="paragraph" w:styleId="a4">
    <w:name w:val="footer"/>
    <w:basedOn w:val="a"/>
    <w:link w:val="Char0"/>
    <w:uiPriority w:val="99"/>
    <w:unhideWhenUsed/>
    <w:rsid w:val="00082170"/>
    <w:pPr>
      <w:tabs>
        <w:tab w:val="center" w:pos="4153"/>
        <w:tab w:val="right" w:pos="8306"/>
      </w:tabs>
      <w:snapToGrid w:val="0"/>
      <w:jc w:val="left"/>
    </w:pPr>
    <w:rPr>
      <w:sz w:val="18"/>
      <w:szCs w:val="18"/>
    </w:rPr>
  </w:style>
  <w:style w:type="character" w:customStyle="1" w:styleId="Char0">
    <w:name w:val="页脚 Char"/>
    <w:link w:val="a4"/>
    <w:uiPriority w:val="99"/>
    <w:rsid w:val="00082170"/>
    <w:rPr>
      <w:sz w:val="18"/>
      <w:szCs w:val="18"/>
    </w:rPr>
  </w:style>
  <w:style w:type="paragraph" w:styleId="a5">
    <w:name w:val="Balloon Text"/>
    <w:basedOn w:val="a"/>
    <w:link w:val="Char1"/>
    <w:uiPriority w:val="99"/>
    <w:semiHidden/>
    <w:unhideWhenUsed/>
    <w:rsid w:val="00662915"/>
    <w:rPr>
      <w:sz w:val="18"/>
      <w:szCs w:val="18"/>
    </w:rPr>
  </w:style>
  <w:style w:type="character" w:customStyle="1" w:styleId="Char1">
    <w:name w:val="批注框文本 Char"/>
    <w:link w:val="a5"/>
    <w:uiPriority w:val="99"/>
    <w:semiHidden/>
    <w:rsid w:val="00662915"/>
    <w:rPr>
      <w:kern w:val="2"/>
      <w:sz w:val="18"/>
      <w:szCs w:val="18"/>
    </w:rPr>
  </w:style>
  <w:style w:type="character" w:styleId="a6">
    <w:name w:val="Hyperlink"/>
    <w:uiPriority w:val="99"/>
    <w:unhideWhenUsed/>
    <w:rsid w:val="006C1054"/>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 Lin</dc:creator>
  <cp:keywords>NOT-APPL</cp:keywords>
  <dc:description>NOT-APPL</dc:description>
  <cp:lastModifiedBy>ZHONGM</cp:lastModifiedBy>
  <cp:revision>2</cp:revision>
  <dcterms:created xsi:type="dcterms:W3CDTF">2023-06-15T16:01:00Z</dcterms:created>
  <dcterms:modified xsi:type="dcterms:W3CDTF">2023-06-15T16:01:00Z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External</vt:lpwstr>
  </property>
  <property fmtid="{D5CDD505-2E9C-101B-9397-08002B2CF9AE}" pid="3" name="Footers">
    <vt:lpwstr>External No Footers</vt:lpwstr>
  </property>
  <property fmtid="{D5CDD505-2E9C-101B-9397-08002B2CF9AE}" pid="4" name="MSIP_Label_3486a02c-2dfb-4efe-823f-aa2d1f0e6ab7_Enabled">
    <vt:lpwstr>true</vt:lpwstr>
  </property>
  <property fmtid="{D5CDD505-2E9C-101B-9397-08002B2CF9AE}" pid="5" name="MSIP_Label_3486a02c-2dfb-4efe-823f-aa2d1f0e6ab7_SetDate">
    <vt:lpwstr>2023-06-14T02:36:01Z</vt:lpwstr>
  </property>
  <property fmtid="{D5CDD505-2E9C-101B-9397-08002B2CF9AE}" pid="6" name="MSIP_Label_3486a02c-2dfb-4efe-823f-aa2d1f0e6ab7_Method">
    <vt:lpwstr>Privileged</vt:lpwstr>
  </property>
  <property fmtid="{D5CDD505-2E9C-101B-9397-08002B2CF9AE}" pid="7" name="MSIP_Label_3486a02c-2dfb-4efe-823f-aa2d1f0e6ab7_Name">
    <vt:lpwstr>CLAPUBLIC</vt:lpwstr>
  </property>
  <property fmtid="{D5CDD505-2E9C-101B-9397-08002B2CF9AE}" pid="8" name="MSIP_Label_3486a02c-2dfb-4efe-823f-aa2d1f0e6ab7_SiteId">
    <vt:lpwstr>e0fd434d-ba64-497b-90d2-859c472e1a92</vt:lpwstr>
  </property>
  <property fmtid="{D5CDD505-2E9C-101B-9397-08002B2CF9AE}" pid="9" name="MSIP_Label_3486a02c-2dfb-4efe-823f-aa2d1f0e6ab7_ActionId">
    <vt:lpwstr>b04123e7-6e4b-4a2c-af83-143a5db8d7d1</vt:lpwstr>
  </property>
  <property fmtid="{D5CDD505-2E9C-101B-9397-08002B2CF9AE}" pid="10" name="MSIP_Label_3486a02c-2dfb-4efe-823f-aa2d1f0e6ab7_ContentBits">
    <vt:lpwstr>2</vt:lpwstr>
  </property>
  <property fmtid="{D5CDD505-2E9C-101B-9397-08002B2CF9AE}" pid="11" name="Classification">
    <vt:lpwstr>PUBLIC</vt:lpwstr>
  </property>
</Properties>
</file>