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36" w:rsidRPr="001950FA" w:rsidRDefault="00893436" w:rsidP="001950FA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  <w:r w:rsidRPr="001950FA">
        <w:rPr>
          <w:rFonts w:ascii="宋体" w:eastAsia="宋体" w:hAnsi="宋体" w:cs="宋体" w:hint="eastAsia"/>
          <w:b/>
          <w:kern w:val="0"/>
          <w:sz w:val="28"/>
          <w:szCs w:val="28"/>
        </w:rPr>
        <w:t>国泰嘉睿纯债债券型证券投资基金分红公告</w:t>
      </w:r>
    </w:p>
    <w:p w:rsidR="00893436" w:rsidRPr="001950FA" w:rsidRDefault="00893436" w:rsidP="001950FA">
      <w:pPr>
        <w:spacing w:line="360" w:lineRule="auto"/>
        <w:jc w:val="center"/>
        <w:rPr>
          <w:rFonts w:ascii="宋体" w:eastAsia="宋体" w:hAnsi="宋体"/>
          <w:color w:val="000000"/>
          <w:sz w:val="21"/>
          <w:szCs w:val="21"/>
        </w:rPr>
      </w:pPr>
      <w:r w:rsidRPr="001950FA">
        <w:rPr>
          <w:rFonts w:ascii="宋体" w:eastAsia="宋体" w:hAnsi="宋体"/>
          <w:color w:val="000000"/>
          <w:sz w:val="21"/>
          <w:szCs w:val="21"/>
        </w:rPr>
        <w:t>公告送出日期：</w:t>
      </w:r>
      <w:r w:rsidRPr="001950FA">
        <w:rPr>
          <w:rFonts w:ascii="宋体" w:eastAsia="宋体" w:hAnsi="宋体" w:cs="宋体"/>
          <w:bCs/>
          <w:sz w:val="21"/>
          <w:szCs w:val="21"/>
        </w:rPr>
        <w:t>2023年6月14日</w:t>
      </w:r>
    </w:p>
    <w:p w:rsidR="00893436" w:rsidRPr="001950FA" w:rsidRDefault="00893436" w:rsidP="00B14D73">
      <w:pPr>
        <w:spacing w:line="360" w:lineRule="auto"/>
        <w:jc w:val="center"/>
        <w:rPr>
          <w:rFonts w:ascii="宋体" w:eastAsia="宋体" w:hAnsi="宋体"/>
          <w:color w:val="000000"/>
          <w:sz w:val="21"/>
          <w:szCs w:val="21"/>
        </w:rPr>
      </w:pPr>
    </w:p>
    <w:p w:rsidR="00893436" w:rsidRPr="001950FA" w:rsidRDefault="00893436" w:rsidP="00B14D73">
      <w:pPr>
        <w:pStyle w:val="2"/>
        <w:spacing w:line="360" w:lineRule="auto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1" w:name="_Toc275961418"/>
      <w:r w:rsidRPr="001950FA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8"/>
        <w:gridCol w:w="2552"/>
        <w:gridCol w:w="2268"/>
        <w:gridCol w:w="2451"/>
      </w:tblGrid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国泰嘉睿纯债债券型证券投资基金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国泰嘉睿纯债债券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006475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基金合同生效日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E51F2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2018年10月11日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国泰基金管理有限公司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基金托管人名称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交通银行股份有限公司</w:t>
            </w:r>
          </w:p>
        </w:tc>
      </w:tr>
      <w:tr w:rsidR="0039192C" w:rsidRPr="001950FA" w:rsidTr="00FE7BF2">
        <w:trPr>
          <w:jc w:val="center"/>
        </w:trPr>
        <w:tc>
          <w:tcPr>
            <w:tcW w:w="4920" w:type="dxa"/>
            <w:gridSpan w:val="2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719" w:type="dxa"/>
            <w:gridSpan w:val="2"/>
            <w:vAlign w:val="center"/>
          </w:tcPr>
          <w:p w:rsidR="0039192C" w:rsidRPr="001950FA" w:rsidRDefault="0039192C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《中华人民共和国证券投资基金法》、《公开募集证券投资基金运作管理办法》、《国泰嘉睿纯债债券型证券投资基金基金合同》等</w:t>
            </w:r>
          </w:p>
        </w:tc>
      </w:tr>
      <w:tr w:rsidR="00893436" w:rsidRPr="001950FA" w:rsidTr="00FE7BF2">
        <w:trPr>
          <w:jc w:val="center"/>
        </w:trPr>
        <w:tc>
          <w:tcPr>
            <w:tcW w:w="4920" w:type="dxa"/>
            <w:gridSpan w:val="2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收益分配基准日</w:t>
            </w:r>
          </w:p>
        </w:tc>
        <w:tc>
          <w:tcPr>
            <w:tcW w:w="4719" w:type="dxa"/>
            <w:gridSpan w:val="2"/>
          </w:tcPr>
          <w:p w:rsidR="00893436" w:rsidRPr="001950FA" w:rsidRDefault="00307107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39192C" w:rsidRPr="001950FA">
              <w:rPr>
                <w:rFonts w:ascii="宋体" w:eastAsia="宋体" w:hAnsi="宋体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39192C" w:rsidRPr="001950FA">
              <w:rPr>
                <w:rFonts w:ascii="宋体" w:eastAsia="宋体" w:hAnsi="宋体"/>
                <w:sz w:val="21"/>
                <w:szCs w:val="21"/>
              </w:rPr>
              <w:t>月</w:t>
            </w:r>
            <w:r w:rsidR="00F45281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="0039192C" w:rsidRPr="001950FA"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  <w:tr w:rsidR="00893436" w:rsidRPr="001950FA" w:rsidTr="00FE7BF2">
        <w:trPr>
          <w:jc w:val="center"/>
        </w:trPr>
        <w:tc>
          <w:tcPr>
            <w:tcW w:w="4920" w:type="dxa"/>
            <w:gridSpan w:val="2"/>
            <w:vMerge w:val="restart"/>
            <w:vAlign w:val="center"/>
          </w:tcPr>
          <w:p w:rsidR="00893436" w:rsidRPr="001950FA" w:rsidRDefault="00893436" w:rsidP="004C62B6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有关年度分红次数的说明</w:t>
            </w:r>
          </w:p>
        </w:tc>
        <w:tc>
          <w:tcPr>
            <w:tcW w:w="4719" w:type="dxa"/>
            <w:gridSpan w:val="2"/>
            <w:vAlign w:val="center"/>
          </w:tcPr>
          <w:p w:rsidR="00893436" w:rsidRPr="001950FA" w:rsidRDefault="009732A4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本次分红为2023年度第一次分红。</w:t>
            </w:r>
          </w:p>
        </w:tc>
      </w:tr>
      <w:tr w:rsidR="00266A99" w:rsidRPr="001950FA" w:rsidTr="00FE7BF2">
        <w:trPr>
          <w:jc w:val="center"/>
        </w:trPr>
        <w:tc>
          <w:tcPr>
            <w:tcW w:w="4920" w:type="dxa"/>
            <w:gridSpan w:val="2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268" w:type="dxa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国泰嘉睿纯债债券A</w:t>
            </w:r>
          </w:p>
        </w:tc>
        <w:tc>
          <w:tcPr>
            <w:tcW w:w="2451" w:type="dxa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国泰嘉睿纯债债券C</w:t>
            </w:r>
          </w:p>
        </w:tc>
      </w:tr>
      <w:tr w:rsidR="00266A99" w:rsidRPr="001950FA" w:rsidTr="00FE7BF2">
        <w:trPr>
          <w:jc w:val="center"/>
        </w:trPr>
        <w:tc>
          <w:tcPr>
            <w:tcW w:w="4920" w:type="dxa"/>
            <w:gridSpan w:val="2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268" w:type="dxa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006475</w:t>
            </w:r>
          </w:p>
        </w:tc>
        <w:tc>
          <w:tcPr>
            <w:tcW w:w="2451" w:type="dxa"/>
          </w:tcPr>
          <w:p w:rsidR="00266A99" w:rsidRPr="001950FA" w:rsidRDefault="00266A99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016604</w:t>
            </w:r>
          </w:p>
        </w:tc>
      </w:tr>
      <w:tr w:rsidR="00FE7BF2" w:rsidRPr="001950FA" w:rsidTr="00FE7BF2">
        <w:trPr>
          <w:jc w:val="center"/>
        </w:trPr>
        <w:tc>
          <w:tcPr>
            <w:tcW w:w="2368" w:type="dxa"/>
            <w:vMerge w:val="restart"/>
            <w:vAlign w:val="center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截止基准日下属分级基金的相关指标</w:t>
            </w:r>
          </w:p>
        </w:tc>
        <w:tc>
          <w:tcPr>
            <w:tcW w:w="2552" w:type="dxa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基准日下属分级基金份额净值</w:t>
            </w:r>
            <w:r w:rsidRPr="001950FA">
              <w:rPr>
                <w:rFonts w:ascii="宋体" w:eastAsia="宋体" w:hAnsi="宋体" w:hint="eastAsia"/>
                <w:sz w:val="21"/>
                <w:szCs w:val="21"/>
              </w:rPr>
              <w:t>（单位：</w:t>
            </w:r>
            <w:r w:rsidRPr="001950FA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元</w:t>
            </w:r>
            <w:r w:rsidRPr="001950FA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1.0511</w:t>
            </w:r>
          </w:p>
        </w:tc>
        <w:tc>
          <w:tcPr>
            <w:tcW w:w="2451" w:type="dxa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1.0548</w:t>
            </w:r>
          </w:p>
        </w:tc>
      </w:tr>
      <w:tr w:rsidR="00FE7BF2" w:rsidRPr="001950FA" w:rsidTr="00FE7BF2">
        <w:trPr>
          <w:trHeight w:val="405"/>
          <w:jc w:val="center"/>
        </w:trPr>
        <w:tc>
          <w:tcPr>
            <w:tcW w:w="2368" w:type="dxa"/>
            <w:vMerge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基准日下属分级基金可供分配利润</w:t>
            </w:r>
            <w:r w:rsidRPr="001950FA">
              <w:rPr>
                <w:rFonts w:ascii="宋体" w:eastAsia="宋体" w:hAnsi="宋体" w:hint="eastAsia"/>
                <w:sz w:val="21"/>
                <w:szCs w:val="21"/>
              </w:rPr>
              <w:t>（单位：</w:t>
            </w:r>
            <w:r w:rsidRPr="001950FA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元</w:t>
            </w:r>
            <w:r w:rsidRPr="001950FA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23,698,821.02</w:t>
            </w:r>
          </w:p>
        </w:tc>
        <w:tc>
          <w:tcPr>
            <w:tcW w:w="2451" w:type="dxa"/>
          </w:tcPr>
          <w:p w:rsidR="00FE7BF2" w:rsidRPr="001950FA" w:rsidRDefault="00FE7BF2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4,654.64</w:t>
            </w:r>
          </w:p>
        </w:tc>
      </w:tr>
      <w:tr w:rsidR="00FE7BF2" w:rsidRPr="001950FA" w:rsidTr="00FE7BF2">
        <w:trPr>
          <w:jc w:val="center"/>
        </w:trPr>
        <w:tc>
          <w:tcPr>
            <w:tcW w:w="4920" w:type="dxa"/>
            <w:gridSpan w:val="2"/>
          </w:tcPr>
          <w:p w:rsidR="00FE7BF2" w:rsidRPr="001950FA" w:rsidRDefault="00FE7BF2" w:rsidP="0061143B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本次下属分级基金分红方案（单位：元/10份基金份额）</w:t>
            </w:r>
          </w:p>
        </w:tc>
        <w:tc>
          <w:tcPr>
            <w:tcW w:w="2268" w:type="dxa"/>
          </w:tcPr>
          <w:p w:rsidR="00FE7BF2" w:rsidRPr="001950FA" w:rsidRDefault="00FE7BF2" w:rsidP="0061143B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 w:hint="eastAsia"/>
                <w:sz w:val="21"/>
                <w:szCs w:val="21"/>
              </w:rPr>
              <w:t>0.150</w:t>
            </w:r>
          </w:p>
        </w:tc>
        <w:tc>
          <w:tcPr>
            <w:tcW w:w="2451" w:type="dxa"/>
          </w:tcPr>
          <w:p w:rsidR="00FE7BF2" w:rsidRPr="001950FA" w:rsidRDefault="00FE7BF2" w:rsidP="0061143B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 w:hint="eastAsia"/>
                <w:sz w:val="21"/>
                <w:szCs w:val="21"/>
              </w:rPr>
              <w:t>0.150</w:t>
            </w:r>
          </w:p>
        </w:tc>
      </w:tr>
    </w:tbl>
    <w:p w:rsidR="00C47D0A" w:rsidRDefault="00C47D0A" w:rsidP="00C47D0A">
      <w:pPr>
        <w:spacing w:line="360" w:lineRule="auto"/>
        <w:rPr>
          <w:rFonts w:ascii="宋体" w:eastAsia="宋体" w:hAnsi="宋体"/>
          <w:sz w:val="21"/>
          <w:szCs w:val="21"/>
        </w:rPr>
      </w:pPr>
      <w:bookmarkStart w:id="2" w:name="_Toc275961419"/>
      <w:r>
        <w:rPr>
          <w:rFonts w:ascii="宋体" w:eastAsia="宋体" w:hAnsi="宋体" w:hint="eastAsia"/>
          <w:sz w:val="21"/>
          <w:szCs w:val="21"/>
        </w:rPr>
        <w:t>注</w:t>
      </w:r>
      <w:r>
        <w:rPr>
          <w:rFonts w:ascii="宋体" w:eastAsia="宋体" w:hAnsi="宋体"/>
          <w:sz w:val="21"/>
          <w:szCs w:val="21"/>
        </w:rPr>
        <w:t>：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（1）在符合有关基金分红条件的前提下，本基金管理人可以根据实际情况进行收益分配，具体分配方案以公告为准，若《基金合同》生效不满3个月可不进行收益分配；</w:t>
      </w:r>
    </w:p>
    <w:p w:rsidR="00C47D0A" w:rsidRPr="001950FA" w:rsidRDefault="00C47D0A" w:rsidP="00C47D0A">
      <w:pPr>
        <w:spacing w:line="360" w:lineRule="auto"/>
        <w:rPr>
          <w:rFonts w:ascii="宋体" w:eastAsia="宋体" w:hAnsi="宋体"/>
          <w:sz w:val="21"/>
          <w:szCs w:val="21"/>
        </w:rPr>
      </w:pPr>
      <w:r w:rsidRPr="001950FA">
        <w:rPr>
          <w:rFonts w:ascii="宋体" w:eastAsia="宋体" w:hAnsi="宋体"/>
          <w:sz w:val="21"/>
          <w:szCs w:val="21"/>
        </w:rPr>
        <w:t>（2）基金收益分配后</w:t>
      </w:r>
      <w:r>
        <w:rPr>
          <w:rFonts w:ascii="宋体" w:eastAsia="宋体" w:hAnsi="宋体" w:hint="eastAsia"/>
          <w:sz w:val="21"/>
          <w:szCs w:val="21"/>
        </w:rPr>
        <w:t>各类</w:t>
      </w:r>
      <w:r w:rsidRPr="001950FA">
        <w:rPr>
          <w:rFonts w:ascii="宋体" w:eastAsia="宋体" w:hAnsi="宋体"/>
          <w:sz w:val="21"/>
          <w:szCs w:val="21"/>
        </w:rPr>
        <w:t>基金份额净值不能低于面值，即基金收益分配基准日的</w:t>
      </w:r>
      <w:r>
        <w:rPr>
          <w:rFonts w:ascii="宋体" w:eastAsia="宋体" w:hAnsi="宋体" w:hint="eastAsia"/>
          <w:sz w:val="21"/>
          <w:szCs w:val="21"/>
        </w:rPr>
        <w:t>各类</w:t>
      </w:r>
      <w:r w:rsidRPr="001950FA">
        <w:rPr>
          <w:rFonts w:ascii="宋体" w:eastAsia="宋体" w:hAnsi="宋体"/>
          <w:sz w:val="21"/>
          <w:szCs w:val="21"/>
        </w:rPr>
        <w:t>基金份额净值减去每单位</w:t>
      </w:r>
      <w:r>
        <w:rPr>
          <w:rFonts w:ascii="宋体" w:eastAsia="宋体" w:hAnsi="宋体" w:hint="eastAsia"/>
          <w:sz w:val="21"/>
          <w:szCs w:val="21"/>
        </w:rPr>
        <w:t>该类</w:t>
      </w:r>
      <w:r w:rsidRPr="001950FA">
        <w:rPr>
          <w:rFonts w:ascii="宋体" w:eastAsia="宋体" w:hAnsi="宋体"/>
          <w:sz w:val="21"/>
          <w:szCs w:val="21"/>
        </w:rPr>
        <w:t>基金份额收益分配金额后不能低于面值。</w:t>
      </w:r>
    </w:p>
    <w:p w:rsidR="00893436" w:rsidRPr="001950FA" w:rsidRDefault="00893436" w:rsidP="00B14D73">
      <w:pPr>
        <w:pStyle w:val="2"/>
        <w:spacing w:line="360" w:lineRule="auto"/>
        <w:rPr>
          <w:rFonts w:ascii="宋体" w:eastAsia="宋体" w:hAnsi="宋体"/>
          <w:bCs w:val="0"/>
          <w:color w:val="000000"/>
          <w:sz w:val="21"/>
          <w:szCs w:val="21"/>
        </w:rPr>
      </w:pPr>
      <w:r w:rsidRPr="001950FA">
        <w:rPr>
          <w:rFonts w:ascii="宋体" w:eastAsia="宋体" w:hAnsi="宋体"/>
          <w:bCs w:val="0"/>
          <w:color w:val="000000"/>
          <w:sz w:val="21"/>
          <w:szCs w:val="21"/>
        </w:rPr>
        <w:lastRenderedPageBreak/>
        <w:t>2 与分红相关的其他信息</w:t>
      </w:r>
      <w:bookmarkEnd w:id="2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4"/>
        <w:gridCol w:w="6405"/>
      </w:tblGrid>
      <w:tr w:rsidR="00893436" w:rsidRPr="001950FA" w:rsidTr="0083403A">
        <w:trPr>
          <w:jc w:val="center"/>
        </w:trPr>
        <w:tc>
          <w:tcPr>
            <w:tcW w:w="4355" w:type="dxa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权益登记日</w:t>
            </w:r>
          </w:p>
        </w:tc>
        <w:tc>
          <w:tcPr>
            <w:tcW w:w="4355" w:type="dxa"/>
          </w:tcPr>
          <w:p w:rsidR="00893436" w:rsidRPr="001950FA" w:rsidRDefault="00362297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2023年6月15日</w:t>
            </w:r>
          </w:p>
        </w:tc>
      </w:tr>
      <w:tr w:rsidR="004C62B6" w:rsidRPr="001950FA" w:rsidTr="004C62B6">
        <w:trPr>
          <w:jc w:val="center"/>
        </w:trPr>
        <w:tc>
          <w:tcPr>
            <w:tcW w:w="4355" w:type="dxa"/>
          </w:tcPr>
          <w:p w:rsidR="0099338F" w:rsidRPr="001950FA" w:rsidRDefault="0099338F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除息日</w:t>
            </w:r>
          </w:p>
        </w:tc>
        <w:tc>
          <w:tcPr>
            <w:tcW w:w="8710" w:type="dxa"/>
          </w:tcPr>
          <w:p w:rsidR="0099338F" w:rsidRPr="001950FA" w:rsidRDefault="0099338F" w:rsidP="004C62B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2023年6月15</w:t>
            </w:r>
            <w:r w:rsidR="004C62B6"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  <w:tr w:rsidR="00893436" w:rsidRPr="001950FA" w:rsidTr="0083403A">
        <w:trPr>
          <w:jc w:val="center"/>
        </w:trPr>
        <w:tc>
          <w:tcPr>
            <w:tcW w:w="4355" w:type="dxa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现金红利发放日</w:t>
            </w:r>
          </w:p>
        </w:tc>
        <w:tc>
          <w:tcPr>
            <w:tcW w:w="4355" w:type="dxa"/>
          </w:tcPr>
          <w:p w:rsidR="00893436" w:rsidRPr="001950FA" w:rsidRDefault="00BA7F58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2023年6月16日</w:t>
            </w:r>
          </w:p>
        </w:tc>
      </w:tr>
      <w:tr w:rsidR="00893436" w:rsidRPr="001950FA" w:rsidTr="0083403A">
        <w:trPr>
          <w:jc w:val="center"/>
        </w:trPr>
        <w:tc>
          <w:tcPr>
            <w:tcW w:w="4355" w:type="dxa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分红对象</w:t>
            </w:r>
          </w:p>
        </w:tc>
        <w:tc>
          <w:tcPr>
            <w:tcW w:w="4355" w:type="dxa"/>
            <w:shd w:val="clear" w:color="auto" w:fill="auto"/>
          </w:tcPr>
          <w:p w:rsidR="00893436" w:rsidRPr="001950FA" w:rsidRDefault="00BA7F58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权益登记日在注册登记机构登记在册的本基金全体基金份额持有人</w:t>
            </w:r>
          </w:p>
        </w:tc>
      </w:tr>
      <w:tr w:rsidR="00893436" w:rsidRPr="001950FA" w:rsidTr="0083403A">
        <w:trPr>
          <w:jc w:val="center"/>
        </w:trPr>
        <w:tc>
          <w:tcPr>
            <w:tcW w:w="4355" w:type="dxa"/>
            <w:shd w:val="clear" w:color="auto" w:fill="auto"/>
            <w:vAlign w:val="center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红利再投资相关事项的说明</w:t>
            </w:r>
          </w:p>
        </w:tc>
        <w:tc>
          <w:tcPr>
            <w:tcW w:w="4355" w:type="dxa"/>
            <w:shd w:val="clear" w:color="auto" w:fill="auto"/>
          </w:tcPr>
          <w:p w:rsidR="00893436" w:rsidRPr="001950FA" w:rsidRDefault="00BA7F58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选择红利再投资方式的投资者，其红利将按照</w:t>
            </w:r>
            <w:r w:rsidR="005A333A">
              <w:rPr>
                <w:rFonts w:ascii="宋体" w:eastAsia="宋体" w:hAnsi="宋体"/>
                <w:sz w:val="21"/>
                <w:szCs w:val="21"/>
              </w:rPr>
              <w:t>202</w:t>
            </w:r>
            <w:r w:rsidR="005A333A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1950FA">
              <w:rPr>
                <w:rFonts w:ascii="宋体" w:eastAsia="宋体" w:hAnsi="宋体"/>
                <w:sz w:val="21"/>
                <w:szCs w:val="21"/>
              </w:rPr>
              <w:t>年</w:t>
            </w:r>
            <w:r w:rsidR="005A333A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1950FA">
              <w:rPr>
                <w:rFonts w:ascii="宋体" w:eastAsia="宋体" w:hAnsi="宋体"/>
                <w:sz w:val="21"/>
                <w:szCs w:val="21"/>
              </w:rPr>
              <w:t>月</w:t>
            </w:r>
            <w:r w:rsidR="005A333A"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Pr="001950FA">
              <w:rPr>
                <w:rFonts w:ascii="宋体" w:eastAsia="宋体" w:hAnsi="宋体"/>
                <w:sz w:val="21"/>
                <w:szCs w:val="21"/>
              </w:rPr>
              <w:t>日除息后的基金份额净值为计算基准确定再投资份额。本基金管理人对红利再投资所确定的基金份额于2023年6月16日直接计入其基金账户，2023年6月19日起投资者可以查询、赎回。</w:t>
            </w:r>
          </w:p>
        </w:tc>
      </w:tr>
      <w:tr w:rsidR="00893436" w:rsidRPr="001950FA" w:rsidTr="0083403A">
        <w:trPr>
          <w:jc w:val="center"/>
        </w:trPr>
        <w:tc>
          <w:tcPr>
            <w:tcW w:w="4355" w:type="dxa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税收相关事项的说明</w:t>
            </w:r>
          </w:p>
        </w:tc>
        <w:tc>
          <w:tcPr>
            <w:tcW w:w="4355" w:type="dxa"/>
            <w:shd w:val="clear" w:color="auto" w:fill="auto"/>
          </w:tcPr>
          <w:p w:rsidR="00893436" w:rsidRPr="001950FA" w:rsidRDefault="00BA7F58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根据财政部、国家税务总局的财税字【2002】128号《关于开放式证券投资基金有关税收问题的通知》，投资者(包括个人和机构投资者)从基金利润分配中取得的收入，暂不征收个人所得税和企业所得税。</w:t>
            </w:r>
          </w:p>
        </w:tc>
      </w:tr>
      <w:tr w:rsidR="00893436" w:rsidRPr="001950FA" w:rsidTr="0083403A">
        <w:trPr>
          <w:jc w:val="center"/>
        </w:trPr>
        <w:tc>
          <w:tcPr>
            <w:tcW w:w="4355" w:type="dxa"/>
          </w:tcPr>
          <w:p w:rsidR="00893436" w:rsidRPr="001950FA" w:rsidRDefault="00893436" w:rsidP="00B14D73">
            <w:pPr>
              <w:spacing w:line="360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color w:val="000000"/>
                <w:sz w:val="21"/>
                <w:szCs w:val="21"/>
              </w:rPr>
              <w:t>费用相关事项的说明</w:t>
            </w:r>
          </w:p>
        </w:tc>
        <w:tc>
          <w:tcPr>
            <w:tcW w:w="4355" w:type="dxa"/>
            <w:shd w:val="clear" w:color="auto" w:fill="auto"/>
          </w:tcPr>
          <w:p w:rsidR="00893436" w:rsidRPr="001950FA" w:rsidRDefault="00BA7F58" w:rsidP="00B14D7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950FA">
              <w:rPr>
                <w:rFonts w:ascii="宋体" w:eastAsia="宋体" w:hAnsi="宋体"/>
                <w:sz w:val="21"/>
                <w:szCs w:val="21"/>
              </w:rPr>
              <w:t>本基金本次分红免收分红手续费。</w:t>
            </w:r>
          </w:p>
        </w:tc>
      </w:tr>
    </w:tbl>
    <w:p w:rsidR="00893436" w:rsidRPr="001950FA" w:rsidRDefault="00893436" w:rsidP="00B14D73">
      <w:pPr>
        <w:pStyle w:val="2"/>
        <w:spacing w:line="360" w:lineRule="auto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3" w:name="_Toc275961420"/>
      <w:r w:rsidRPr="001950FA">
        <w:rPr>
          <w:rFonts w:ascii="宋体" w:eastAsia="宋体" w:hAnsi="宋体"/>
          <w:bCs w:val="0"/>
          <w:color w:val="000000"/>
          <w:sz w:val="21"/>
          <w:szCs w:val="21"/>
        </w:rPr>
        <w:t>3 其他需要提示的事项</w:t>
      </w:r>
      <w:bookmarkEnd w:id="3"/>
    </w:p>
    <w:p w:rsidR="008E2B81" w:rsidRDefault="009709F1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（1）提示</w:t>
      </w:r>
    </w:p>
    <w:p w:rsidR="009C2E42" w:rsidRDefault="009C2E42" w:rsidP="009C2E42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1）权益登记日以后（含权益登记日）申请申购或转入的基金份额不享有本次分红权益， 权益登记日以后（含权益登记日）申请赎回或转出的基金份额享有本次分红权益；</w:t>
      </w:r>
    </w:p>
    <w:p w:rsidR="009C2E42" w:rsidRDefault="009C2E42" w:rsidP="009C2E42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2）因分红导致基金份额净值调整到面值或面值附近，在市场波动等因素的影响下，基金投资仍可能出现亏损或基金份额净值仍有可能低于面值。</w:t>
      </w:r>
    </w:p>
    <w:p w:rsidR="008E2B81" w:rsidRDefault="009709F1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（2）咨询办法</w:t>
      </w:r>
    </w:p>
    <w:p w:rsidR="008E2B81" w:rsidRDefault="009709F1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1）国泰基金管理有限公司网站：www.gtfund.com；</w:t>
      </w:r>
    </w:p>
    <w:p w:rsidR="008E2B81" w:rsidRDefault="009709F1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2）国泰基金管理有限公司客户服务热线：400-888-8688（免长途话费）、021-31089000；</w:t>
      </w:r>
    </w:p>
    <w:p w:rsidR="008E2B81" w:rsidRDefault="009709F1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3）国泰基金管理有限公司直销网点及本基金各销售机构的相关网点。</w:t>
      </w:r>
    </w:p>
    <w:p w:rsidR="004C62B6" w:rsidRDefault="004C62B6" w:rsidP="00157206">
      <w:pPr>
        <w:spacing w:line="360" w:lineRule="auto"/>
        <w:jc w:val="right"/>
        <w:rPr>
          <w:rFonts w:ascii="宋体" w:eastAsia="宋体" w:hAnsi="宋体"/>
          <w:sz w:val="21"/>
          <w:szCs w:val="21"/>
        </w:rPr>
      </w:pPr>
    </w:p>
    <w:p w:rsidR="00157206" w:rsidRPr="007F5690" w:rsidRDefault="00157206" w:rsidP="00157206">
      <w:pPr>
        <w:spacing w:line="360" w:lineRule="auto"/>
        <w:jc w:val="right"/>
        <w:rPr>
          <w:rFonts w:ascii="宋体" w:eastAsia="宋体" w:hAnsi="宋体"/>
          <w:color w:val="000000"/>
          <w:sz w:val="21"/>
          <w:szCs w:val="21"/>
        </w:rPr>
      </w:pPr>
      <w:r w:rsidRPr="007F5690">
        <w:rPr>
          <w:rFonts w:ascii="宋体" w:eastAsia="宋体" w:hAnsi="宋体"/>
          <w:color w:val="000000"/>
          <w:sz w:val="21"/>
          <w:szCs w:val="21"/>
        </w:rPr>
        <w:t>国泰基金管理有限公司</w:t>
      </w:r>
    </w:p>
    <w:p w:rsidR="00157206" w:rsidRPr="007F5690" w:rsidRDefault="00157206" w:rsidP="00157206">
      <w:pPr>
        <w:spacing w:line="360" w:lineRule="auto"/>
        <w:jc w:val="right"/>
        <w:rPr>
          <w:rFonts w:ascii="宋体" w:eastAsia="宋体" w:hAnsi="宋体"/>
          <w:color w:val="000000"/>
          <w:sz w:val="21"/>
          <w:szCs w:val="21"/>
        </w:rPr>
      </w:pPr>
      <w:r w:rsidRPr="007F5690">
        <w:rPr>
          <w:rFonts w:ascii="宋体" w:eastAsia="宋体" w:hAnsi="宋体"/>
          <w:color w:val="000000"/>
          <w:sz w:val="21"/>
          <w:szCs w:val="21"/>
        </w:rPr>
        <w:t>二〇二三年六月十四日</w:t>
      </w:r>
    </w:p>
    <w:sectPr w:rsidR="00157206" w:rsidRPr="007F5690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80" w:rsidRDefault="00852380" w:rsidP="00893436">
      <w:r>
        <w:separator/>
      </w:r>
    </w:p>
  </w:endnote>
  <w:endnote w:type="continuationSeparator" w:id="0">
    <w:p w:rsidR="00852380" w:rsidRDefault="00852380" w:rsidP="008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80" w:rsidRDefault="00852380" w:rsidP="00893436">
      <w:r>
        <w:separator/>
      </w:r>
    </w:p>
  </w:footnote>
  <w:footnote w:type="continuationSeparator" w:id="0">
    <w:p w:rsidR="00852380" w:rsidRDefault="00852380" w:rsidP="008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36"/>
    <w:rsid w:val="00041353"/>
    <w:rsid w:val="00046FF5"/>
    <w:rsid w:val="00053698"/>
    <w:rsid w:val="00057AC1"/>
    <w:rsid w:val="00085F5C"/>
    <w:rsid w:val="0009778C"/>
    <w:rsid w:val="000A19B2"/>
    <w:rsid w:val="000C39F6"/>
    <w:rsid w:val="000E2D66"/>
    <w:rsid w:val="00111BD0"/>
    <w:rsid w:val="00135CA1"/>
    <w:rsid w:val="00157206"/>
    <w:rsid w:val="0016074B"/>
    <w:rsid w:val="0017077E"/>
    <w:rsid w:val="001950FA"/>
    <w:rsid w:val="00226206"/>
    <w:rsid w:val="00242E4D"/>
    <w:rsid w:val="00266A99"/>
    <w:rsid w:val="00284B1B"/>
    <w:rsid w:val="002A2CAB"/>
    <w:rsid w:val="002A63B7"/>
    <w:rsid w:val="002B6A76"/>
    <w:rsid w:val="002F5111"/>
    <w:rsid w:val="00307107"/>
    <w:rsid w:val="003160F8"/>
    <w:rsid w:val="0032061C"/>
    <w:rsid w:val="00323007"/>
    <w:rsid w:val="00325909"/>
    <w:rsid w:val="003340A3"/>
    <w:rsid w:val="00362297"/>
    <w:rsid w:val="0039192C"/>
    <w:rsid w:val="003E51F2"/>
    <w:rsid w:val="00410642"/>
    <w:rsid w:val="00413675"/>
    <w:rsid w:val="0046617D"/>
    <w:rsid w:val="0046784D"/>
    <w:rsid w:val="00486934"/>
    <w:rsid w:val="004966BA"/>
    <w:rsid w:val="004C62B6"/>
    <w:rsid w:val="0050279B"/>
    <w:rsid w:val="00506E3A"/>
    <w:rsid w:val="005715B6"/>
    <w:rsid w:val="005A333A"/>
    <w:rsid w:val="005C74A7"/>
    <w:rsid w:val="00602C3F"/>
    <w:rsid w:val="006602FD"/>
    <w:rsid w:val="006649D0"/>
    <w:rsid w:val="00687863"/>
    <w:rsid w:val="006A2E06"/>
    <w:rsid w:val="006F560E"/>
    <w:rsid w:val="00721B55"/>
    <w:rsid w:val="00784965"/>
    <w:rsid w:val="007C7B20"/>
    <w:rsid w:val="007D292D"/>
    <w:rsid w:val="0083403A"/>
    <w:rsid w:val="00852380"/>
    <w:rsid w:val="008656F5"/>
    <w:rsid w:val="00880E4A"/>
    <w:rsid w:val="00893436"/>
    <w:rsid w:val="008B4234"/>
    <w:rsid w:val="008D1F66"/>
    <w:rsid w:val="008E2B81"/>
    <w:rsid w:val="009302F7"/>
    <w:rsid w:val="009709F1"/>
    <w:rsid w:val="009732A4"/>
    <w:rsid w:val="0099338F"/>
    <w:rsid w:val="009B4BCB"/>
    <w:rsid w:val="009C2E42"/>
    <w:rsid w:val="009D1DEE"/>
    <w:rsid w:val="00A628C4"/>
    <w:rsid w:val="00A81C93"/>
    <w:rsid w:val="00A83087"/>
    <w:rsid w:val="00A92D2B"/>
    <w:rsid w:val="00AB6D44"/>
    <w:rsid w:val="00B11F02"/>
    <w:rsid w:val="00B14D73"/>
    <w:rsid w:val="00B44BBE"/>
    <w:rsid w:val="00B77B08"/>
    <w:rsid w:val="00BA2102"/>
    <w:rsid w:val="00BA7F58"/>
    <w:rsid w:val="00BD7533"/>
    <w:rsid w:val="00BF5698"/>
    <w:rsid w:val="00C33DDD"/>
    <w:rsid w:val="00C3473F"/>
    <w:rsid w:val="00C47D0A"/>
    <w:rsid w:val="00C82C9D"/>
    <w:rsid w:val="00C85106"/>
    <w:rsid w:val="00CB3D18"/>
    <w:rsid w:val="00CC333F"/>
    <w:rsid w:val="00CC53FB"/>
    <w:rsid w:val="00CF600F"/>
    <w:rsid w:val="00CF78E1"/>
    <w:rsid w:val="00D20292"/>
    <w:rsid w:val="00DA77C4"/>
    <w:rsid w:val="00DB6924"/>
    <w:rsid w:val="00E24390"/>
    <w:rsid w:val="00E379B4"/>
    <w:rsid w:val="00E8116A"/>
    <w:rsid w:val="00F0033B"/>
    <w:rsid w:val="00F055D7"/>
    <w:rsid w:val="00F4212E"/>
    <w:rsid w:val="00F45281"/>
    <w:rsid w:val="00F45E48"/>
    <w:rsid w:val="00FC4488"/>
    <w:rsid w:val="00FE7BF2"/>
    <w:rsid w:val="00FF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36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9343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343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4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3436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893436"/>
    <w:rPr>
      <w:vertAlign w:val="superscript"/>
    </w:rPr>
  </w:style>
  <w:style w:type="paragraph" w:styleId="a4">
    <w:name w:val="footnote text"/>
    <w:basedOn w:val="a"/>
    <w:link w:val="Char"/>
    <w:rsid w:val="00893436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893436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893436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893436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1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1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44BB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44BBE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4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2023-06-13T16:00:00Z</dcterms:created>
  <dcterms:modified xsi:type="dcterms:W3CDTF">2023-06-13T16:00:00Z</dcterms:modified>
</cp:coreProperties>
</file>