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34A" w:rsidRDefault="005222DA">
      <w:pPr>
        <w:jc w:val="center"/>
        <w:rPr>
          <w:rFonts w:ascii="宋体" w:hAnsi="宋体"/>
          <w:b/>
          <w:sz w:val="48"/>
          <w:szCs w:val="48"/>
        </w:rPr>
      </w:pPr>
      <w:r>
        <w:rPr>
          <w:rFonts w:ascii="宋体" w:hAnsi="宋体" w:hint="eastAsia"/>
          <w:b/>
          <w:sz w:val="48"/>
          <w:szCs w:val="48"/>
        </w:rPr>
        <w:t>中银证券汇远一年定期开放债券型发起式证券投资基金二〇二</w:t>
      </w:r>
      <w:r>
        <w:rPr>
          <w:rFonts w:ascii="宋体" w:hAnsi="宋体" w:hint="eastAsia"/>
          <w:b/>
          <w:sz w:val="48"/>
          <w:szCs w:val="48"/>
        </w:rPr>
        <w:t>三</w:t>
      </w:r>
      <w:r>
        <w:rPr>
          <w:rFonts w:ascii="宋体" w:hAnsi="宋体" w:hint="eastAsia"/>
          <w:b/>
          <w:sz w:val="48"/>
          <w:szCs w:val="48"/>
        </w:rPr>
        <w:t>年第一个开放期开放申购、赎回业务的公告</w:t>
      </w:r>
    </w:p>
    <w:p w:rsidR="00C8734A" w:rsidRDefault="005222DA">
      <w:pPr>
        <w:jc w:val="center"/>
        <w:rPr>
          <w:rFonts w:ascii="宋体" w:hAnsi="宋体"/>
          <w:b/>
          <w:sz w:val="28"/>
          <w:szCs w:val="28"/>
        </w:rPr>
      </w:pPr>
      <w:r>
        <w:rPr>
          <w:rFonts w:ascii="宋体" w:hAnsi="宋体" w:hint="eastAsia"/>
          <w:b/>
          <w:sz w:val="28"/>
          <w:szCs w:val="28"/>
        </w:rPr>
        <w:t>公告</w:t>
      </w:r>
      <w:r>
        <w:rPr>
          <w:rFonts w:ascii="宋体" w:hAnsi="宋体"/>
          <w:b/>
          <w:sz w:val="28"/>
          <w:szCs w:val="28"/>
        </w:rPr>
        <w:t>送出日期：</w:t>
      </w:r>
      <w:bookmarkStart w:id="0" w:name="t_2_0_0003_a1_fm1"/>
      <w:bookmarkEnd w:id="0"/>
      <w:r>
        <w:rPr>
          <w:rFonts w:ascii="宋体" w:hAnsi="宋体" w:hint="eastAsia"/>
          <w:b/>
          <w:sz w:val="28"/>
          <w:szCs w:val="28"/>
        </w:rPr>
        <w:t>202</w:t>
      </w:r>
      <w:r>
        <w:rPr>
          <w:rFonts w:ascii="宋体" w:hAnsi="宋体" w:hint="eastAsia"/>
          <w:b/>
          <w:sz w:val="28"/>
          <w:szCs w:val="28"/>
        </w:rPr>
        <w:t>3</w:t>
      </w:r>
      <w:r>
        <w:rPr>
          <w:rFonts w:ascii="宋体" w:hAnsi="宋体"/>
          <w:b/>
          <w:sz w:val="28"/>
          <w:szCs w:val="28"/>
        </w:rPr>
        <w:t>年</w:t>
      </w:r>
      <w:r>
        <w:rPr>
          <w:rFonts w:ascii="宋体" w:hAnsi="宋体" w:hint="eastAsia"/>
          <w:b/>
          <w:sz w:val="28"/>
          <w:szCs w:val="28"/>
        </w:rPr>
        <w:t>6</w:t>
      </w:r>
      <w:r>
        <w:rPr>
          <w:rFonts w:ascii="宋体" w:hAnsi="宋体"/>
          <w:b/>
          <w:sz w:val="28"/>
          <w:szCs w:val="28"/>
        </w:rPr>
        <w:t>月</w:t>
      </w:r>
      <w:r>
        <w:rPr>
          <w:rFonts w:ascii="宋体" w:hAnsi="宋体" w:hint="eastAsia"/>
          <w:b/>
          <w:sz w:val="28"/>
          <w:szCs w:val="28"/>
        </w:rPr>
        <w:t>14</w:t>
      </w:r>
      <w:r>
        <w:rPr>
          <w:rFonts w:ascii="宋体" w:hAnsi="宋体"/>
          <w:b/>
          <w:sz w:val="28"/>
          <w:szCs w:val="28"/>
        </w:rPr>
        <w:t>日</w:t>
      </w:r>
    </w:p>
    <w:p w:rsidR="00C8734A" w:rsidRDefault="005222DA" w:rsidP="005222DA">
      <w:pPr>
        <w:pStyle w:val="2"/>
        <w:numPr>
          <w:ilvl w:val="0"/>
          <w:numId w:val="1"/>
        </w:numPr>
        <w:spacing w:beforeLines="50" w:afterLines="50" w:line="240" w:lineRule="auto"/>
        <w:jc w:val="left"/>
        <w:rPr>
          <w:rFonts w:ascii="宋体" w:eastAsia="宋体" w:hAnsi="宋体"/>
          <w:bCs/>
          <w:sz w:val="24"/>
          <w:szCs w:val="24"/>
        </w:rPr>
      </w:pPr>
      <w:bookmarkStart w:id="1" w:name="m01"/>
      <w:r>
        <w:rPr>
          <w:rFonts w:ascii="宋体" w:eastAsia="宋体" w:hAnsi="宋体" w:hint="eastAsia"/>
          <w:bCs/>
          <w:sz w:val="24"/>
          <w:szCs w:val="24"/>
        </w:rPr>
        <w:t>公告基本信息</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60"/>
        <w:gridCol w:w="4860"/>
      </w:tblGrid>
      <w:tr w:rsidR="00C8734A">
        <w:tc>
          <w:tcPr>
            <w:tcW w:w="3960" w:type="dxa"/>
          </w:tcPr>
          <w:p w:rsidR="00C8734A" w:rsidRDefault="005222DA">
            <w:pPr>
              <w:rPr>
                <w:rFonts w:ascii="宋体" w:hAnsi="宋体"/>
                <w:szCs w:val="21"/>
              </w:rPr>
            </w:pPr>
            <w:bookmarkStart w:id="2" w:name="m01_tab"/>
            <w:r>
              <w:rPr>
                <w:rFonts w:ascii="宋体" w:hAnsi="宋体" w:hint="eastAsia"/>
                <w:szCs w:val="21"/>
              </w:rPr>
              <w:t>基金名称</w:t>
            </w:r>
          </w:p>
        </w:tc>
        <w:tc>
          <w:tcPr>
            <w:tcW w:w="4860" w:type="dxa"/>
          </w:tcPr>
          <w:p w:rsidR="00C8734A" w:rsidRDefault="005222DA">
            <w:pPr>
              <w:rPr>
                <w:rFonts w:asciiTheme="minorEastAsia" w:eastAsiaTheme="minorEastAsia" w:hAnsiTheme="minorEastAsia"/>
                <w:szCs w:val="21"/>
              </w:rPr>
            </w:pPr>
            <w:bookmarkStart w:id="3" w:name="t_2_1_0009_a1_fm1"/>
            <w:bookmarkEnd w:id="3"/>
            <w:r>
              <w:rPr>
                <w:rFonts w:asciiTheme="minorEastAsia" w:eastAsiaTheme="minorEastAsia" w:hAnsiTheme="minorEastAsia" w:hint="eastAsia"/>
                <w:color w:val="1E1E1E"/>
                <w:szCs w:val="21"/>
              </w:rPr>
              <w:t>中银证券汇远一年定期开放债券型发起式证券投资基金</w:t>
            </w:r>
          </w:p>
        </w:tc>
      </w:tr>
      <w:tr w:rsidR="00C8734A">
        <w:tc>
          <w:tcPr>
            <w:tcW w:w="3960" w:type="dxa"/>
          </w:tcPr>
          <w:p w:rsidR="00C8734A" w:rsidRDefault="005222DA">
            <w:pPr>
              <w:rPr>
                <w:rFonts w:ascii="宋体" w:hAnsi="宋体"/>
                <w:szCs w:val="21"/>
              </w:rPr>
            </w:pPr>
            <w:r>
              <w:rPr>
                <w:rFonts w:ascii="宋体" w:hAnsi="宋体" w:hint="eastAsia"/>
                <w:szCs w:val="21"/>
              </w:rPr>
              <w:t>基金简称</w:t>
            </w:r>
          </w:p>
        </w:tc>
        <w:tc>
          <w:tcPr>
            <w:tcW w:w="4860" w:type="dxa"/>
          </w:tcPr>
          <w:p w:rsidR="00C8734A" w:rsidRDefault="005222DA">
            <w:pPr>
              <w:rPr>
                <w:rFonts w:asciiTheme="minorEastAsia" w:eastAsiaTheme="minorEastAsia" w:hAnsiTheme="minorEastAsia"/>
                <w:szCs w:val="21"/>
              </w:rPr>
            </w:pPr>
            <w:bookmarkStart w:id="4" w:name="t_2_1_0011_a1_fm1"/>
            <w:bookmarkEnd w:id="4"/>
            <w:r>
              <w:rPr>
                <w:rFonts w:asciiTheme="minorEastAsia" w:eastAsiaTheme="minorEastAsia" w:hAnsiTheme="minorEastAsia" w:hint="eastAsia"/>
                <w:color w:val="1E1E1E"/>
                <w:szCs w:val="21"/>
              </w:rPr>
              <w:t>中银证券汇远定期开放债券</w:t>
            </w:r>
          </w:p>
        </w:tc>
      </w:tr>
      <w:tr w:rsidR="00C8734A">
        <w:tc>
          <w:tcPr>
            <w:tcW w:w="3960" w:type="dxa"/>
          </w:tcPr>
          <w:p w:rsidR="00C8734A" w:rsidRDefault="005222DA">
            <w:pPr>
              <w:rPr>
                <w:rFonts w:ascii="宋体" w:hAnsi="宋体"/>
                <w:szCs w:val="21"/>
              </w:rPr>
            </w:pPr>
            <w:r>
              <w:rPr>
                <w:rFonts w:ascii="宋体" w:hAnsi="宋体" w:hint="eastAsia"/>
                <w:szCs w:val="21"/>
              </w:rPr>
              <w:t>基金主代码</w:t>
            </w:r>
          </w:p>
        </w:tc>
        <w:tc>
          <w:tcPr>
            <w:tcW w:w="4860" w:type="dxa"/>
          </w:tcPr>
          <w:p w:rsidR="00C8734A" w:rsidRDefault="005222DA">
            <w:pPr>
              <w:rPr>
                <w:rFonts w:asciiTheme="minorEastAsia" w:eastAsiaTheme="minorEastAsia" w:hAnsiTheme="minorEastAsia"/>
                <w:szCs w:val="21"/>
              </w:rPr>
            </w:pPr>
            <w:bookmarkStart w:id="5" w:name="t_2_1_0012_a1_fm1"/>
            <w:bookmarkEnd w:id="5"/>
            <w:r>
              <w:rPr>
                <w:rFonts w:asciiTheme="minorEastAsia" w:eastAsiaTheme="minorEastAsia" w:hAnsiTheme="minorEastAsia"/>
                <w:szCs w:val="21"/>
              </w:rPr>
              <w:t>00</w:t>
            </w:r>
            <w:r>
              <w:rPr>
                <w:rFonts w:asciiTheme="minorEastAsia" w:eastAsiaTheme="minorEastAsia" w:hAnsiTheme="minorEastAsia" w:hint="eastAsia"/>
                <w:szCs w:val="21"/>
              </w:rPr>
              <w:t>8862</w:t>
            </w:r>
          </w:p>
        </w:tc>
      </w:tr>
      <w:tr w:rsidR="00C8734A">
        <w:tc>
          <w:tcPr>
            <w:tcW w:w="3960" w:type="dxa"/>
          </w:tcPr>
          <w:p w:rsidR="00C8734A" w:rsidRDefault="005222DA">
            <w:pPr>
              <w:rPr>
                <w:rFonts w:ascii="宋体" w:hAnsi="宋体"/>
                <w:szCs w:val="21"/>
              </w:rPr>
            </w:pPr>
            <w:r>
              <w:rPr>
                <w:rFonts w:ascii="宋体" w:hAnsi="宋体" w:hint="eastAsia"/>
                <w:szCs w:val="21"/>
              </w:rPr>
              <w:t>基金运作方式</w:t>
            </w:r>
          </w:p>
        </w:tc>
        <w:tc>
          <w:tcPr>
            <w:tcW w:w="4860" w:type="dxa"/>
          </w:tcPr>
          <w:p w:rsidR="00C8734A" w:rsidRDefault="005222DA">
            <w:pPr>
              <w:rPr>
                <w:rFonts w:asciiTheme="minorEastAsia" w:eastAsiaTheme="minorEastAsia" w:hAnsiTheme="minorEastAsia"/>
                <w:szCs w:val="21"/>
              </w:rPr>
            </w:pPr>
            <w:bookmarkStart w:id="6" w:name="t_2_1_0017_a1_fm1"/>
            <w:bookmarkEnd w:id="6"/>
            <w:r>
              <w:rPr>
                <w:rFonts w:asciiTheme="minorEastAsia" w:eastAsiaTheme="minorEastAsia" w:hAnsiTheme="minorEastAsia" w:hint="eastAsia"/>
                <w:color w:val="1E1E1E"/>
                <w:szCs w:val="21"/>
              </w:rPr>
              <w:t>契约型</w:t>
            </w:r>
            <w:r>
              <w:rPr>
                <w:rFonts w:asciiTheme="minorEastAsia" w:eastAsiaTheme="minorEastAsia" w:hAnsiTheme="minorEastAsia" w:hint="eastAsia"/>
                <w:color w:val="1E1E1E"/>
                <w:szCs w:val="21"/>
              </w:rPr>
              <w:t>,</w:t>
            </w:r>
            <w:r>
              <w:rPr>
                <w:rFonts w:asciiTheme="minorEastAsia" w:eastAsiaTheme="minorEastAsia" w:hAnsiTheme="minorEastAsia" w:hint="eastAsia"/>
                <w:color w:val="1E1E1E"/>
                <w:szCs w:val="21"/>
              </w:rPr>
              <w:t>定期开放式，发起式</w:t>
            </w:r>
          </w:p>
        </w:tc>
      </w:tr>
      <w:tr w:rsidR="00C8734A">
        <w:tc>
          <w:tcPr>
            <w:tcW w:w="3960" w:type="dxa"/>
          </w:tcPr>
          <w:p w:rsidR="00C8734A" w:rsidRDefault="005222DA">
            <w:pPr>
              <w:rPr>
                <w:rFonts w:ascii="宋体" w:hAnsi="宋体"/>
                <w:szCs w:val="21"/>
              </w:rPr>
            </w:pPr>
            <w:r>
              <w:rPr>
                <w:rFonts w:ascii="宋体" w:hAnsi="宋体" w:hint="eastAsia"/>
                <w:szCs w:val="21"/>
              </w:rPr>
              <w:t>基金合同生效日</w:t>
            </w:r>
          </w:p>
        </w:tc>
        <w:tc>
          <w:tcPr>
            <w:tcW w:w="4860" w:type="dxa"/>
          </w:tcPr>
          <w:p w:rsidR="00C8734A" w:rsidRDefault="005222DA">
            <w:pPr>
              <w:rPr>
                <w:rFonts w:asciiTheme="minorEastAsia" w:eastAsiaTheme="minorEastAsia" w:hAnsiTheme="minorEastAsia"/>
                <w:szCs w:val="21"/>
              </w:rPr>
            </w:pPr>
            <w:bookmarkStart w:id="7" w:name="t_2_1_0018_a1_fm1"/>
            <w:bookmarkEnd w:id="7"/>
            <w:r>
              <w:rPr>
                <w:rFonts w:asciiTheme="minorEastAsia" w:eastAsiaTheme="minorEastAsia" w:hAnsiTheme="minorEastAsia" w:hint="eastAsia"/>
                <w:color w:val="1E1E1E"/>
                <w:szCs w:val="21"/>
              </w:rPr>
              <w:t xml:space="preserve">2020 </w:t>
            </w:r>
            <w:r>
              <w:rPr>
                <w:rFonts w:asciiTheme="minorEastAsia" w:eastAsiaTheme="minorEastAsia" w:hAnsiTheme="minorEastAsia" w:hint="eastAsia"/>
                <w:color w:val="1E1E1E"/>
                <w:szCs w:val="21"/>
              </w:rPr>
              <w:t>年</w:t>
            </w:r>
            <w:r>
              <w:rPr>
                <w:rFonts w:asciiTheme="minorEastAsia" w:eastAsiaTheme="minorEastAsia" w:hAnsiTheme="minorEastAsia" w:hint="eastAsia"/>
                <w:color w:val="1E1E1E"/>
                <w:szCs w:val="21"/>
              </w:rPr>
              <w:t xml:space="preserve"> 5 </w:t>
            </w:r>
            <w:r>
              <w:rPr>
                <w:rFonts w:asciiTheme="minorEastAsia" w:eastAsiaTheme="minorEastAsia" w:hAnsiTheme="minorEastAsia" w:hint="eastAsia"/>
                <w:color w:val="1E1E1E"/>
                <w:szCs w:val="21"/>
              </w:rPr>
              <w:t>月</w:t>
            </w:r>
            <w:r>
              <w:rPr>
                <w:rFonts w:asciiTheme="minorEastAsia" w:eastAsiaTheme="minorEastAsia" w:hAnsiTheme="minorEastAsia" w:hint="eastAsia"/>
                <w:color w:val="1E1E1E"/>
                <w:szCs w:val="21"/>
              </w:rPr>
              <w:t xml:space="preserve"> 22 </w:t>
            </w:r>
            <w:r>
              <w:rPr>
                <w:rFonts w:asciiTheme="minorEastAsia" w:eastAsiaTheme="minorEastAsia" w:hAnsiTheme="minorEastAsia" w:hint="eastAsia"/>
                <w:color w:val="1E1E1E"/>
                <w:szCs w:val="21"/>
              </w:rPr>
              <w:t>日</w:t>
            </w:r>
          </w:p>
        </w:tc>
      </w:tr>
      <w:tr w:rsidR="00C8734A">
        <w:tc>
          <w:tcPr>
            <w:tcW w:w="3960" w:type="dxa"/>
          </w:tcPr>
          <w:p w:rsidR="00C8734A" w:rsidRDefault="005222DA">
            <w:pPr>
              <w:rPr>
                <w:rFonts w:ascii="宋体" w:hAnsi="宋体"/>
                <w:szCs w:val="21"/>
              </w:rPr>
            </w:pPr>
            <w:r>
              <w:rPr>
                <w:rFonts w:ascii="宋体" w:hAnsi="宋体" w:hint="eastAsia"/>
                <w:szCs w:val="21"/>
              </w:rPr>
              <w:t>基金管理人名称</w:t>
            </w:r>
          </w:p>
        </w:tc>
        <w:tc>
          <w:tcPr>
            <w:tcW w:w="4860" w:type="dxa"/>
          </w:tcPr>
          <w:p w:rsidR="00C8734A" w:rsidRDefault="005222DA">
            <w:pPr>
              <w:rPr>
                <w:rFonts w:asciiTheme="minorEastAsia" w:eastAsiaTheme="minorEastAsia" w:hAnsiTheme="minorEastAsia"/>
                <w:szCs w:val="21"/>
              </w:rPr>
            </w:pPr>
            <w:bookmarkStart w:id="8" w:name="t_2_1_0186_a1_fm1"/>
            <w:bookmarkEnd w:id="8"/>
            <w:r>
              <w:rPr>
                <w:rFonts w:asciiTheme="minorEastAsia" w:eastAsiaTheme="minorEastAsia" w:hAnsiTheme="minorEastAsia" w:hint="eastAsia"/>
                <w:szCs w:val="21"/>
              </w:rPr>
              <w:t>中银国际证券股份有限公司</w:t>
            </w:r>
          </w:p>
        </w:tc>
      </w:tr>
      <w:tr w:rsidR="00C8734A">
        <w:tc>
          <w:tcPr>
            <w:tcW w:w="3960" w:type="dxa"/>
          </w:tcPr>
          <w:p w:rsidR="00C8734A" w:rsidRDefault="005222DA">
            <w:pPr>
              <w:rPr>
                <w:rFonts w:ascii="宋体" w:hAnsi="宋体"/>
                <w:szCs w:val="21"/>
              </w:rPr>
            </w:pPr>
            <w:r>
              <w:rPr>
                <w:rFonts w:ascii="宋体" w:hAnsi="宋体" w:hint="eastAsia"/>
                <w:szCs w:val="21"/>
              </w:rPr>
              <w:t>基金托管人名称</w:t>
            </w:r>
          </w:p>
        </w:tc>
        <w:tc>
          <w:tcPr>
            <w:tcW w:w="4860" w:type="dxa"/>
          </w:tcPr>
          <w:p w:rsidR="00C8734A" w:rsidRDefault="005222DA">
            <w:pPr>
              <w:rPr>
                <w:rFonts w:asciiTheme="minorEastAsia" w:eastAsiaTheme="minorEastAsia" w:hAnsiTheme="minorEastAsia"/>
                <w:szCs w:val="21"/>
              </w:rPr>
            </w:pPr>
            <w:bookmarkStart w:id="9" w:name="t_2_1_0213_a1_fm1"/>
            <w:bookmarkEnd w:id="9"/>
            <w:r>
              <w:rPr>
                <w:rFonts w:asciiTheme="minorEastAsia" w:eastAsiaTheme="minorEastAsia" w:hAnsiTheme="minorEastAsia" w:hint="eastAsia"/>
                <w:color w:val="1E1E1E"/>
                <w:szCs w:val="21"/>
              </w:rPr>
              <w:t>华夏银行股份有限公司</w:t>
            </w:r>
          </w:p>
        </w:tc>
      </w:tr>
      <w:tr w:rsidR="00C8734A">
        <w:tc>
          <w:tcPr>
            <w:tcW w:w="3960" w:type="dxa"/>
          </w:tcPr>
          <w:p w:rsidR="00C8734A" w:rsidRDefault="005222DA">
            <w:pPr>
              <w:rPr>
                <w:rFonts w:ascii="宋体" w:hAnsi="宋体"/>
                <w:szCs w:val="21"/>
              </w:rPr>
            </w:pPr>
            <w:r>
              <w:rPr>
                <w:rFonts w:ascii="宋体" w:hAnsi="宋体" w:hint="eastAsia"/>
                <w:szCs w:val="21"/>
              </w:rPr>
              <w:t>基金注册登记机构名称</w:t>
            </w:r>
          </w:p>
        </w:tc>
        <w:tc>
          <w:tcPr>
            <w:tcW w:w="4860" w:type="dxa"/>
          </w:tcPr>
          <w:p w:rsidR="00C8734A" w:rsidRDefault="005222DA">
            <w:pPr>
              <w:rPr>
                <w:rFonts w:asciiTheme="minorEastAsia" w:eastAsiaTheme="minorEastAsia" w:hAnsiTheme="minorEastAsia"/>
                <w:szCs w:val="21"/>
              </w:rPr>
            </w:pPr>
            <w:bookmarkStart w:id="10" w:name="t_2_1_0310_a1_fm1"/>
            <w:bookmarkEnd w:id="10"/>
            <w:r>
              <w:rPr>
                <w:rFonts w:asciiTheme="minorEastAsia" w:eastAsiaTheme="minorEastAsia" w:hAnsiTheme="minorEastAsia" w:hint="eastAsia"/>
                <w:szCs w:val="21"/>
              </w:rPr>
              <w:t>中银国际证券股份有限公司</w:t>
            </w:r>
          </w:p>
        </w:tc>
      </w:tr>
      <w:tr w:rsidR="00C8734A">
        <w:tc>
          <w:tcPr>
            <w:tcW w:w="3960" w:type="dxa"/>
          </w:tcPr>
          <w:p w:rsidR="00C8734A" w:rsidRDefault="005222DA">
            <w:pPr>
              <w:rPr>
                <w:rFonts w:ascii="宋体" w:hAnsi="宋体"/>
                <w:szCs w:val="21"/>
              </w:rPr>
            </w:pPr>
            <w:r>
              <w:rPr>
                <w:rFonts w:ascii="宋体" w:hAnsi="宋体" w:hint="eastAsia"/>
                <w:szCs w:val="21"/>
              </w:rPr>
              <w:t>公告依据</w:t>
            </w:r>
          </w:p>
        </w:tc>
        <w:tc>
          <w:tcPr>
            <w:tcW w:w="4860" w:type="dxa"/>
          </w:tcPr>
          <w:p w:rsidR="00C8734A" w:rsidRDefault="005222DA">
            <w:pPr>
              <w:rPr>
                <w:rFonts w:asciiTheme="minorEastAsia" w:eastAsiaTheme="minorEastAsia" w:hAnsiTheme="minorEastAsia"/>
                <w:szCs w:val="21"/>
              </w:rPr>
            </w:pPr>
            <w:bookmarkStart w:id="11" w:name="t_2_1_2631_a1_fm1"/>
            <w:bookmarkEnd w:id="11"/>
            <w:r>
              <w:rPr>
                <w:rFonts w:asciiTheme="minorEastAsia" w:eastAsiaTheme="minorEastAsia" w:hAnsiTheme="minorEastAsia" w:hint="eastAsia"/>
                <w:color w:val="1E1E1E"/>
                <w:szCs w:val="21"/>
              </w:rPr>
              <w:t>《中华人民共和国证券投资基金法》及配套法规、《中银证券汇远一年定期开放债券型发起式证券投资基金基金合同》、《中银证券汇远一年定期开放债券型发起式证券投资基金招募说明书》等</w:t>
            </w:r>
          </w:p>
        </w:tc>
      </w:tr>
      <w:tr w:rsidR="00C8734A">
        <w:tc>
          <w:tcPr>
            <w:tcW w:w="3960" w:type="dxa"/>
          </w:tcPr>
          <w:p w:rsidR="00C8734A" w:rsidRDefault="005222DA">
            <w:pPr>
              <w:rPr>
                <w:rFonts w:ascii="宋体" w:hAnsi="宋体"/>
                <w:szCs w:val="21"/>
              </w:rPr>
            </w:pPr>
            <w:r>
              <w:rPr>
                <w:rFonts w:ascii="宋体" w:hAnsi="宋体" w:hint="eastAsia"/>
                <w:szCs w:val="21"/>
              </w:rPr>
              <w:t>申购起始日</w:t>
            </w:r>
          </w:p>
        </w:tc>
        <w:tc>
          <w:tcPr>
            <w:tcW w:w="4860" w:type="dxa"/>
          </w:tcPr>
          <w:p w:rsidR="00C8734A" w:rsidRDefault="005222DA">
            <w:pPr>
              <w:rPr>
                <w:rFonts w:asciiTheme="minorEastAsia" w:eastAsiaTheme="minorEastAsia" w:hAnsiTheme="minorEastAsia"/>
                <w:szCs w:val="21"/>
              </w:rPr>
            </w:pPr>
            <w:bookmarkStart w:id="12" w:name="t_2_1_2660_a1_fm1"/>
            <w:bookmarkEnd w:id="12"/>
            <w:r>
              <w:rPr>
                <w:rFonts w:asciiTheme="minorEastAsia" w:eastAsiaTheme="minorEastAsia" w:hAnsiTheme="minorEastAsia" w:hint="eastAsia"/>
                <w:szCs w:val="21"/>
              </w:rPr>
              <w:t>202</w:t>
            </w:r>
            <w:r>
              <w:rPr>
                <w:rFonts w:asciiTheme="minorEastAsia" w:eastAsiaTheme="minorEastAsia" w:hAnsiTheme="minorEastAsia" w:hint="eastAsia"/>
                <w:szCs w:val="21"/>
              </w:rPr>
              <w:t>3</w:t>
            </w:r>
            <w:r>
              <w:rPr>
                <w:rFonts w:asciiTheme="minorEastAsia" w:eastAsiaTheme="minorEastAsia" w:hAnsiTheme="minorEastAsia" w:hint="eastAsia"/>
                <w:szCs w:val="21"/>
              </w:rPr>
              <w:t>年</w:t>
            </w:r>
            <w:r>
              <w:rPr>
                <w:rFonts w:asciiTheme="minorEastAsia" w:eastAsiaTheme="minorEastAsia" w:hAnsiTheme="minorEastAsia" w:hint="eastAsia"/>
                <w:szCs w:val="21"/>
              </w:rPr>
              <w:t>6</w:t>
            </w:r>
            <w:r>
              <w:rPr>
                <w:rFonts w:asciiTheme="minorEastAsia" w:eastAsiaTheme="minorEastAsia" w:hAnsiTheme="minorEastAsia" w:hint="eastAsia"/>
                <w:szCs w:val="21"/>
              </w:rPr>
              <w:t>月</w:t>
            </w:r>
            <w:r>
              <w:rPr>
                <w:rFonts w:asciiTheme="minorEastAsia" w:eastAsiaTheme="minorEastAsia" w:hAnsiTheme="minorEastAsia" w:hint="eastAsia"/>
                <w:szCs w:val="21"/>
              </w:rPr>
              <w:t>15</w:t>
            </w:r>
            <w:r>
              <w:rPr>
                <w:rFonts w:asciiTheme="minorEastAsia" w:eastAsiaTheme="minorEastAsia" w:hAnsiTheme="minorEastAsia" w:hint="eastAsia"/>
                <w:szCs w:val="21"/>
              </w:rPr>
              <w:t>日</w:t>
            </w:r>
          </w:p>
        </w:tc>
      </w:tr>
      <w:tr w:rsidR="00C8734A">
        <w:tc>
          <w:tcPr>
            <w:tcW w:w="3960" w:type="dxa"/>
          </w:tcPr>
          <w:p w:rsidR="00C8734A" w:rsidRDefault="005222DA">
            <w:pPr>
              <w:rPr>
                <w:rFonts w:ascii="宋体" w:hAnsi="宋体"/>
                <w:szCs w:val="21"/>
              </w:rPr>
            </w:pPr>
            <w:r>
              <w:rPr>
                <w:rFonts w:ascii="宋体" w:hAnsi="宋体" w:hint="eastAsia"/>
                <w:szCs w:val="21"/>
              </w:rPr>
              <w:t>赎回起始日</w:t>
            </w:r>
          </w:p>
        </w:tc>
        <w:tc>
          <w:tcPr>
            <w:tcW w:w="4860" w:type="dxa"/>
          </w:tcPr>
          <w:p w:rsidR="00C8734A" w:rsidRDefault="005222DA">
            <w:pPr>
              <w:rPr>
                <w:rFonts w:asciiTheme="minorEastAsia" w:eastAsiaTheme="minorEastAsia" w:hAnsiTheme="minorEastAsia"/>
                <w:szCs w:val="21"/>
              </w:rPr>
            </w:pPr>
            <w:bookmarkStart w:id="13" w:name="t_2_1_2661_a1_fm1"/>
            <w:bookmarkEnd w:id="13"/>
            <w:r>
              <w:rPr>
                <w:rFonts w:asciiTheme="minorEastAsia" w:eastAsiaTheme="minorEastAsia" w:hAnsiTheme="minorEastAsia" w:hint="eastAsia"/>
                <w:szCs w:val="21"/>
              </w:rPr>
              <w:t>202</w:t>
            </w:r>
            <w:r>
              <w:rPr>
                <w:rFonts w:asciiTheme="minorEastAsia" w:eastAsiaTheme="minorEastAsia" w:hAnsiTheme="minorEastAsia" w:hint="eastAsia"/>
                <w:szCs w:val="21"/>
              </w:rPr>
              <w:t>3</w:t>
            </w:r>
            <w:r>
              <w:rPr>
                <w:rFonts w:asciiTheme="minorEastAsia" w:eastAsiaTheme="minorEastAsia" w:hAnsiTheme="minorEastAsia" w:hint="eastAsia"/>
                <w:szCs w:val="21"/>
              </w:rPr>
              <w:t>年</w:t>
            </w:r>
            <w:r>
              <w:rPr>
                <w:rFonts w:asciiTheme="minorEastAsia" w:eastAsiaTheme="minorEastAsia" w:hAnsiTheme="minorEastAsia" w:hint="eastAsia"/>
                <w:szCs w:val="21"/>
              </w:rPr>
              <w:t>6</w:t>
            </w:r>
            <w:r>
              <w:rPr>
                <w:rFonts w:asciiTheme="minorEastAsia" w:eastAsiaTheme="minorEastAsia" w:hAnsiTheme="minorEastAsia" w:hint="eastAsia"/>
                <w:szCs w:val="21"/>
              </w:rPr>
              <w:t>月</w:t>
            </w:r>
            <w:r>
              <w:rPr>
                <w:rFonts w:asciiTheme="minorEastAsia" w:eastAsiaTheme="minorEastAsia" w:hAnsiTheme="minorEastAsia" w:hint="eastAsia"/>
                <w:szCs w:val="21"/>
              </w:rPr>
              <w:t>15</w:t>
            </w:r>
            <w:r>
              <w:rPr>
                <w:rFonts w:asciiTheme="minorEastAsia" w:eastAsiaTheme="minorEastAsia" w:hAnsiTheme="minorEastAsia" w:hint="eastAsia"/>
                <w:szCs w:val="21"/>
              </w:rPr>
              <w:t>日</w:t>
            </w:r>
          </w:p>
        </w:tc>
      </w:tr>
      <w:bookmarkEnd w:id="1"/>
      <w:bookmarkEnd w:id="2"/>
    </w:tbl>
    <w:p w:rsidR="00C8734A" w:rsidRDefault="00C8734A">
      <w:pPr>
        <w:rPr>
          <w:rFonts w:ascii="宋体" w:hAnsi="宋体"/>
          <w:color w:val="0000FF"/>
          <w:kern w:val="0"/>
          <w:sz w:val="18"/>
        </w:rPr>
      </w:pPr>
    </w:p>
    <w:p w:rsidR="00C8734A" w:rsidRDefault="005222DA" w:rsidP="005222DA">
      <w:pPr>
        <w:pStyle w:val="2"/>
        <w:numPr>
          <w:ilvl w:val="0"/>
          <w:numId w:val="1"/>
        </w:numPr>
        <w:spacing w:beforeLines="50" w:afterLines="50" w:line="240" w:lineRule="auto"/>
        <w:jc w:val="left"/>
        <w:rPr>
          <w:rFonts w:ascii="宋体" w:eastAsia="宋体" w:hAnsi="宋体"/>
          <w:bCs/>
          <w:sz w:val="24"/>
          <w:szCs w:val="24"/>
        </w:rPr>
      </w:pPr>
      <w:bookmarkStart w:id="14" w:name="t_2_2_table"/>
      <w:bookmarkEnd w:id="14"/>
      <w:r>
        <w:rPr>
          <w:rFonts w:ascii="宋体" w:eastAsia="宋体" w:hAnsi="宋体" w:hint="eastAsia"/>
          <w:bCs/>
          <w:sz w:val="24"/>
          <w:szCs w:val="24"/>
        </w:rPr>
        <w:t>日常申购、赎回业务的办理时间</w:t>
      </w:r>
    </w:p>
    <w:p w:rsidR="00C8734A" w:rsidRDefault="005222DA" w:rsidP="005222DA">
      <w:pPr>
        <w:numPr>
          <w:ilvl w:val="1"/>
          <w:numId w:val="1"/>
        </w:numPr>
        <w:spacing w:beforeLines="50" w:afterLines="50"/>
        <w:jc w:val="left"/>
        <w:rPr>
          <w:rFonts w:ascii="宋体" w:hAnsi="宋体"/>
          <w:b/>
          <w:sz w:val="24"/>
          <w:szCs w:val="20"/>
        </w:rPr>
      </w:pPr>
      <w:bookmarkStart w:id="15" w:name="t_2_2_2819_a1_fm1"/>
      <w:bookmarkEnd w:id="15"/>
      <w:r>
        <w:rPr>
          <w:rFonts w:ascii="宋体" w:hAnsi="宋体" w:hint="eastAsia"/>
          <w:b/>
          <w:sz w:val="24"/>
          <w:szCs w:val="20"/>
        </w:rPr>
        <w:t>封闭期与开放期</w:t>
      </w:r>
    </w:p>
    <w:p w:rsidR="00C8734A" w:rsidRDefault="005222DA">
      <w:pPr>
        <w:spacing w:line="360" w:lineRule="auto"/>
        <w:ind w:firstLineChars="200" w:firstLine="420"/>
        <w:rPr>
          <w:rFonts w:asciiTheme="minorEastAsia" w:eastAsiaTheme="minorEastAsia" w:hAnsiTheme="minorEastAsia"/>
          <w:bCs/>
          <w:color w:val="FF0000"/>
          <w:szCs w:val="21"/>
        </w:rPr>
      </w:pPr>
      <w:r>
        <w:rPr>
          <w:rFonts w:asciiTheme="minorEastAsia" w:eastAsiaTheme="minorEastAsia" w:hAnsiTheme="minorEastAsia" w:hint="eastAsia"/>
          <w:bCs/>
          <w:szCs w:val="21"/>
        </w:rPr>
        <w:t>根据基金合同约定，</w:t>
      </w:r>
      <w:r>
        <w:rPr>
          <w:rFonts w:asciiTheme="minorEastAsia" w:eastAsiaTheme="minorEastAsia" w:hAnsiTheme="minorEastAsia" w:hint="eastAsia"/>
          <w:color w:val="1E1E1E"/>
          <w:szCs w:val="21"/>
        </w:rPr>
        <w:t>本基金的封闭期为自基金合同生效之日起（包括该日）或自每一开放期结束之日次日起（包括该日）至第一个年度对日的期间，本基金封闭期内不办理申购与赎回业务。本基金自每个封闭期结束之后第一个工作日起进入开放期，期间可以办理申购与赎回业务。本基金每个开放期不少于</w:t>
      </w:r>
      <w:r>
        <w:rPr>
          <w:rFonts w:asciiTheme="minorEastAsia" w:eastAsiaTheme="minorEastAsia" w:hAnsiTheme="minorEastAsia" w:hint="eastAsia"/>
          <w:color w:val="1E1E1E"/>
          <w:szCs w:val="21"/>
        </w:rPr>
        <w:t xml:space="preserve"> 2</w:t>
      </w:r>
      <w:r>
        <w:rPr>
          <w:rFonts w:asciiTheme="minorEastAsia" w:eastAsiaTheme="minorEastAsia" w:hAnsiTheme="minorEastAsia" w:hint="eastAsia"/>
          <w:color w:val="1E1E1E"/>
          <w:szCs w:val="21"/>
        </w:rPr>
        <w:t>个工作日，并且最长不超过</w:t>
      </w:r>
      <w:r>
        <w:rPr>
          <w:rFonts w:asciiTheme="minorEastAsia" w:eastAsiaTheme="minorEastAsia" w:hAnsiTheme="minorEastAsia" w:hint="eastAsia"/>
          <w:color w:val="1E1E1E"/>
          <w:szCs w:val="21"/>
        </w:rPr>
        <w:t xml:space="preserve"> 20</w:t>
      </w:r>
      <w:r>
        <w:rPr>
          <w:rFonts w:asciiTheme="minorEastAsia" w:eastAsiaTheme="minorEastAsia" w:hAnsiTheme="minorEastAsia" w:hint="eastAsia"/>
          <w:color w:val="1E1E1E"/>
          <w:szCs w:val="21"/>
        </w:rPr>
        <w:t>个工作日。</w:t>
      </w:r>
      <w:r>
        <w:rPr>
          <w:rFonts w:asciiTheme="minorEastAsia" w:eastAsiaTheme="minorEastAsia" w:hAnsiTheme="minorEastAsia" w:hint="eastAsia"/>
          <w:bCs/>
          <w:szCs w:val="21"/>
        </w:rPr>
        <w:t>本基金</w:t>
      </w:r>
      <w:r>
        <w:rPr>
          <w:rFonts w:asciiTheme="minorEastAsia" w:eastAsiaTheme="minorEastAsia" w:hAnsiTheme="minorEastAsia" w:hint="eastAsia"/>
          <w:bCs/>
          <w:szCs w:val="21"/>
        </w:rPr>
        <w:t>202</w:t>
      </w:r>
      <w:r>
        <w:rPr>
          <w:rFonts w:asciiTheme="minorEastAsia" w:eastAsiaTheme="minorEastAsia" w:hAnsiTheme="minorEastAsia" w:hint="eastAsia"/>
          <w:bCs/>
          <w:szCs w:val="21"/>
        </w:rPr>
        <w:t>3</w:t>
      </w:r>
      <w:r>
        <w:rPr>
          <w:rFonts w:asciiTheme="minorEastAsia" w:eastAsiaTheme="minorEastAsia" w:hAnsiTheme="minorEastAsia" w:hint="eastAsia"/>
          <w:bCs/>
          <w:szCs w:val="21"/>
        </w:rPr>
        <w:t>年第一个开放期</w:t>
      </w:r>
      <w:r>
        <w:rPr>
          <w:rFonts w:asciiTheme="minorEastAsia" w:eastAsiaTheme="minorEastAsia" w:hAnsiTheme="minorEastAsia" w:hint="eastAsia"/>
          <w:szCs w:val="21"/>
        </w:rPr>
        <w:t>为</w:t>
      </w:r>
      <w:r>
        <w:rPr>
          <w:rFonts w:asciiTheme="minorEastAsia" w:eastAsiaTheme="minorEastAsia" w:hAnsiTheme="minorEastAsia" w:hint="eastAsia"/>
          <w:szCs w:val="21"/>
        </w:rPr>
        <w:t>202</w:t>
      </w:r>
      <w:r>
        <w:rPr>
          <w:rFonts w:asciiTheme="minorEastAsia" w:eastAsiaTheme="minorEastAsia" w:hAnsiTheme="minorEastAsia" w:hint="eastAsia"/>
          <w:szCs w:val="21"/>
        </w:rPr>
        <w:t>3</w:t>
      </w:r>
      <w:r>
        <w:rPr>
          <w:rFonts w:asciiTheme="minorEastAsia" w:eastAsiaTheme="minorEastAsia" w:hAnsiTheme="minorEastAsia" w:hint="eastAsia"/>
          <w:szCs w:val="21"/>
        </w:rPr>
        <w:t>年</w:t>
      </w:r>
      <w:r>
        <w:rPr>
          <w:rFonts w:asciiTheme="minorEastAsia" w:eastAsiaTheme="minorEastAsia" w:hAnsiTheme="minorEastAsia" w:hint="eastAsia"/>
          <w:szCs w:val="21"/>
        </w:rPr>
        <w:t>6</w:t>
      </w:r>
      <w:r>
        <w:rPr>
          <w:rFonts w:asciiTheme="minorEastAsia" w:eastAsiaTheme="minorEastAsia" w:hAnsiTheme="minorEastAsia" w:hint="eastAsia"/>
          <w:szCs w:val="21"/>
        </w:rPr>
        <w:t>月</w:t>
      </w:r>
      <w:r>
        <w:rPr>
          <w:rFonts w:asciiTheme="minorEastAsia" w:eastAsiaTheme="minorEastAsia" w:hAnsiTheme="minorEastAsia" w:hint="eastAsia"/>
          <w:szCs w:val="21"/>
        </w:rPr>
        <w:t>15</w:t>
      </w:r>
      <w:r>
        <w:rPr>
          <w:rFonts w:asciiTheme="minorEastAsia" w:eastAsiaTheme="minorEastAsia" w:hAnsiTheme="minorEastAsia" w:hint="eastAsia"/>
          <w:szCs w:val="21"/>
        </w:rPr>
        <w:t>日至</w:t>
      </w:r>
      <w:r>
        <w:rPr>
          <w:rFonts w:asciiTheme="minorEastAsia" w:eastAsiaTheme="minorEastAsia" w:hAnsiTheme="minorEastAsia" w:hint="eastAsia"/>
          <w:szCs w:val="21"/>
        </w:rPr>
        <w:t>202</w:t>
      </w:r>
      <w:r>
        <w:rPr>
          <w:rFonts w:asciiTheme="minorEastAsia" w:eastAsiaTheme="minorEastAsia" w:hAnsiTheme="minorEastAsia" w:hint="eastAsia"/>
          <w:szCs w:val="21"/>
        </w:rPr>
        <w:t>3</w:t>
      </w:r>
      <w:r>
        <w:rPr>
          <w:rFonts w:asciiTheme="minorEastAsia" w:eastAsiaTheme="minorEastAsia" w:hAnsiTheme="minorEastAsia" w:hint="eastAsia"/>
          <w:szCs w:val="21"/>
        </w:rPr>
        <w:t>年</w:t>
      </w:r>
      <w:r>
        <w:rPr>
          <w:rFonts w:asciiTheme="minorEastAsia" w:eastAsiaTheme="minorEastAsia" w:hAnsiTheme="minorEastAsia" w:hint="eastAsia"/>
          <w:szCs w:val="21"/>
        </w:rPr>
        <w:t>7</w:t>
      </w:r>
      <w:r>
        <w:rPr>
          <w:rFonts w:asciiTheme="minorEastAsia" w:eastAsiaTheme="minorEastAsia" w:hAnsiTheme="minorEastAsia" w:hint="eastAsia"/>
          <w:szCs w:val="21"/>
        </w:rPr>
        <w:t>月</w:t>
      </w:r>
      <w:r>
        <w:rPr>
          <w:rFonts w:asciiTheme="minorEastAsia" w:eastAsiaTheme="minorEastAsia" w:hAnsiTheme="minorEastAsia" w:hint="eastAsia"/>
          <w:szCs w:val="21"/>
        </w:rPr>
        <w:t>14</w:t>
      </w:r>
      <w:r>
        <w:rPr>
          <w:rFonts w:asciiTheme="minorEastAsia" w:eastAsiaTheme="minorEastAsia" w:hAnsiTheme="minorEastAsia" w:hint="eastAsia"/>
          <w:szCs w:val="21"/>
        </w:rPr>
        <w:t>日。</w:t>
      </w:r>
      <w:r>
        <w:rPr>
          <w:rFonts w:asciiTheme="minorEastAsia" w:eastAsiaTheme="minorEastAsia" w:hAnsiTheme="minorEastAsia" w:hint="eastAsia"/>
          <w:color w:val="FF0000"/>
          <w:szCs w:val="21"/>
        </w:rPr>
        <w:t xml:space="preserve">  </w:t>
      </w:r>
      <w:r>
        <w:rPr>
          <w:rFonts w:asciiTheme="minorEastAsia" w:eastAsiaTheme="minorEastAsia" w:hAnsiTheme="minorEastAsia" w:hint="eastAsia"/>
          <w:szCs w:val="21"/>
        </w:rPr>
        <w:t xml:space="preserve"> </w:t>
      </w:r>
      <w:r>
        <w:rPr>
          <w:rFonts w:asciiTheme="minorEastAsia" w:eastAsiaTheme="minorEastAsia" w:hAnsiTheme="minorEastAsia" w:hint="eastAsia"/>
          <w:color w:val="FF0000"/>
          <w:szCs w:val="21"/>
        </w:rPr>
        <w:t xml:space="preserve">  </w:t>
      </w:r>
    </w:p>
    <w:p w:rsidR="00C8734A" w:rsidRDefault="005222DA">
      <w:pPr>
        <w:spacing w:line="360" w:lineRule="auto"/>
        <w:ind w:firstLineChars="200" w:firstLine="420"/>
        <w:rPr>
          <w:rFonts w:ascii="宋体" w:hAnsi="宋体"/>
          <w:szCs w:val="21"/>
        </w:rPr>
      </w:pPr>
      <w:r>
        <w:rPr>
          <w:rFonts w:ascii="宋体" w:hAnsi="宋体" w:hint="eastAsia"/>
          <w:szCs w:val="21"/>
        </w:rPr>
        <w:t>如封闭期结束后或在开放期内发生不可抗力或其他情形致使基金无法按时开放申购与赎回业务的，开放期时间中止计算，在不可抗力或其他情形影响因</w:t>
      </w:r>
      <w:r>
        <w:rPr>
          <w:rFonts w:ascii="宋体" w:hAnsi="宋体" w:hint="eastAsia"/>
          <w:szCs w:val="21"/>
        </w:rPr>
        <w:t>素消除之日次一工作日起，继续计算该开放期时间，直至满足开放期的时间要求。如未发生前述事项，本基金自</w:t>
      </w:r>
      <w:r>
        <w:rPr>
          <w:rFonts w:ascii="宋体" w:hAnsi="宋体" w:hint="eastAsia"/>
          <w:szCs w:val="21"/>
        </w:rPr>
        <w:t>202</w:t>
      </w:r>
      <w:r>
        <w:rPr>
          <w:rFonts w:ascii="宋体" w:hAnsi="宋体" w:hint="eastAsia"/>
          <w:szCs w:val="21"/>
        </w:rPr>
        <w:t>3</w:t>
      </w:r>
      <w:r>
        <w:rPr>
          <w:rFonts w:ascii="宋体" w:hAnsi="宋体" w:hint="eastAsia"/>
          <w:szCs w:val="21"/>
        </w:rPr>
        <w:t>年</w:t>
      </w:r>
      <w:r>
        <w:rPr>
          <w:rFonts w:ascii="宋体" w:hAnsi="宋体" w:hint="eastAsia"/>
          <w:szCs w:val="21"/>
        </w:rPr>
        <w:t>7</w:t>
      </w:r>
      <w:r>
        <w:rPr>
          <w:rFonts w:ascii="宋体" w:hAnsi="宋体" w:hint="eastAsia"/>
          <w:szCs w:val="21"/>
        </w:rPr>
        <w:t>月</w:t>
      </w:r>
      <w:r>
        <w:rPr>
          <w:rFonts w:ascii="宋体" w:hAnsi="宋体" w:hint="eastAsia"/>
          <w:szCs w:val="21"/>
        </w:rPr>
        <w:t>15</w:t>
      </w:r>
      <w:r>
        <w:rPr>
          <w:rFonts w:ascii="宋体" w:hAnsi="宋体"/>
          <w:szCs w:val="21"/>
        </w:rPr>
        <w:t>日</w:t>
      </w:r>
      <w:r>
        <w:rPr>
          <w:rFonts w:ascii="宋体" w:hAnsi="宋体" w:hint="eastAsia"/>
          <w:szCs w:val="21"/>
        </w:rPr>
        <w:t>将进入</w:t>
      </w:r>
      <w:r>
        <w:rPr>
          <w:rFonts w:ascii="宋体" w:hAnsi="宋体" w:hint="eastAsia"/>
          <w:szCs w:val="21"/>
        </w:rPr>
        <w:t>下一个</w:t>
      </w:r>
      <w:r>
        <w:rPr>
          <w:rFonts w:ascii="宋体" w:hAnsi="宋体" w:hint="eastAsia"/>
          <w:szCs w:val="21"/>
        </w:rPr>
        <w:t>封闭期。</w:t>
      </w:r>
      <w:bookmarkStart w:id="16" w:name="_GoBack"/>
      <w:bookmarkEnd w:id="16"/>
    </w:p>
    <w:p w:rsidR="00C8734A" w:rsidRDefault="005222DA" w:rsidP="005222DA">
      <w:pPr>
        <w:numPr>
          <w:ilvl w:val="1"/>
          <w:numId w:val="1"/>
        </w:numPr>
        <w:spacing w:beforeLines="50" w:afterLines="50"/>
        <w:jc w:val="left"/>
        <w:rPr>
          <w:rFonts w:ascii="宋体" w:hAnsi="宋体"/>
          <w:b/>
          <w:sz w:val="24"/>
          <w:szCs w:val="20"/>
        </w:rPr>
      </w:pPr>
      <w:r>
        <w:rPr>
          <w:rFonts w:ascii="宋体" w:hAnsi="宋体" w:hint="eastAsia"/>
          <w:b/>
          <w:sz w:val="24"/>
          <w:szCs w:val="20"/>
        </w:rPr>
        <w:t>具体办理时间</w:t>
      </w:r>
    </w:p>
    <w:p w:rsidR="00C8734A" w:rsidRDefault="005222DA">
      <w:pPr>
        <w:spacing w:line="360" w:lineRule="auto"/>
        <w:ind w:firstLineChars="200" w:firstLine="420"/>
        <w:rPr>
          <w:kern w:val="0"/>
        </w:rPr>
      </w:pPr>
      <w:r>
        <w:rPr>
          <w:rFonts w:hint="eastAsia"/>
          <w:kern w:val="0"/>
        </w:rPr>
        <w:lastRenderedPageBreak/>
        <w:t>本基金办理基金份额的申购和赎回的开放日为开放期内的每个工作日，投资人在开放日办理基金份额的申购和赎回，具体办理时间为上海证券交易所、深圳证券交易所的正常交易日的交易时间，但基金管理人根据法律法规、中国证监会的要求或基金合同的规定公告暂停申购、赎回时除外。</w:t>
      </w:r>
    </w:p>
    <w:p w:rsidR="00C8734A" w:rsidRDefault="005222DA">
      <w:pPr>
        <w:spacing w:line="360" w:lineRule="auto"/>
        <w:ind w:firstLineChars="200" w:firstLine="420"/>
        <w:rPr>
          <w:rFonts w:ascii="宋体" w:hAnsi="宋体"/>
          <w:szCs w:val="21"/>
        </w:rPr>
      </w:pPr>
      <w:r>
        <w:rPr>
          <w:rFonts w:hint="eastAsia"/>
        </w:rPr>
        <w:t>本基金单一投资者持有的基金份额或者构成一致行动人的多个投资者持有的基金份额可达到或者超过</w:t>
      </w:r>
      <w:r>
        <w:rPr>
          <w:rFonts w:hint="eastAsia"/>
        </w:rPr>
        <w:t>50%</w:t>
      </w:r>
      <w:r>
        <w:rPr>
          <w:rFonts w:hint="eastAsia"/>
        </w:rPr>
        <w:t>，本基金不向个人投资者公开发售。</w:t>
      </w:r>
      <w:r>
        <w:rPr>
          <w:rFonts w:ascii="宋体" w:hAnsi="宋体" w:hint="eastAsia"/>
          <w:szCs w:val="21"/>
        </w:rPr>
        <w:t>基金合同生效后，若出现新的证券交易市场、证券交易所交易时间变更或其他特殊情况，基金管理人将视情况对前述开放日及开放时间进行相应的调整，但应在实施日前依照《公开募集证券投资基金信息披露管理办法》（以下简称《信息披露办法》）的有关规定在规定媒介上公告。</w:t>
      </w:r>
    </w:p>
    <w:p w:rsidR="00C8734A" w:rsidRDefault="005222DA">
      <w:pPr>
        <w:spacing w:line="360" w:lineRule="auto"/>
        <w:ind w:firstLineChars="200" w:firstLine="420"/>
        <w:rPr>
          <w:kern w:val="0"/>
        </w:rPr>
      </w:pPr>
      <w:r>
        <w:rPr>
          <w:rFonts w:hint="eastAsia"/>
        </w:rPr>
        <w:t>基金管理人不得在基金合同约定之外的日期或者时间办理基金份额的申购、赎回或者转换。在开放期内，投资者在基金合同约定之外的日期和时间提出申购</w:t>
      </w:r>
      <w:r>
        <w:rPr>
          <w:rFonts w:hint="eastAsia"/>
        </w:rPr>
        <w:t>、赎回或转换申请且登记机构确认接受的，其基金份额申购、赎回价格为该开放期内下一开放日基金份额申购、赎回的价格。在开放期最后一日业务办理时间结束之后提出申购、赎回或者转换申请的，视为无效申请。</w:t>
      </w:r>
    </w:p>
    <w:p w:rsidR="00C8734A" w:rsidRDefault="005222DA" w:rsidP="005222DA">
      <w:pPr>
        <w:pStyle w:val="2"/>
        <w:numPr>
          <w:ilvl w:val="0"/>
          <w:numId w:val="1"/>
        </w:numPr>
        <w:spacing w:beforeLines="50" w:afterLines="50" w:line="240" w:lineRule="auto"/>
        <w:jc w:val="left"/>
        <w:rPr>
          <w:rFonts w:ascii="宋体" w:eastAsia="宋体" w:hAnsi="宋体"/>
          <w:bCs/>
          <w:sz w:val="24"/>
          <w:szCs w:val="24"/>
        </w:rPr>
      </w:pPr>
      <w:r>
        <w:rPr>
          <w:rFonts w:ascii="宋体" w:eastAsia="宋体" w:hAnsi="宋体" w:hint="eastAsia"/>
          <w:bCs/>
          <w:sz w:val="24"/>
          <w:szCs w:val="24"/>
        </w:rPr>
        <w:t>日常申购业务</w:t>
      </w:r>
    </w:p>
    <w:p w:rsidR="00C8734A" w:rsidRDefault="005222DA" w:rsidP="005222DA">
      <w:pPr>
        <w:numPr>
          <w:ilvl w:val="1"/>
          <w:numId w:val="1"/>
        </w:numPr>
        <w:spacing w:beforeLines="50" w:afterLines="50"/>
        <w:jc w:val="left"/>
        <w:rPr>
          <w:rFonts w:ascii="宋体" w:hAnsi="宋体"/>
          <w:b/>
          <w:sz w:val="24"/>
          <w:szCs w:val="20"/>
        </w:rPr>
      </w:pPr>
      <w:bookmarkStart w:id="17" w:name="t_2_3_1_table"/>
      <w:bookmarkEnd w:id="17"/>
      <w:r>
        <w:rPr>
          <w:rFonts w:ascii="宋体" w:hAnsi="宋体" w:hint="eastAsia"/>
          <w:b/>
          <w:sz w:val="24"/>
          <w:szCs w:val="20"/>
        </w:rPr>
        <w:t>申购金额限制</w:t>
      </w:r>
    </w:p>
    <w:p w:rsidR="00C8734A" w:rsidRDefault="005222DA">
      <w:pPr>
        <w:spacing w:line="360" w:lineRule="auto"/>
        <w:ind w:firstLineChars="200" w:firstLine="420"/>
        <w:rPr>
          <w:rFonts w:ascii="宋体" w:hAnsi="宋体"/>
          <w:szCs w:val="21"/>
        </w:rPr>
      </w:pPr>
      <w:bookmarkStart w:id="18" w:name="t_2_3_1_2820_a1_fm1"/>
      <w:bookmarkEnd w:id="18"/>
      <w:r>
        <w:rPr>
          <w:rFonts w:hint="eastAsia"/>
          <w:szCs w:val="21"/>
        </w:rPr>
        <w:t>投资者通过直销柜台申购本基金的，单笔最低申购金额为人民币【</w:t>
      </w:r>
      <w:r>
        <w:rPr>
          <w:rFonts w:hint="eastAsia"/>
          <w:szCs w:val="21"/>
        </w:rPr>
        <w:t>50,000</w:t>
      </w:r>
      <w:r>
        <w:rPr>
          <w:rFonts w:hint="eastAsia"/>
          <w:szCs w:val="21"/>
        </w:rPr>
        <w:t>】元（含申购费）。追加申购最低金额为人民币【</w:t>
      </w:r>
      <w:r>
        <w:rPr>
          <w:rFonts w:hint="eastAsia"/>
          <w:szCs w:val="21"/>
        </w:rPr>
        <w:t>10</w:t>
      </w:r>
      <w:r>
        <w:rPr>
          <w:rFonts w:hint="eastAsia"/>
          <w:szCs w:val="21"/>
        </w:rPr>
        <w:t>】元（含申购费）。</w:t>
      </w:r>
      <w:r>
        <w:rPr>
          <w:rFonts w:hint="eastAsia"/>
          <w:bCs/>
        </w:rPr>
        <w:t>各销售机构对最低申购限额及交易级差有其他规定的，以各销售机构的业务规定为准。</w:t>
      </w:r>
    </w:p>
    <w:p w:rsidR="00C8734A" w:rsidRDefault="005222DA" w:rsidP="005222DA">
      <w:pPr>
        <w:numPr>
          <w:ilvl w:val="1"/>
          <w:numId w:val="1"/>
        </w:numPr>
        <w:spacing w:beforeLines="50" w:afterLines="50"/>
        <w:jc w:val="left"/>
        <w:rPr>
          <w:rFonts w:ascii="宋体" w:hAnsi="宋体"/>
          <w:b/>
          <w:sz w:val="24"/>
          <w:szCs w:val="20"/>
        </w:rPr>
      </w:pPr>
      <w:bookmarkStart w:id="19" w:name="t_2_3_2_table"/>
      <w:bookmarkEnd w:id="19"/>
      <w:r>
        <w:rPr>
          <w:rFonts w:ascii="宋体" w:hAnsi="宋体" w:hint="eastAsia"/>
          <w:b/>
          <w:sz w:val="24"/>
          <w:szCs w:val="20"/>
        </w:rPr>
        <w:t>申购费率</w:t>
      </w:r>
      <w:bookmarkStart w:id="20" w:name="t_2_3_2_2842_a1_fm1"/>
      <w:bookmarkStart w:id="21" w:name="m03_02_01"/>
      <w:bookmarkEnd w:id="20"/>
    </w:p>
    <w:p w:rsidR="00C8734A" w:rsidRDefault="005222DA">
      <w:pPr>
        <w:spacing w:line="360" w:lineRule="auto"/>
        <w:ind w:firstLineChars="200" w:firstLine="420"/>
        <w:rPr>
          <w:bCs/>
        </w:rPr>
      </w:pPr>
      <w:r>
        <w:rPr>
          <w:rFonts w:hint="eastAsia"/>
          <w:bCs/>
        </w:rPr>
        <w:t>投资者申购基金份额时，需交纳申购费用。投资者在一天之内如有多笔申购，</w:t>
      </w:r>
      <w:r>
        <w:rPr>
          <w:rFonts w:hint="eastAsia"/>
          <w:bCs/>
        </w:rPr>
        <w:t>适用费率按单笔分别计算。</w:t>
      </w:r>
    </w:p>
    <w:p w:rsidR="00C8734A" w:rsidRDefault="005222DA">
      <w:pPr>
        <w:spacing w:line="360" w:lineRule="auto"/>
        <w:ind w:firstLineChars="200" w:firstLine="480"/>
        <w:rPr>
          <w:rFonts w:ascii="宋体" w:hAnsi="宋体"/>
        </w:rPr>
      </w:pPr>
      <w:r>
        <w:rPr>
          <w:rFonts w:ascii="Tahoma" w:hAnsi="Tahoma" w:cs="Tahoma"/>
          <w:color w:val="000000"/>
          <w:kern w:val="0"/>
          <w:sz w:val="24"/>
          <w:szCs w:val="18"/>
        </w:rPr>
        <w:t>投资者申购本基金份额的申购费率如下：</w:t>
      </w:r>
    </w:p>
    <w:tbl>
      <w:tblPr>
        <w:tblW w:w="5744" w:type="dxa"/>
        <w:jc w:val="center"/>
        <w:tblLayout w:type="fixed"/>
        <w:tblCellMar>
          <w:left w:w="0" w:type="dxa"/>
          <w:right w:w="0" w:type="dxa"/>
        </w:tblCellMar>
        <w:tblLook w:val="04A0"/>
      </w:tblPr>
      <w:tblGrid>
        <w:gridCol w:w="2972"/>
        <w:gridCol w:w="2772"/>
      </w:tblGrid>
      <w:tr w:rsidR="00C8734A">
        <w:trPr>
          <w:jc w:val="center"/>
        </w:trPr>
        <w:tc>
          <w:tcPr>
            <w:tcW w:w="2972" w:type="dxa"/>
            <w:tcBorders>
              <w:top w:val="single" w:sz="6" w:space="0" w:color="000000"/>
              <w:left w:val="single" w:sz="6" w:space="0" w:color="000000"/>
              <w:bottom w:val="single" w:sz="6" w:space="0" w:color="000000"/>
              <w:right w:val="single" w:sz="6" w:space="0" w:color="000000"/>
            </w:tcBorders>
            <w:vAlign w:val="center"/>
          </w:tcPr>
          <w:p w:rsidR="00C8734A" w:rsidRDefault="005222DA">
            <w:pPr>
              <w:keepNext/>
              <w:keepLines/>
              <w:autoSpaceDE w:val="0"/>
              <w:autoSpaceDN w:val="0"/>
              <w:adjustRightInd w:val="0"/>
              <w:ind w:left="15"/>
              <w:jc w:val="center"/>
              <w:rPr>
                <w:rFonts w:ascii="宋体" w:hAnsi="宋体" w:cs="宋体"/>
                <w:color w:val="000000"/>
              </w:rPr>
            </w:pPr>
            <w:r>
              <w:rPr>
                <w:rFonts w:ascii="宋体" w:hAnsi="宋体" w:cs="宋体" w:hint="eastAsia"/>
                <w:color w:val="000000"/>
              </w:rPr>
              <w:t>金额（</w:t>
            </w:r>
            <w:r>
              <w:rPr>
                <w:rFonts w:ascii="宋体" w:hAnsi="宋体" w:cs="宋体" w:hint="eastAsia"/>
                <w:color w:val="000000"/>
              </w:rPr>
              <w:t>M</w:t>
            </w:r>
            <w:r>
              <w:rPr>
                <w:rFonts w:ascii="宋体" w:hAnsi="宋体" w:cs="宋体" w:hint="eastAsia"/>
                <w:color w:val="000000"/>
              </w:rPr>
              <w:t>）</w:t>
            </w:r>
          </w:p>
        </w:tc>
        <w:tc>
          <w:tcPr>
            <w:tcW w:w="2772" w:type="dxa"/>
            <w:tcBorders>
              <w:top w:val="single" w:sz="6" w:space="0" w:color="000000"/>
              <w:left w:val="single" w:sz="6" w:space="0" w:color="000000"/>
              <w:bottom w:val="single" w:sz="6" w:space="0" w:color="000000"/>
              <w:right w:val="single" w:sz="6" w:space="0" w:color="000000"/>
            </w:tcBorders>
            <w:vAlign w:val="center"/>
          </w:tcPr>
          <w:p w:rsidR="00C8734A" w:rsidRDefault="005222DA">
            <w:pPr>
              <w:keepNext/>
              <w:keepLines/>
              <w:autoSpaceDE w:val="0"/>
              <w:autoSpaceDN w:val="0"/>
              <w:adjustRightInd w:val="0"/>
              <w:ind w:left="15"/>
              <w:jc w:val="center"/>
              <w:rPr>
                <w:rFonts w:ascii="宋体" w:hAnsi="宋体" w:cs="宋体"/>
                <w:color w:val="000000"/>
              </w:rPr>
            </w:pPr>
            <w:r>
              <w:rPr>
                <w:rFonts w:ascii="宋体" w:hAnsi="宋体" w:cs="宋体" w:hint="eastAsia"/>
                <w:color w:val="000000"/>
              </w:rPr>
              <w:t>申购费率</w:t>
            </w:r>
          </w:p>
        </w:tc>
      </w:tr>
      <w:tr w:rsidR="00C8734A">
        <w:trPr>
          <w:jc w:val="center"/>
        </w:trPr>
        <w:tc>
          <w:tcPr>
            <w:tcW w:w="2972" w:type="dxa"/>
            <w:tcBorders>
              <w:top w:val="single" w:sz="6" w:space="0" w:color="000000"/>
              <w:left w:val="single" w:sz="6" w:space="0" w:color="000000"/>
              <w:bottom w:val="single" w:sz="6" w:space="0" w:color="000000"/>
              <w:right w:val="single" w:sz="6" w:space="0" w:color="000000"/>
            </w:tcBorders>
            <w:vAlign w:val="center"/>
          </w:tcPr>
          <w:p w:rsidR="00C8734A" w:rsidRDefault="005222DA">
            <w:pPr>
              <w:keepNext/>
              <w:keepLines/>
              <w:autoSpaceDE w:val="0"/>
              <w:autoSpaceDN w:val="0"/>
              <w:adjustRightInd w:val="0"/>
              <w:ind w:left="15"/>
              <w:jc w:val="center"/>
              <w:rPr>
                <w:rFonts w:ascii="宋体" w:hAnsi="宋体" w:cs="宋体"/>
                <w:color w:val="000000"/>
              </w:rPr>
            </w:pPr>
            <w:r>
              <w:rPr>
                <w:rFonts w:ascii="宋体" w:hAnsi="宋体" w:cs="Arial" w:hint="eastAsia"/>
                <w:szCs w:val="21"/>
              </w:rPr>
              <w:t>M</w:t>
            </w:r>
            <w:r>
              <w:rPr>
                <w:rFonts w:ascii="宋体" w:hAnsi="宋体" w:cs="Arial"/>
                <w:szCs w:val="21"/>
              </w:rPr>
              <w:t>&lt;1</w:t>
            </w:r>
            <w:r>
              <w:rPr>
                <w:rFonts w:ascii="宋体" w:hAnsi="宋体" w:cs="Arial" w:hint="eastAsia"/>
                <w:szCs w:val="21"/>
              </w:rPr>
              <w:t>00</w:t>
            </w:r>
            <w:r>
              <w:rPr>
                <w:rFonts w:ascii="宋体" w:hAnsi="宋体" w:cs="Arial" w:hint="eastAsia"/>
                <w:szCs w:val="21"/>
              </w:rPr>
              <w:t>万元</w:t>
            </w:r>
          </w:p>
        </w:tc>
        <w:tc>
          <w:tcPr>
            <w:tcW w:w="2772" w:type="dxa"/>
            <w:tcBorders>
              <w:top w:val="single" w:sz="6" w:space="0" w:color="000000"/>
              <w:left w:val="single" w:sz="6" w:space="0" w:color="000000"/>
              <w:bottom w:val="single" w:sz="6" w:space="0" w:color="000000"/>
              <w:right w:val="single" w:sz="6" w:space="0" w:color="000000"/>
            </w:tcBorders>
            <w:vAlign w:val="center"/>
          </w:tcPr>
          <w:p w:rsidR="00C8734A" w:rsidRDefault="005222DA">
            <w:pPr>
              <w:keepNext/>
              <w:keepLines/>
              <w:autoSpaceDE w:val="0"/>
              <w:autoSpaceDN w:val="0"/>
              <w:adjustRightInd w:val="0"/>
              <w:ind w:left="15"/>
              <w:jc w:val="center"/>
              <w:rPr>
                <w:rFonts w:ascii="宋体" w:hAnsi="宋体" w:cs="宋体"/>
                <w:color w:val="000000"/>
              </w:rPr>
            </w:pPr>
            <w:r>
              <w:rPr>
                <w:rFonts w:ascii="宋体" w:hAnsi="宋体" w:cs="Arial" w:hint="eastAsia"/>
                <w:szCs w:val="21"/>
              </w:rPr>
              <w:t>0.40</w:t>
            </w:r>
            <w:r>
              <w:rPr>
                <w:rFonts w:ascii="宋体" w:hAnsi="宋体" w:cs="Arial"/>
                <w:szCs w:val="21"/>
              </w:rPr>
              <w:t>%</w:t>
            </w:r>
          </w:p>
        </w:tc>
      </w:tr>
      <w:tr w:rsidR="00C8734A">
        <w:trPr>
          <w:jc w:val="center"/>
        </w:trPr>
        <w:tc>
          <w:tcPr>
            <w:tcW w:w="2972" w:type="dxa"/>
            <w:tcBorders>
              <w:top w:val="single" w:sz="6" w:space="0" w:color="000000"/>
              <w:left w:val="single" w:sz="6" w:space="0" w:color="000000"/>
              <w:bottom w:val="single" w:sz="6" w:space="0" w:color="000000"/>
              <w:right w:val="single" w:sz="6" w:space="0" w:color="000000"/>
            </w:tcBorders>
            <w:vAlign w:val="center"/>
          </w:tcPr>
          <w:p w:rsidR="00C8734A" w:rsidRDefault="005222DA">
            <w:pPr>
              <w:keepNext/>
              <w:keepLines/>
              <w:autoSpaceDE w:val="0"/>
              <w:autoSpaceDN w:val="0"/>
              <w:adjustRightInd w:val="0"/>
              <w:ind w:left="15"/>
              <w:jc w:val="center"/>
              <w:rPr>
                <w:rFonts w:ascii="宋体" w:hAnsi="宋体" w:cs="宋体"/>
                <w:color w:val="000000"/>
              </w:rPr>
            </w:pPr>
            <w:r>
              <w:rPr>
                <w:rFonts w:ascii="宋体" w:hAnsi="宋体" w:cs="Arial"/>
                <w:szCs w:val="21"/>
              </w:rPr>
              <w:t>1</w:t>
            </w:r>
            <w:r>
              <w:rPr>
                <w:rFonts w:ascii="宋体" w:hAnsi="宋体" w:cs="Arial" w:hint="eastAsia"/>
                <w:szCs w:val="21"/>
              </w:rPr>
              <w:t>00</w:t>
            </w:r>
            <w:r>
              <w:rPr>
                <w:rFonts w:ascii="宋体" w:hAnsi="宋体" w:cs="Arial" w:hint="eastAsia"/>
                <w:szCs w:val="21"/>
              </w:rPr>
              <w:t>万元</w:t>
            </w:r>
            <w:r>
              <w:rPr>
                <w:rFonts w:ascii="宋体" w:hAnsi="宋体" w:cs="Arial"/>
                <w:szCs w:val="21"/>
              </w:rPr>
              <w:t xml:space="preserve">≤ </w:t>
            </w:r>
            <w:r>
              <w:rPr>
                <w:rFonts w:ascii="宋体" w:hAnsi="宋体" w:cs="Arial" w:hint="eastAsia"/>
                <w:szCs w:val="21"/>
              </w:rPr>
              <w:t>M</w:t>
            </w:r>
            <w:r>
              <w:rPr>
                <w:rFonts w:ascii="宋体" w:hAnsi="宋体" w:cs="Arial"/>
                <w:szCs w:val="21"/>
              </w:rPr>
              <w:t xml:space="preserve"> &lt; </w:t>
            </w:r>
            <w:r>
              <w:rPr>
                <w:rFonts w:ascii="宋体" w:hAnsi="宋体" w:cs="Arial" w:hint="eastAsia"/>
                <w:szCs w:val="21"/>
              </w:rPr>
              <w:t>500</w:t>
            </w:r>
            <w:r>
              <w:rPr>
                <w:rFonts w:ascii="宋体" w:hAnsi="宋体" w:cs="Arial" w:hint="eastAsia"/>
                <w:szCs w:val="21"/>
              </w:rPr>
              <w:t>万元</w:t>
            </w:r>
          </w:p>
        </w:tc>
        <w:tc>
          <w:tcPr>
            <w:tcW w:w="2772" w:type="dxa"/>
            <w:tcBorders>
              <w:top w:val="single" w:sz="6" w:space="0" w:color="000000"/>
              <w:left w:val="single" w:sz="6" w:space="0" w:color="000000"/>
              <w:bottom w:val="single" w:sz="6" w:space="0" w:color="000000"/>
              <w:right w:val="single" w:sz="6" w:space="0" w:color="000000"/>
            </w:tcBorders>
            <w:vAlign w:val="center"/>
          </w:tcPr>
          <w:p w:rsidR="00C8734A" w:rsidRDefault="005222DA">
            <w:pPr>
              <w:keepNext/>
              <w:keepLines/>
              <w:autoSpaceDE w:val="0"/>
              <w:autoSpaceDN w:val="0"/>
              <w:adjustRightInd w:val="0"/>
              <w:ind w:left="15"/>
              <w:jc w:val="center"/>
              <w:rPr>
                <w:rFonts w:ascii="宋体" w:hAnsi="宋体" w:cs="宋体"/>
                <w:color w:val="000000"/>
              </w:rPr>
            </w:pPr>
            <w:r>
              <w:rPr>
                <w:rFonts w:ascii="宋体" w:hAnsi="宋体" w:cs="Arial"/>
                <w:szCs w:val="21"/>
              </w:rPr>
              <w:t>0.</w:t>
            </w:r>
            <w:r>
              <w:rPr>
                <w:rFonts w:ascii="宋体" w:hAnsi="宋体" w:cs="Arial" w:hint="eastAsia"/>
                <w:szCs w:val="21"/>
              </w:rPr>
              <w:t>2</w:t>
            </w:r>
            <w:r>
              <w:rPr>
                <w:rFonts w:ascii="宋体" w:hAnsi="宋体" w:cs="Arial"/>
                <w:szCs w:val="21"/>
              </w:rPr>
              <w:t>0%</w:t>
            </w:r>
          </w:p>
        </w:tc>
      </w:tr>
      <w:tr w:rsidR="00C8734A">
        <w:trPr>
          <w:jc w:val="center"/>
        </w:trPr>
        <w:tc>
          <w:tcPr>
            <w:tcW w:w="2972" w:type="dxa"/>
            <w:tcBorders>
              <w:top w:val="single" w:sz="6" w:space="0" w:color="000000"/>
              <w:left w:val="single" w:sz="6" w:space="0" w:color="000000"/>
              <w:bottom w:val="single" w:sz="6" w:space="0" w:color="000000"/>
              <w:right w:val="single" w:sz="6" w:space="0" w:color="000000"/>
            </w:tcBorders>
            <w:vAlign w:val="center"/>
          </w:tcPr>
          <w:p w:rsidR="00C8734A" w:rsidRDefault="005222DA">
            <w:pPr>
              <w:keepNext/>
              <w:keepLines/>
              <w:autoSpaceDE w:val="0"/>
              <w:autoSpaceDN w:val="0"/>
              <w:adjustRightInd w:val="0"/>
              <w:ind w:left="15"/>
              <w:jc w:val="center"/>
              <w:rPr>
                <w:rFonts w:ascii="宋体" w:hAnsi="宋体" w:cs="宋体"/>
                <w:color w:val="000000"/>
              </w:rPr>
            </w:pPr>
            <w:r>
              <w:rPr>
                <w:rFonts w:ascii="宋体" w:hAnsi="宋体" w:cs="Arial" w:hint="eastAsia"/>
                <w:szCs w:val="21"/>
              </w:rPr>
              <w:t>M</w:t>
            </w:r>
            <w:r>
              <w:rPr>
                <w:rFonts w:ascii="宋体" w:hAnsi="宋体" w:cs="Arial"/>
                <w:szCs w:val="21"/>
              </w:rPr>
              <w:t>≥5</w:t>
            </w:r>
            <w:r>
              <w:rPr>
                <w:rFonts w:ascii="宋体" w:hAnsi="宋体" w:cs="Arial" w:hint="eastAsia"/>
                <w:szCs w:val="21"/>
              </w:rPr>
              <w:t>00</w:t>
            </w:r>
            <w:r>
              <w:rPr>
                <w:rFonts w:ascii="宋体" w:hAnsi="宋体" w:cs="Arial" w:hint="eastAsia"/>
                <w:szCs w:val="21"/>
              </w:rPr>
              <w:t>万元</w:t>
            </w:r>
          </w:p>
        </w:tc>
        <w:tc>
          <w:tcPr>
            <w:tcW w:w="2772" w:type="dxa"/>
            <w:tcBorders>
              <w:top w:val="single" w:sz="6" w:space="0" w:color="000000"/>
              <w:left w:val="single" w:sz="6" w:space="0" w:color="000000"/>
              <w:bottom w:val="single" w:sz="6" w:space="0" w:color="000000"/>
              <w:right w:val="single" w:sz="6" w:space="0" w:color="000000"/>
            </w:tcBorders>
            <w:vAlign w:val="center"/>
          </w:tcPr>
          <w:p w:rsidR="00C8734A" w:rsidRDefault="005222DA">
            <w:pPr>
              <w:keepNext/>
              <w:keepLines/>
              <w:autoSpaceDE w:val="0"/>
              <w:autoSpaceDN w:val="0"/>
              <w:adjustRightInd w:val="0"/>
              <w:ind w:left="15"/>
              <w:jc w:val="center"/>
              <w:rPr>
                <w:rFonts w:ascii="宋体" w:hAnsi="宋体" w:cs="宋体"/>
                <w:color w:val="000000"/>
              </w:rPr>
            </w:pPr>
            <w:r>
              <w:rPr>
                <w:rFonts w:ascii="宋体" w:hAnsi="宋体" w:cs="Arial"/>
                <w:szCs w:val="21"/>
              </w:rPr>
              <w:t>1000</w:t>
            </w:r>
            <w:r>
              <w:rPr>
                <w:rFonts w:ascii="宋体" w:hAnsi="宋体" w:cs="Arial" w:hint="eastAsia"/>
                <w:szCs w:val="21"/>
              </w:rPr>
              <w:t>元</w:t>
            </w:r>
            <w:r>
              <w:rPr>
                <w:rFonts w:ascii="宋体" w:hAnsi="宋体" w:cs="Arial" w:hint="eastAsia"/>
                <w:szCs w:val="21"/>
              </w:rPr>
              <w:t>/</w:t>
            </w:r>
            <w:r>
              <w:rPr>
                <w:rFonts w:ascii="宋体" w:hAnsi="宋体" w:cs="Arial" w:hint="eastAsia"/>
                <w:szCs w:val="21"/>
              </w:rPr>
              <w:t>笔</w:t>
            </w:r>
          </w:p>
        </w:tc>
      </w:tr>
    </w:tbl>
    <w:p w:rsidR="00C8734A" w:rsidRDefault="005222DA" w:rsidP="005222DA">
      <w:pPr>
        <w:numPr>
          <w:ilvl w:val="1"/>
          <w:numId w:val="1"/>
        </w:numPr>
        <w:spacing w:beforeLines="50" w:afterLines="50"/>
        <w:jc w:val="left"/>
        <w:rPr>
          <w:rFonts w:ascii="宋体" w:hAnsi="宋体"/>
          <w:b/>
          <w:sz w:val="24"/>
          <w:szCs w:val="20"/>
        </w:rPr>
      </w:pPr>
      <w:bookmarkStart w:id="22" w:name="t_2_3_3_table"/>
      <w:bookmarkEnd w:id="21"/>
      <w:bookmarkEnd w:id="22"/>
      <w:r>
        <w:rPr>
          <w:rFonts w:ascii="宋体" w:hAnsi="宋体" w:hint="eastAsia"/>
          <w:b/>
          <w:sz w:val="24"/>
          <w:szCs w:val="20"/>
        </w:rPr>
        <w:t>其他与申购相关的事项</w:t>
      </w:r>
    </w:p>
    <w:p w:rsidR="00C8734A" w:rsidRDefault="005222DA">
      <w:pPr>
        <w:spacing w:line="360" w:lineRule="auto"/>
        <w:ind w:firstLineChars="200" w:firstLine="420"/>
        <w:rPr>
          <w:rFonts w:ascii="宋体" w:hAnsi="宋体"/>
        </w:rPr>
      </w:pPr>
      <w:bookmarkStart w:id="23" w:name="t_2_3_3_2821_a1_fm1"/>
      <w:bookmarkEnd w:id="23"/>
      <w:r>
        <w:rPr>
          <w:rFonts w:ascii="宋体" w:hAnsi="宋体" w:hint="eastAsia"/>
        </w:rPr>
        <w:t>1</w:t>
      </w:r>
      <w:r>
        <w:rPr>
          <w:rFonts w:ascii="宋体" w:hAnsi="宋体" w:hint="eastAsia"/>
        </w:rPr>
        <w:t>、“未知价”原则，即申购、赎回价格以申请当日收市后计算的基金份额净值为基准进行计算；</w:t>
      </w:r>
    </w:p>
    <w:p w:rsidR="00C8734A" w:rsidRDefault="005222DA">
      <w:pPr>
        <w:spacing w:line="360" w:lineRule="auto"/>
        <w:ind w:firstLineChars="200" w:firstLine="420"/>
        <w:rPr>
          <w:rFonts w:ascii="宋体" w:hAnsi="宋体"/>
        </w:rPr>
      </w:pPr>
      <w:r>
        <w:rPr>
          <w:rFonts w:ascii="宋体" w:hAnsi="宋体" w:hint="eastAsia"/>
        </w:rPr>
        <w:t>2</w:t>
      </w:r>
      <w:r>
        <w:rPr>
          <w:rFonts w:ascii="宋体" w:hAnsi="宋体" w:hint="eastAsia"/>
        </w:rPr>
        <w:t>、“金额申购、份额赎回”原则，即申购以金额申请，赎回以份额申请；</w:t>
      </w:r>
    </w:p>
    <w:p w:rsidR="00C8734A" w:rsidRDefault="005222DA">
      <w:pPr>
        <w:spacing w:line="360" w:lineRule="auto"/>
        <w:ind w:firstLineChars="200" w:firstLine="420"/>
        <w:rPr>
          <w:rFonts w:ascii="宋体" w:hAnsi="宋体"/>
        </w:rPr>
      </w:pPr>
      <w:r>
        <w:rPr>
          <w:rFonts w:ascii="宋体" w:hAnsi="宋体" w:hint="eastAsia"/>
        </w:rPr>
        <w:lastRenderedPageBreak/>
        <w:t>3</w:t>
      </w:r>
      <w:r>
        <w:rPr>
          <w:rFonts w:ascii="宋体" w:hAnsi="宋体" w:hint="eastAsia"/>
        </w:rPr>
        <w:t>、当日的申购与赎回申请可以在基金管理人规定的时间以内撤销；</w:t>
      </w:r>
    </w:p>
    <w:p w:rsidR="00C8734A" w:rsidRDefault="005222DA">
      <w:pPr>
        <w:spacing w:line="360" w:lineRule="auto"/>
        <w:ind w:firstLineChars="200" w:firstLine="420"/>
        <w:rPr>
          <w:rFonts w:ascii="宋体" w:hAnsi="宋体"/>
        </w:rPr>
      </w:pPr>
      <w:r>
        <w:rPr>
          <w:rFonts w:ascii="宋体" w:hAnsi="宋体" w:hint="eastAsia"/>
        </w:rPr>
        <w:t>4</w:t>
      </w:r>
      <w:r>
        <w:rPr>
          <w:rFonts w:ascii="宋体" w:hAnsi="宋体" w:hint="eastAsia"/>
        </w:rPr>
        <w:t>、赎回遵循“先进先出”原则，即按照投资者认购、申购的先后次序进行顺序赎回；</w:t>
      </w:r>
      <w:r>
        <w:rPr>
          <w:rFonts w:ascii="宋体" w:hAnsi="宋体" w:hint="eastAsia"/>
        </w:rPr>
        <w:t xml:space="preserve"> </w:t>
      </w:r>
    </w:p>
    <w:p w:rsidR="00C8734A" w:rsidRDefault="005222DA">
      <w:pPr>
        <w:spacing w:line="360" w:lineRule="auto"/>
        <w:ind w:firstLineChars="200" w:firstLine="420"/>
        <w:rPr>
          <w:rFonts w:ascii="宋体" w:hAnsi="宋体"/>
        </w:rPr>
      </w:pPr>
      <w:r>
        <w:rPr>
          <w:rFonts w:ascii="宋体" w:hAnsi="宋体" w:hint="eastAsia"/>
        </w:rPr>
        <w:t>5</w:t>
      </w:r>
      <w:r>
        <w:rPr>
          <w:rFonts w:ascii="宋体" w:hAnsi="宋体" w:hint="eastAsia"/>
        </w:rPr>
        <w:t>、投资者办理申购、赎回等业务时应提交的文件和办理手续、办理时间、处理规则等在遵守基金合同和招募说明书规定的前提下，以各销售机构的具体规定为准；</w:t>
      </w:r>
    </w:p>
    <w:p w:rsidR="00C8734A" w:rsidRDefault="005222DA">
      <w:pPr>
        <w:spacing w:line="360" w:lineRule="auto"/>
        <w:ind w:firstLineChars="200" w:firstLine="420"/>
        <w:jc w:val="left"/>
        <w:rPr>
          <w:rFonts w:ascii="宋体" w:hAnsi="宋体"/>
          <w:szCs w:val="21"/>
        </w:rPr>
      </w:pPr>
      <w:r>
        <w:rPr>
          <w:rFonts w:ascii="宋体" w:hAnsi="宋体" w:hint="eastAsia"/>
        </w:rPr>
        <w:t>6</w:t>
      </w:r>
      <w:r>
        <w:rPr>
          <w:rFonts w:ascii="宋体" w:hAnsi="宋体" w:hint="eastAsia"/>
        </w:rPr>
        <w:t>、</w:t>
      </w:r>
      <w:r>
        <w:rPr>
          <w:rFonts w:hint="eastAsia"/>
          <w:color w:val="1E1E1E"/>
          <w:szCs w:val="21"/>
        </w:rPr>
        <w:t>办理申购、赎回业务时，应当遵循基金份额持有人利益优先原则，确保投资者的合法权益不受损害并得到公平对待。</w:t>
      </w:r>
    </w:p>
    <w:p w:rsidR="00C8734A" w:rsidRDefault="005222DA" w:rsidP="005222DA">
      <w:pPr>
        <w:pStyle w:val="2"/>
        <w:numPr>
          <w:ilvl w:val="0"/>
          <w:numId w:val="1"/>
        </w:numPr>
        <w:spacing w:beforeLines="50" w:afterLines="50" w:line="240" w:lineRule="auto"/>
        <w:jc w:val="left"/>
        <w:rPr>
          <w:rFonts w:ascii="宋体" w:eastAsia="宋体" w:hAnsi="宋体"/>
          <w:bCs/>
          <w:sz w:val="24"/>
          <w:szCs w:val="24"/>
        </w:rPr>
      </w:pPr>
      <w:r>
        <w:rPr>
          <w:rFonts w:ascii="宋体" w:eastAsia="宋体" w:hAnsi="宋体" w:hint="eastAsia"/>
          <w:bCs/>
          <w:sz w:val="24"/>
          <w:szCs w:val="24"/>
        </w:rPr>
        <w:t>日常赎回业务</w:t>
      </w:r>
    </w:p>
    <w:p w:rsidR="00C8734A" w:rsidRDefault="005222DA" w:rsidP="005222DA">
      <w:pPr>
        <w:numPr>
          <w:ilvl w:val="1"/>
          <w:numId w:val="1"/>
        </w:numPr>
        <w:spacing w:beforeLines="50" w:afterLines="50"/>
        <w:jc w:val="left"/>
        <w:rPr>
          <w:rFonts w:ascii="宋体" w:hAnsi="宋体"/>
          <w:b/>
          <w:sz w:val="24"/>
          <w:szCs w:val="20"/>
        </w:rPr>
      </w:pPr>
      <w:r>
        <w:rPr>
          <w:rFonts w:ascii="宋体" w:hAnsi="宋体" w:hint="eastAsia"/>
          <w:b/>
          <w:sz w:val="24"/>
          <w:szCs w:val="20"/>
        </w:rPr>
        <w:t>赎回份额限制</w:t>
      </w:r>
    </w:p>
    <w:p w:rsidR="00C8734A" w:rsidRDefault="005222DA">
      <w:pPr>
        <w:spacing w:line="360" w:lineRule="auto"/>
        <w:ind w:firstLineChars="200" w:firstLine="420"/>
        <w:rPr>
          <w:bCs/>
        </w:rPr>
      </w:pPr>
      <w:bookmarkStart w:id="24" w:name="t_2_4_1_2822_a1_fm1"/>
      <w:bookmarkEnd w:id="24"/>
      <w:r>
        <w:rPr>
          <w:rFonts w:hint="eastAsia"/>
          <w:bCs/>
        </w:rPr>
        <w:t>基金份额持有人在销售机构赎回时，每次赎回申请不得低于【</w:t>
      </w:r>
      <w:r>
        <w:rPr>
          <w:rFonts w:hint="eastAsia"/>
          <w:bCs/>
        </w:rPr>
        <w:t>10</w:t>
      </w:r>
      <w:r>
        <w:rPr>
          <w:rFonts w:hint="eastAsia"/>
          <w:bCs/>
        </w:rPr>
        <w:t>】份基金份额。基金份额持有人赎回时或赎回后在销售机构（网点）单个交易账户保留的基金份额余额不足【</w:t>
      </w:r>
      <w:r>
        <w:rPr>
          <w:rFonts w:hint="eastAsia"/>
          <w:bCs/>
        </w:rPr>
        <w:t>10</w:t>
      </w:r>
      <w:r>
        <w:rPr>
          <w:rFonts w:hint="eastAsia"/>
          <w:bCs/>
        </w:rPr>
        <w:t>】份的，余额部分基金份额在赎回时需同时全部赎回。各销售机构对赎回限额有其他规定的，以各销售机构的业务规定为准。</w:t>
      </w:r>
    </w:p>
    <w:p w:rsidR="00C8734A" w:rsidRDefault="005222DA">
      <w:pPr>
        <w:spacing w:line="360" w:lineRule="auto"/>
        <w:ind w:firstLineChars="200" w:firstLine="420"/>
        <w:rPr>
          <w:bCs/>
        </w:rPr>
      </w:pPr>
      <w:r>
        <w:rPr>
          <w:rFonts w:hint="eastAsia"/>
          <w:bCs/>
        </w:rPr>
        <w:t>如遇巨额赎回等情况发生而导致延缓支付时，赎回办理和款项支付的办法将参照基金合同有关巨额赎回的条款处理。</w:t>
      </w:r>
    </w:p>
    <w:p w:rsidR="00C8734A" w:rsidRDefault="005222DA" w:rsidP="005222DA">
      <w:pPr>
        <w:numPr>
          <w:ilvl w:val="1"/>
          <w:numId w:val="1"/>
        </w:numPr>
        <w:spacing w:beforeLines="50" w:afterLines="50"/>
        <w:rPr>
          <w:rFonts w:ascii="宋体" w:hAnsi="宋体"/>
          <w:b/>
          <w:sz w:val="24"/>
          <w:szCs w:val="20"/>
        </w:rPr>
      </w:pPr>
      <w:bookmarkStart w:id="25" w:name="t_2_4_2_table"/>
      <w:bookmarkStart w:id="26" w:name="m04_02"/>
      <w:bookmarkEnd w:id="25"/>
      <w:r>
        <w:rPr>
          <w:rFonts w:ascii="宋体" w:hAnsi="宋体" w:hint="eastAsia"/>
          <w:b/>
          <w:sz w:val="24"/>
          <w:szCs w:val="20"/>
        </w:rPr>
        <w:t>赎回费率</w:t>
      </w:r>
    </w:p>
    <w:p w:rsidR="00C8734A" w:rsidRDefault="005222DA">
      <w:pPr>
        <w:spacing w:line="360" w:lineRule="auto"/>
        <w:ind w:firstLineChars="200" w:firstLine="420"/>
        <w:rPr>
          <w:rFonts w:ascii="宋体" w:hAnsi="宋体"/>
          <w:bCs/>
        </w:rPr>
      </w:pPr>
      <w:bookmarkStart w:id="27" w:name="t_2_4_2_2843_a1_fm1"/>
      <w:bookmarkEnd w:id="27"/>
      <w:r>
        <w:rPr>
          <w:rFonts w:ascii="宋体" w:hAnsi="宋体" w:hint="eastAsia"/>
          <w:bCs/>
        </w:rPr>
        <w:t>本基金的赎回费用由赎回基金份额的基金份额持有人承担，在基金份额持有人赎回基金份额时收取，并全额归入基金财产。</w:t>
      </w:r>
    </w:p>
    <w:p w:rsidR="00C8734A" w:rsidRDefault="005222DA">
      <w:pPr>
        <w:spacing w:line="360" w:lineRule="auto"/>
        <w:ind w:left="420"/>
        <w:rPr>
          <w:rFonts w:ascii="宋体" w:hAnsi="宋体"/>
          <w:bCs/>
        </w:rPr>
      </w:pPr>
      <w:r>
        <w:rPr>
          <w:rFonts w:ascii="宋体" w:hAnsi="宋体" w:hint="eastAsia"/>
          <w:bCs/>
        </w:rPr>
        <w:t>本基金的赎回费率如</w:t>
      </w:r>
      <w:r>
        <w:rPr>
          <w:rFonts w:ascii="宋体" w:hAnsi="宋体" w:hint="eastAsia"/>
          <w:bCs/>
        </w:rPr>
        <w:t>下表示：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96"/>
        <w:gridCol w:w="1056"/>
      </w:tblGrid>
      <w:tr w:rsidR="00C8734A">
        <w:trPr>
          <w:jc w:val="center"/>
        </w:trPr>
        <w:tc>
          <w:tcPr>
            <w:tcW w:w="0" w:type="auto"/>
          </w:tcPr>
          <w:p w:rsidR="00C8734A" w:rsidRDefault="005222DA">
            <w:pPr>
              <w:spacing w:line="360" w:lineRule="auto"/>
              <w:rPr>
                <w:szCs w:val="21"/>
              </w:rPr>
            </w:pPr>
            <w:r>
              <w:rPr>
                <w:rFonts w:hint="eastAsia"/>
                <w:szCs w:val="21"/>
              </w:rPr>
              <w:t>持有期限（</w:t>
            </w:r>
            <w:r>
              <w:rPr>
                <w:rFonts w:hint="eastAsia"/>
                <w:szCs w:val="21"/>
              </w:rPr>
              <w:t>Y</w:t>
            </w:r>
            <w:r>
              <w:rPr>
                <w:rFonts w:hint="eastAsia"/>
                <w:szCs w:val="21"/>
              </w:rPr>
              <w:t>）</w:t>
            </w:r>
          </w:p>
        </w:tc>
        <w:tc>
          <w:tcPr>
            <w:tcW w:w="0" w:type="auto"/>
          </w:tcPr>
          <w:p w:rsidR="00C8734A" w:rsidRDefault="005222DA">
            <w:pPr>
              <w:spacing w:line="360" w:lineRule="auto"/>
              <w:rPr>
                <w:szCs w:val="21"/>
              </w:rPr>
            </w:pPr>
            <w:r>
              <w:rPr>
                <w:rFonts w:hint="eastAsia"/>
                <w:szCs w:val="21"/>
              </w:rPr>
              <w:t>赎回费率</w:t>
            </w:r>
          </w:p>
        </w:tc>
      </w:tr>
      <w:tr w:rsidR="00C8734A">
        <w:trPr>
          <w:jc w:val="center"/>
        </w:trPr>
        <w:tc>
          <w:tcPr>
            <w:tcW w:w="0" w:type="auto"/>
          </w:tcPr>
          <w:p w:rsidR="00C8734A" w:rsidRDefault="005222DA">
            <w:pPr>
              <w:spacing w:line="360" w:lineRule="auto"/>
              <w:rPr>
                <w:szCs w:val="21"/>
              </w:rPr>
            </w:pPr>
            <w:r>
              <w:rPr>
                <w:rFonts w:hint="eastAsia"/>
                <w:szCs w:val="21"/>
              </w:rPr>
              <w:t>在同一开放期内申购后又赎回且持有期限少于</w:t>
            </w:r>
            <w:r>
              <w:rPr>
                <w:rFonts w:hint="eastAsia"/>
                <w:szCs w:val="21"/>
              </w:rPr>
              <w:t>7</w:t>
            </w:r>
            <w:r>
              <w:rPr>
                <w:rFonts w:hint="eastAsia"/>
                <w:szCs w:val="21"/>
              </w:rPr>
              <w:t>日的份额</w:t>
            </w:r>
          </w:p>
        </w:tc>
        <w:tc>
          <w:tcPr>
            <w:tcW w:w="0" w:type="auto"/>
          </w:tcPr>
          <w:p w:rsidR="00C8734A" w:rsidRDefault="005222DA">
            <w:pPr>
              <w:spacing w:line="360" w:lineRule="auto"/>
              <w:jc w:val="center"/>
              <w:rPr>
                <w:szCs w:val="21"/>
              </w:rPr>
            </w:pPr>
            <w:r>
              <w:rPr>
                <w:rFonts w:hint="eastAsia"/>
                <w:szCs w:val="21"/>
              </w:rPr>
              <w:t>1.50%</w:t>
            </w:r>
          </w:p>
        </w:tc>
      </w:tr>
      <w:tr w:rsidR="00C8734A">
        <w:trPr>
          <w:jc w:val="center"/>
        </w:trPr>
        <w:tc>
          <w:tcPr>
            <w:tcW w:w="0" w:type="auto"/>
          </w:tcPr>
          <w:p w:rsidR="00C8734A" w:rsidRDefault="005222DA">
            <w:pPr>
              <w:spacing w:line="360" w:lineRule="auto"/>
              <w:rPr>
                <w:szCs w:val="21"/>
              </w:rPr>
            </w:pPr>
            <w:r>
              <w:rPr>
                <w:rFonts w:hint="eastAsia"/>
                <w:szCs w:val="21"/>
              </w:rPr>
              <w:t>在同一开放期内申购后又赎回且持有期限大于等于</w:t>
            </w:r>
            <w:r>
              <w:rPr>
                <w:rFonts w:hint="eastAsia"/>
                <w:szCs w:val="21"/>
              </w:rPr>
              <w:t>7</w:t>
            </w:r>
            <w:r>
              <w:rPr>
                <w:rFonts w:hint="eastAsia"/>
                <w:szCs w:val="21"/>
              </w:rPr>
              <w:t>日的份额</w:t>
            </w:r>
          </w:p>
        </w:tc>
        <w:tc>
          <w:tcPr>
            <w:tcW w:w="0" w:type="auto"/>
          </w:tcPr>
          <w:p w:rsidR="00C8734A" w:rsidRDefault="005222DA">
            <w:pPr>
              <w:spacing w:line="360" w:lineRule="auto"/>
              <w:jc w:val="center"/>
              <w:rPr>
                <w:szCs w:val="21"/>
              </w:rPr>
            </w:pPr>
            <w:r>
              <w:rPr>
                <w:rFonts w:hint="eastAsia"/>
                <w:szCs w:val="21"/>
              </w:rPr>
              <w:t>0.5%</w:t>
            </w:r>
          </w:p>
        </w:tc>
      </w:tr>
      <w:tr w:rsidR="00C8734A">
        <w:trPr>
          <w:jc w:val="center"/>
        </w:trPr>
        <w:tc>
          <w:tcPr>
            <w:tcW w:w="0" w:type="auto"/>
          </w:tcPr>
          <w:p w:rsidR="00C8734A" w:rsidRDefault="005222DA">
            <w:pPr>
              <w:spacing w:line="360" w:lineRule="auto"/>
              <w:rPr>
                <w:szCs w:val="21"/>
              </w:rPr>
            </w:pPr>
            <w:r>
              <w:rPr>
                <w:rFonts w:hint="eastAsia"/>
                <w:szCs w:val="21"/>
              </w:rPr>
              <w:t>认购或在某一开放期申购并在下一个及之后的开放期赎回的份额</w:t>
            </w:r>
          </w:p>
        </w:tc>
        <w:tc>
          <w:tcPr>
            <w:tcW w:w="0" w:type="auto"/>
          </w:tcPr>
          <w:p w:rsidR="00C8734A" w:rsidRDefault="005222DA">
            <w:pPr>
              <w:spacing w:line="360" w:lineRule="auto"/>
              <w:jc w:val="center"/>
              <w:rPr>
                <w:szCs w:val="21"/>
              </w:rPr>
            </w:pPr>
            <w:r>
              <w:rPr>
                <w:rFonts w:hint="eastAsia"/>
                <w:szCs w:val="21"/>
              </w:rPr>
              <w:t>0</w:t>
            </w:r>
          </w:p>
        </w:tc>
      </w:tr>
    </w:tbl>
    <w:p w:rsidR="00C8734A" w:rsidRDefault="005222DA" w:rsidP="005222DA">
      <w:pPr>
        <w:pStyle w:val="2"/>
        <w:numPr>
          <w:ilvl w:val="0"/>
          <w:numId w:val="1"/>
        </w:numPr>
        <w:spacing w:beforeLines="50" w:afterLines="50" w:line="240" w:lineRule="auto"/>
        <w:jc w:val="left"/>
        <w:rPr>
          <w:rFonts w:ascii="宋体" w:eastAsia="宋体" w:hAnsi="宋体"/>
          <w:bCs/>
          <w:sz w:val="24"/>
          <w:szCs w:val="24"/>
        </w:rPr>
      </w:pPr>
      <w:bookmarkStart w:id="28" w:name="t_2_5_table"/>
      <w:bookmarkEnd w:id="26"/>
      <w:bookmarkEnd w:id="28"/>
      <w:r>
        <w:rPr>
          <w:rFonts w:ascii="宋体" w:eastAsia="宋体" w:hAnsi="宋体" w:hint="eastAsia"/>
          <w:bCs/>
          <w:sz w:val="24"/>
          <w:szCs w:val="24"/>
        </w:rPr>
        <w:t>基金销售机构</w:t>
      </w:r>
    </w:p>
    <w:p w:rsidR="00C8734A" w:rsidRDefault="005222DA" w:rsidP="005222DA">
      <w:pPr>
        <w:numPr>
          <w:ilvl w:val="1"/>
          <w:numId w:val="1"/>
        </w:numPr>
        <w:spacing w:beforeLines="50" w:afterLines="50"/>
        <w:jc w:val="left"/>
        <w:rPr>
          <w:rFonts w:ascii="宋体" w:hAnsi="宋体"/>
          <w:b/>
          <w:sz w:val="24"/>
          <w:szCs w:val="20"/>
        </w:rPr>
      </w:pPr>
      <w:r>
        <w:rPr>
          <w:rFonts w:ascii="宋体" w:hAnsi="宋体" w:hint="eastAsia"/>
          <w:b/>
          <w:sz w:val="24"/>
          <w:szCs w:val="20"/>
        </w:rPr>
        <w:t>直销机构</w:t>
      </w:r>
    </w:p>
    <w:p w:rsidR="00C8734A" w:rsidRDefault="005222DA">
      <w:pPr>
        <w:spacing w:line="360" w:lineRule="auto"/>
        <w:ind w:left="420"/>
        <w:rPr>
          <w:rFonts w:ascii="宋体" w:hAnsi="宋体"/>
          <w:bCs/>
        </w:rPr>
      </w:pPr>
      <w:bookmarkStart w:id="29" w:name="t_2_7_2833_a1_fm1"/>
      <w:bookmarkEnd w:id="29"/>
      <w:r>
        <w:rPr>
          <w:rFonts w:ascii="宋体" w:hAnsi="宋体" w:hint="eastAsia"/>
          <w:bCs/>
        </w:rPr>
        <w:t>名称：中银国际证券股份有限公司直销柜台</w:t>
      </w:r>
    </w:p>
    <w:p w:rsidR="00C8734A" w:rsidRDefault="005222DA">
      <w:pPr>
        <w:spacing w:line="360" w:lineRule="auto"/>
        <w:ind w:left="420"/>
        <w:rPr>
          <w:rFonts w:ascii="宋体" w:hAnsi="宋体"/>
          <w:bCs/>
        </w:rPr>
      </w:pPr>
      <w:r>
        <w:rPr>
          <w:rFonts w:ascii="宋体" w:hAnsi="宋体" w:hint="eastAsia"/>
          <w:bCs/>
        </w:rPr>
        <w:t>办公地址：北京市西城区西单北大街</w:t>
      </w:r>
      <w:r>
        <w:rPr>
          <w:rFonts w:ascii="宋体" w:hAnsi="宋体" w:hint="eastAsia"/>
          <w:bCs/>
        </w:rPr>
        <w:t>110</w:t>
      </w:r>
      <w:r>
        <w:rPr>
          <w:rFonts w:ascii="宋体" w:hAnsi="宋体" w:hint="eastAsia"/>
          <w:bCs/>
        </w:rPr>
        <w:t>号</w:t>
      </w:r>
      <w:r>
        <w:rPr>
          <w:rFonts w:ascii="宋体" w:hAnsi="宋体" w:hint="eastAsia"/>
          <w:bCs/>
        </w:rPr>
        <w:t>7</w:t>
      </w:r>
      <w:r>
        <w:rPr>
          <w:rFonts w:ascii="宋体" w:hAnsi="宋体" w:hint="eastAsia"/>
          <w:bCs/>
        </w:rPr>
        <w:t>层（邮政编码：</w:t>
      </w:r>
      <w:r>
        <w:rPr>
          <w:rFonts w:ascii="宋体" w:hAnsi="宋体" w:hint="eastAsia"/>
          <w:bCs/>
        </w:rPr>
        <w:t>100032</w:t>
      </w:r>
      <w:r>
        <w:rPr>
          <w:rFonts w:ascii="宋体" w:hAnsi="宋体" w:hint="eastAsia"/>
          <w:bCs/>
        </w:rPr>
        <w:t>）</w:t>
      </w:r>
    </w:p>
    <w:p w:rsidR="00C8734A" w:rsidRDefault="005222DA">
      <w:pPr>
        <w:spacing w:line="360" w:lineRule="auto"/>
        <w:ind w:left="420"/>
        <w:rPr>
          <w:rFonts w:ascii="宋体" w:hAnsi="宋体"/>
          <w:bCs/>
        </w:rPr>
      </w:pPr>
      <w:r>
        <w:rPr>
          <w:rFonts w:ascii="宋体" w:hAnsi="宋体" w:hint="eastAsia"/>
          <w:bCs/>
        </w:rPr>
        <w:t>法定代表人：宁敏</w:t>
      </w:r>
    </w:p>
    <w:p w:rsidR="00C8734A" w:rsidRDefault="005222DA">
      <w:pPr>
        <w:spacing w:line="360" w:lineRule="auto"/>
        <w:ind w:left="420"/>
        <w:rPr>
          <w:rFonts w:ascii="宋体" w:hAnsi="宋体"/>
          <w:bCs/>
        </w:rPr>
      </w:pPr>
      <w:r>
        <w:rPr>
          <w:rFonts w:ascii="宋体" w:hAnsi="宋体" w:hint="eastAsia"/>
          <w:bCs/>
        </w:rPr>
        <w:t>电话：</w:t>
      </w:r>
      <w:r>
        <w:rPr>
          <w:rFonts w:ascii="宋体" w:hAnsi="宋体" w:hint="eastAsia"/>
          <w:bCs/>
        </w:rPr>
        <w:t>010-66229088</w:t>
      </w:r>
    </w:p>
    <w:p w:rsidR="00C8734A" w:rsidRDefault="005222DA">
      <w:pPr>
        <w:spacing w:line="360" w:lineRule="auto"/>
        <w:ind w:firstLineChars="200" w:firstLine="420"/>
        <w:rPr>
          <w:rFonts w:ascii="宋体" w:hAnsi="宋体"/>
          <w:bCs/>
        </w:rPr>
      </w:pPr>
      <w:r>
        <w:rPr>
          <w:rFonts w:ascii="宋体" w:hAnsi="宋体" w:hint="eastAsia"/>
          <w:bCs/>
        </w:rPr>
        <w:t>传真：</w:t>
      </w:r>
      <w:r>
        <w:rPr>
          <w:rFonts w:ascii="宋体" w:hAnsi="宋体" w:hint="eastAsia"/>
          <w:bCs/>
        </w:rPr>
        <w:t>010-66578971</w:t>
      </w:r>
    </w:p>
    <w:p w:rsidR="00C8734A" w:rsidRDefault="005222DA">
      <w:pPr>
        <w:spacing w:line="360" w:lineRule="auto"/>
        <w:ind w:firstLineChars="200" w:firstLine="420"/>
        <w:rPr>
          <w:rFonts w:ascii="宋体" w:hAnsi="宋体"/>
          <w:bCs/>
        </w:rPr>
      </w:pPr>
      <w:r>
        <w:rPr>
          <w:rFonts w:ascii="宋体" w:hAnsi="宋体" w:hint="eastAsia"/>
          <w:bCs/>
        </w:rPr>
        <w:t>联系人：</w:t>
      </w:r>
      <w:r>
        <w:rPr>
          <w:rFonts w:ascii="宋体" w:hAnsi="宋体" w:hint="eastAsia"/>
          <w:bCs/>
        </w:rPr>
        <w:t>屈研、陈哲、何晨</w:t>
      </w:r>
    </w:p>
    <w:p w:rsidR="00C8734A" w:rsidRDefault="005222DA" w:rsidP="005222DA">
      <w:pPr>
        <w:numPr>
          <w:ilvl w:val="1"/>
          <w:numId w:val="1"/>
        </w:numPr>
        <w:spacing w:beforeLines="50" w:afterLines="50"/>
        <w:jc w:val="left"/>
        <w:rPr>
          <w:rFonts w:ascii="宋体" w:hAnsi="宋体"/>
          <w:b/>
          <w:sz w:val="24"/>
          <w:szCs w:val="20"/>
        </w:rPr>
      </w:pPr>
      <w:r>
        <w:rPr>
          <w:rFonts w:ascii="宋体" w:hAnsi="宋体" w:hint="eastAsia"/>
          <w:b/>
          <w:sz w:val="24"/>
          <w:szCs w:val="20"/>
        </w:rPr>
        <w:t>其他销售机构</w:t>
      </w:r>
    </w:p>
    <w:p w:rsidR="00C8734A" w:rsidRDefault="005222DA">
      <w:pPr>
        <w:spacing w:before="120" w:after="120" w:line="360" w:lineRule="auto"/>
        <w:ind w:firstLineChars="200" w:firstLine="420"/>
      </w:pPr>
      <w:bookmarkStart w:id="30" w:name="t_2_7_2834_a1_fm1"/>
      <w:bookmarkStart w:id="31" w:name="t_2_7_2835_a1_fm1"/>
      <w:bookmarkStart w:id="32" w:name="t_2_8_table"/>
      <w:bookmarkEnd w:id="30"/>
      <w:bookmarkEnd w:id="31"/>
      <w:bookmarkEnd w:id="32"/>
      <w:r>
        <w:rPr>
          <w:rFonts w:ascii="宋体" w:hAnsi="宋体" w:hint="eastAsia"/>
          <w:szCs w:val="21"/>
        </w:rPr>
        <w:t xml:space="preserve">(1) </w:t>
      </w:r>
      <w:r>
        <w:rPr>
          <w:rFonts w:hint="eastAsia"/>
        </w:rPr>
        <w:t>名称：中国银行股份有限公司</w:t>
      </w:r>
    </w:p>
    <w:p w:rsidR="00C8734A" w:rsidRDefault="005222DA">
      <w:pPr>
        <w:spacing w:before="120" w:after="120" w:line="360" w:lineRule="auto"/>
        <w:ind w:firstLineChars="200" w:firstLine="420"/>
      </w:pPr>
      <w:r>
        <w:rPr>
          <w:rFonts w:hint="eastAsia"/>
        </w:rPr>
        <w:t>注册地址</w:t>
      </w:r>
      <w:r>
        <w:rPr>
          <w:rFonts w:hint="eastAsia"/>
        </w:rPr>
        <w:t xml:space="preserve"> </w:t>
      </w:r>
      <w:r>
        <w:rPr>
          <w:rFonts w:hint="eastAsia"/>
        </w:rPr>
        <w:t>：北京复兴门内大街</w:t>
      </w:r>
      <w:r>
        <w:rPr>
          <w:rFonts w:hint="eastAsia"/>
        </w:rPr>
        <w:t xml:space="preserve"> 1 </w:t>
      </w:r>
      <w:r>
        <w:rPr>
          <w:rFonts w:hint="eastAsia"/>
        </w:rPr>
        <w:t>号</w:t>
      </w:r>
    </w:p>
    <w:p w:rsidR="00C8734A" w:rsidRDefault="005222DA">
      <w:pPr>
        <w:spacing w:before="120" w:after="120" w:line="360" w:lineRule="auto"/>
        <w:ind w:firstLineChars="200" w:firstLine="420"/>
      </w:pPr>
      <w:r>
        <w:rPr>
          <w:rFonts w:hint="eastAsia"/>
        </w:rPr>
        <w:t>法定代表人：刘连舸</w:t>
      </w:r>
    </w:p>
    <w:p w:rsidR="00C8734A" w:rsidRDefault="005222DA">
      <w:pPr>
        <w:spacing w:before="120" w:after="120" w:line="360" w:lineRule="auto"/>
        <w:ind w:firstLineChars="200" w:firstLine="420"/>
      </w:pPr>
      <w:r>
        <w:rPr>
          <w:rFonts w:hint="eastAsia"/>
        </w:rPr>
        <w:t>客户服务电话：</w:t>
      </w:r>
      <w:r>
        <w:rPr>
          <w:rFonts w:hint="eastAsia"/>
        </w:rPr>
        <w:t>95566</w:t>
      </w:r>
    </w:p>
    <w:p w:rsidR="00C8734A" w:rsidRDefault="005222DA">
      <w:pPr>
        <w:spacing w:before="120" w:after="120" w:line="360" w:lineRule="auto"/>
        <w:ind w:firstLineChars="200" w:firstLine="420"/>
      </w:pPr>
      <w:r>
        <w:rPr>
          <w:rFonts w:hint="eastAsia"/>
        </w:rPr>
        <w:t>网址：</w:t>
      </w:r>
      <w:hyperlink r:id="rId8" w:history="1">
        <w:r>
          <w:rPr>
            <w:rFonts w:hint="eastAsia"/>
          </w:rPr>
          <w:t>www.boc.cn</w:t>
        </w:r>
      </w:hyperlink>
    </w:p>
    <w:p w:rsidR="00C8734A" w:rsidRDefault="005222DA">
      <w:pPr>
        <w:spacing w:before="120" w:after="120" w:line="360" w:lineRule="auto"/>
        <w:ind w:firstLineChars="200" w:firstLine="420"/>
      </w:pPr>
      <w:r>
        <w:rPr>
          <w:rFonts w:ascii="宋体" w:hAnsi="宋体" w:hint="eastAsia"/>
          <w:szCs w:val="21"/>
        </w:rPr>
        <w:t xml:space="preserve">(2) </w:t>
      </w:r>
      <w:r>
        <w:rPr>
          <w:rFonts w:hint="eastAsia"/>
        </w:rPr>
        <w:t>其他基金机构情况详见基金份额发售公告和基金管理人网站。</w:t>
      </w:r>
    </w:p>
    <w:p w:rsidR="00C8734A" w:rsidRDefault="005222DA">
      <w:pPr>
        <w:spacing w:before="120" w:after="120" w:line="360" w:lineRule="auto"/>
        <w:ind w:firstLineChars="200" w:firstLine="420"/>
      </w:pPr>
      <w:r>
        <w:rPr>
          <w:rFonts w:hint="eastAsia"/>
        </w:rPr>
        <w:t>基金管理人可根据《基金法》、《运作办法》、《销售办法》和本基金基金合同等的规定，选</w:t>
      </w:r>
      <w:r>
        <w:rPr>
          <w:rFonts w:hint="eastAsia"/>
        </w:rPr>
        <w:t xml:space="preserve"> </w:t>
      </w:r>
      <w:r>
        <w:rPr>
          <w:rFonts w:hint="eastAsia"/>
        </w:rPr>
        <w:t>择其他符合要求的机构销售本基金，具体详见基金管理人网站。</w:t>
      </w:r>
    </w:p>
    <w:p w:rsidR="00C8734A" w:rsidRDefault="005222DA" w:rsidP="005222DA">
      <w:pPr>
        <w:pStyle w:val="2"/>
        <w:numPr>
          <w:ilvl w:val="0"/>
          <w:numId w:val="1"/>
        </w:numPr>
        <w:spacing w:beforeLines="50" w:afterLines="50" w:line="240" w:lineRule="auto"/>
        <w:jc w:val="left"/>
        <w:rPr>
          <w:rFonts w:ascii="宋体" w:eastAsia="宋体" w:hAnsi="宋体"/>
          <w:bCs/>
          <w:sz w:val="24"/>
          <w:szCs w:val="24"/>
        </w:rPr>
      </w:pPr>
      <w:r>
        <w:rPr>
          <w:rFonts w:ascii="宋体" w:eastAsia="宋体" w:hAnsi="宋体" w:hint="eastAsia"/>
          <w:bCs/>
          <w:sz w:val="24"/>
          <w:szCs w:val="24"/>
        </w:rPr>
        <w:t>基金份额净值公告的披露安排</w:t>
      </w:r>
    </w:p>
    <w:p w:rsidR="00C8734A" w:rsidRDefault="005222DA">
      <w:pPr>
        <w:spacing w:before="120" w:after="120" w:line="360" w:lineRule="auto"/>
        <w:ind w:firstLineChars="200" w:firstLine="420"/>
      </w:pPr>
      <w:bookmarkStart w:id="33" w:name="t_2_8_2756_a1_fm1"/>
      <w:bookmarkEnd w:id="33"/>
      <w:r>
        <w:rPr>
          <w:rFonts w:hint="eastAsia"/>
        </w:rPr>
        <w:t>在基金开放期内，基金管理人应当在每个开放日的次日，通过网站以及其他媒介，披露开放日的基金份额净值和基金份额累计净值。敬请投资者留意。</w:t>
      </w:r>
    </w:p>
    <w:p w:rsidR="00C8734A" w:rsidRDefault="005222DA" w:rsidP="005222DA">
      <w:pPr>
        <w:pStyle w:val="2"/>
        <w:numPr>
          <w:ilvl w:val="0"/>
          <w:numId w:val="1"/>
        </w:numPr>
        <w:spacing w:beforeLines="50" w:afterLines="50" w:line="240" w:lineRule="auto"/>
        <w:jc w:val="left"/>
        <w:rPr>
          <w:rFonts w:ascii="宋体" w:eastAsia="宋体" w:hAnsi="宋体"/>
          <w:bCs/>
          <w:sz w:val="24"/>
          <w:szCs w:val="24"/>
        </w:rPr>
      </w:pPr>
      <w:bookmarkStart w:id="34" w:name="t_2_9_table"/>
      <w:bookmarkEnd w:id="34"/>
      <w:r>
        <w:rPr>
          <w:rFonts w:ascii="宋体" w:eastAsia="宋体" w:hAnsi="宋体" w:hint="eastAsia"/>
          <w:bCs/>
          <w:sz w:val="24"/>
          <w:szCs w:val="24"/>
        </w:rPr>
        <w:t>其他需要提示的事项</w:t>
      </w:r>
    </w:p>
    <w:p w:rsidR="00C8734A" w:rsidRDefault="005222DA">
      <w:pPr>
        <w:spacing w:line="360" w:lineRule="auto"/>
        <w:ind w:firstLineChars="200" w:firstLine="420"/>
        <w:jc w:val="left"/>
        <w:rPr>
          <w:rFonts w:ascii="宋体" w:hAnsi="宋体"/>
          <w:szCs w:val="21"/>
        </w:rPr>
      </w:pPr>
      <w:bookmarkStart w:id="35" w:name="t_2_9_2646_a1_fm1"/>
      <w:bookmarkEnd w:id="35"/>
      <w:r>
        <w:rPr>
          <w:rFonts w:ascii="宋体" w:hAnsi="宋体" w:hint="eastAsia"/>
          <w:szCs w:val="21"/>
        </w:rPr>
        <w:t>（</w:t>
      </w:r>
      <w:r>
        <w:rPr>
          <w:rFonts w:ascii="宋体" w:hAnsi="宋体" w:hint="eastAsia"/>
          <w:szCs w:val="21"/>
        </w:rPr>
        <w:t>1</w:t>
      </w:r>
      <w:r>
        <w:rPr>
          <w:rFonts w:ascii="宋体" w:hAnsi="宋体" w:hint="eastAsia"/>
          <w:szCs w:val="21"/>
        </w:rPr>
        <w:t>）基金管理人可在法律法规允许的情况下，调整上述规定申购金额和赎回份额的数量限制。基金管理人必须在实施前依照《信息披露办法》的有关规定在指定媒介上公告并报中国证监会备案。</w:t>
      </w:r>
    </w:p>
    <w:p w:rsidR="00C8734A" w:rsidRDefault="005222DA">
      <w:pPr>
        <w:spacing w:line="360" w:lineRule="auto"/>
        <w:ind w:firstLineChars="200" w:firstLine="420"/>
        <w:jc w:val="left"/>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）基金管理人可以在基金合同约定的范围内调整费率或收费方式，并最迟应于新的费率或收费方式实施日前依照《信息披露办法》的有关规定在指定媒介上公告。</w:t>
      </w:r>
    </w:p>
    <w:p w:rsidR="00C8734A" w:rsidRDefault="005222DA">
      <w:pPr>
        <w:adjustRightInd w:val="0"/>
        <w:spacing w:line="360" w:lineRule="auto"/>
        <w:ind w:firstLineChars="200" w:firstLine="420"/>
        <w:jc w:val="left"/>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）当接受申购申请对存量基金份额持</w:t>
      </w:r>
      <w:r>
        <w:rPr>
          <w:rFonts w:ascii="宋体" w:hAnsi="宋体" w:hint="eastAsia"/>
          <w:szCs w:val="21"/>
        </w:rPr>
        <w:t>有人利益构成潜在重大不利影响时，基金管理人应当采取设定单一投资者申购金额上限或基金单日净申购比例上限、拒绝大额申购、暂停基金申购等措施，切实保护存量基金份额持有人的合法权益，具体规定请参见相关公告。</w:t>
      </w:r>
    </w:p>
    <w:p w:rsidR="00C8734A" w:rsidRDefault="005222DA">
      <w:pPr>
        <w:adjustRightInd w:val="0"/>
        <w:spacing w:line="360" w:lineRule="auto"/>
        <w:ind w:firstLineChars="200" w:firstLine="420"/>
        <w:jc w:val="left"/>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）本公告仅对本基金开放申购、赎回业务有关事项予以说明。投资者欲了解本基金的详细情况，请详细阅读本基金的基金合同、招募说明书等法律文件。</w:t>
      </w:r>
    </w:p>
    <w:p w:rsidR="00C8734A" w:rsidRDefault="005222DA">
      <w:pPr>
        <w:spacing w:line="360" w:lineRule="auto"/>
        <w:ind w:firstLineChars="200" w:firstLine="420"/>
        <w:jc w:val="left"/>
        <w:rPr>
          <w:rFonts w:ascii="宋体" w:hAnsi="宋体"/>
          <w:szCs w:val="21"/>
        </w:rPr>
      </w:pPr>
      <w:r>
        <w:rPr>
          <w:rFonts w:ascii="宋体" w:hAnsi="宋体" w:hint="eastAsia"/>
          <w:szCs w:val="21"/>
        </w:rPr>
        <w:t>（</w:t>
      </w:r>
      <w:r>
        <w:rPr>
          <w:rFonts w:ascii="宋体" w:hAnsi="宋体" w:hint="eastAsia"/>
          <w:szCs w:val="21"/>
        </w:rPr>
        <w:t>5</w:t>
      </w:r>
      <w:r>
        <w:rPr>
          <w:rFonts w:ascii="宋体" w:hAnsi="宋体" w:hint="eastAsia"/>
          <w:szCs w:val="21"/>
        </w:rPr>
        <w:t>）有关本基金开放申购、赎回业务的具体规定若有变化，本公司将另行公告。</w:t>
      </w:r>
    </w:p>
    <w:p w:rsidR="00C8734A" w:rsidRDefault="005222DA">
      <w:pPr>
        <w:spacing w:line="360" w:lineRule="auto"/>
        <w:ind w:firstLineChars="200" w:firstLine="420"/>
        <w:jc w:val="left"/>
        <w:rPr>
          <w:rFonts w:ascii="宋体" w:hAnsi="宋体"/>
          <w:szCs w:val="21"/>
        </w:rPr>
      </w:pPr>
      <w:r>
        <w:rPr>
          <w:rFonts w:ascii="宋体" w:hAnsi="宋体" w:hint="eastAsia"/>
          <w:szCs w:val="21"/>
        </w:rPr>
        <w:t>（</w:t>
      </w:r>
      <w:r>
        <w:rPr>
          <w:rFonts w:ascii="宋体" w:hAnsi="宋体" w:hint="eastAsia"/>
          <w:szCs w:val="21"/>
        </w:rPr>
        <w:t>6</w:t>
      </w:r>
      <w:r>
        <w:rPr>
          <w:rFonts w:ascii="宋体" w:hAnsi="宋体" w:hint="eastAsia"/>
          <w:szCs w:val="21"/>
        </w:rPr>
        <w:t>）投资者可以登录本公司基金网站（</w:t>
      </w:r>
      <w:r>
        <w:rPr>
          <w:rFonts w:ascii="宋体" w:hAnsi="宋体" w:hint="eastAsia"/>
          <w:szCs w:val="21"/>
        </w:rPr>
        <w:t>www.bocifunds.com</w:t>
      </w:r>
      <w:r>
        <w:rPr>
          <w:rFonts w:ascii="宋体" w:hAnsi="宋体" w:hint="eastAsia"/>
          <w:szCs w:val="21"/>
        </w:rPr>
        <w:t>）或拨打客户服务热线</w:t>
      </w:r>
      <w:r>
        <w:rPr>
          <w:rFonts w:ascii="宋体" w:hAnsi="宋体"/>
          <w:szCs w:val="21"/>
        </w:rPr>
        <w:t>0</w:t>
      </w:r>
      <w:r>
        <w:rPr>
          <w:rFonts w:ascii="宋体" w:hAnsi="宋体" w:hint="eastAsia"/>
          <w:szCs w:val="21"/>
        </w:rPr>
        <w:t>21</w:t>
      </w:r>
      <w:r>
        <w:rPr>
          <w:rFonts w:ascii="宋体" w:hAnsi="宋体"/>
          <w:szCs w:val="21"/>
        </w:rPr>
        <w:t>-</w:t>
      </w:r>
      <w:r>
        <w:rPr>
          <w:rFonts w:ascii="宋体" w:hAnsi="宋体" w:hint="eastAsia"/>
          <w:szCs w:val="21"/>
        </w:rPr>
        <w:t>61195566</w:t>
      </w:r>
      <w:r>
        <w:rPr>
          <w:rFonts w:ascii="宋体" w:hAnsi="宋体" w:hint="eastAsia"/>
          <w:szCs w:val="21"/>
        </w:rPr>
        <w:t>或</w:t>
      </w:r>
      <w:r>
        <w:rPr>
          <w:rFonts w:ascii="宋体" w:hAnsi="宋体"/>
          <w:szCs w:val="21"/>
        </w:rPr>
        <w:t>400-</w:t>
      </w:r>
      <w:r>
        <w:rPr>
          <w:rFonts w:ascii="宋体" w:hAnsi="宋体" w:hint="eastAsia"/>
          <w:szCs w:val="21"/>
        </w:rPr>
        <w:t>620-8888</w:t>
      </w:r>
      <w:r>
        <w:rPr>
          <w:rFonts w:ascii="宋体" w:hAnsi="宋体" w:hint="eastAsia"/>
          <w:szCs w:val="21"/>
        </w:rPr>
        <w:t>（</w:t>
      </w:r>
      <w:r>
        <w:rPr>
          <w:rFonts w:ascii="宋体" w:hAnsi="宋体"/>
          <w:szCs w:val="21"/>
        </w:rPr>
        <w:t>免长途通话费用</w:t>
      </w:r>
      <w:r>
        <w:rPr>
          <w:rFonts w:ascii="宋体" w:hAnsi="宋体" w:hint="eastAsia"/>
          <w:szCs w:val="21"/>
        </w:rPr>
        <w:t>）选择</w:t>
      </w:r>
      <w:r>
        <w:rPr>
          <w:rFonts w:ascii="宋体" w:hAnsi="宋体" w:hint="eastAsia"/>
          <w:szCs w:val="21"/>
        </w:rPr>
        <w:t>6</w:t>
      </w:r>
      <w:r>
        <w:rPr>
          <w:rFonts w:ascii="宋体" w:hAnsi="宋体"/>
          <w:szCs w:val="21"/>
        </w:rPr>
        <w:t>公募基金</w:t>
      </w:r>
      <w:r>
        <w:rPr>
          <w:rFonts w:ascii="宋体" w:hAnsi="宋体" w:hint="eastAsia"/>
          <w:szCs w:val="21"/>
        </w:rPr>
        <w:t>业务进行相关咨询。</w:t>
      </w:r>
    </w:p>
    <w:p w:rsidR="00C8734A" w:rsidRDefault="005222DA">
      <w:pPr>
        <w:spacing w:line="360" w:lineRule="auto"/>
        <w:ind w:firstLineChars="200" w:firstLine="420"/>
        <w:jc w:val="left"/>
        <w:rPr>
          <w:rFonts w:ascii="宋体" w:hAnsi="宋体"/>
          <w:szCs w:val="21"/>
        </w:rPr>
      </w:pPr>
      <w:r>
        <w:rPr>
          <w:rFonts w:ascii="宋体" w:hAnsi="宋体" w:hint="eastAsia"/>
          <w:szCs w:val="21"/>
        </w:rPr>
        <w:t>（</w:t>
      </w:r>
      <w:r>
        <w:rPr>
          <w:rFonts w:ascii="宋体" w:hAnsi="宋体" w:hint="eastAsia"/>
          <w:szCs w:val="21"/>
        </w:rPr>
        <w:t>7</w:t>
      </w:r>
      <w:r>
        <w:rPr>
          <w:rFonts w:ascii="宋体" w:hAnsi="宋体" w:hint="eastAsia"/>
          <w:szCs w:val="21"/>
        </w:rPr>
        <w:t>）风险提示：基金管理人承诺以诚实信用、勤勉尽责的原则管理和运用基金资产，但不保证基金一定盈利，也不保证最低收益。</w:t>
      </w:r>
      <w:r>
        <w:rPr>
          <w:rFonts w:ascii="宋体" w:hAnsi="宋体"/>
          <w:szCs w:val="21"/>
        </w:rPr>
        <w:t>敬请投资者留意投资风险。</w:t>
      </w:r>
      <w:r>
        <w:rPr>
          <w:rFonts w:ascii="宋体" w:hAnsi="宋体" w:hint="eastAsia"/>
          <w:szCs w:val="21"/>
        </w:rPr>
        <w:t>投资者投资于本基金前应认真阅读本基金的基金合同和招募说明书。</w:t>
      </w:r>
    </w:p>
    <w:p w:rsidR="00C8734A" w:rsidRDefault="005222DA">
      <w:pPr>
        <w:spacing w:line="360" w:lineRule="auto"/>
        <w:jc w:val="right"/>
        <w:rPr>
          <w:rFonts w:ascii="宋体" w:hAnsi="宋体"/>
          <w:szCs w:val="21"/>
        </w:rPr>
      </w:pPr>
      <w:r>
        <w:rPr>
          <w:rFonts w:ascii="宋体" w:hAnsi="宋体" w:hint="eastAsia"/>
          <w:szCs w:val="21"/>
        </w:rPr>
        <w:t>中银国际证券股份有限公司</w:t>
      </w:r>
    </w:p>
    <w:p w:rsidR="00C8734A" w:rsidRDefault="005222DA">
      <w:pPr>
        <w:spacing w:line="360" w:lineRule="auto"/>
        <w:jc w:val="right"/>
        <w:rPr>
          <w:rFonts w:ascii="宋体" w:hAnsi="宋体"/>
          <w:szCs w:val="21"/>
        </w:rPr>
      </w:pPr>
      <w:r>
        <w:rPr>
          <w:rFonts w:ascii="宋体" w:hAnsi="宋体" w:hint="eastAsia"/>
          <w:szCs w:val="21"/>
        </w:rPr>
        <w:t>202</w:t>
      </w:r>
      <w:r>
        <w:rPr>
          <w:rFonts w:ascii="宋体" w:hAnsi="宋体" w:hint="eastAsia"/>
          <w:szCs w:val="21"/>
        </w:rPr>
        <w:t>3</w:t>
      </w:r>
      <w:r>
        <w:rPr>
          <w:rFonts w:ascii="宋体" w:hAnsi="宋体"/>
          <w:szCs w:val="21"/>
        </w:rPr>
        <w:t>年</w:t>
      </w:r>
      <w:r>
        <w:rPr>
          <w:rFonts w:ascii="宋体" w:hAnsi="宋体" w:hint="eastAsia"/>
          <w:szCs w:val="21"/>
        </w:rPr>
        <w:t>6</w:t>
      </w:r>
      <w:r>
        <w:rPr>
          <w:rFonts w:ascii="宋体" w:hAnsi="宋体"/>
          <w:szCs w:val="21"/>
        </w:rPr>
        <w:t>月</w:t>
      </w:r>
      <w:r>
        <w:rPr>
          <w:rFonts w:ascii="宋体" w:hAnsi="宋体" w:hint="eastAsia"/>
          <w:szCs w:val="21"/>
        </w:rPr>
        <w:t>14</w:t>
      </w:r>
      <w:r>
        <w:rPr>
          <w:rFonts w:ascii="宋体" w:hAnsi="宋体"/>
          <w:szCs w:val="21"/>
        </w:rPr>
        <w:t>日</w:t>
      </w:r>
    </w:p>
    <w:sectPr w:rsidR="00C8734A" w:rsidSect="00C8734A">
      <w:headerReference w:type="default" r:id="rId9"/>
      <w:footerReference w:type="default" r:id="rId10"/>
      <w:pgSz w:w="11906" w:h="16838"/>
      <w:pgMar w:top="1440" w:right="1531" w:bottom="1134" w:left="153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734A" w:rsidRDefault="00C8734A" w:rsidP="00C8734A">
      <w:r>
        <w:separator/>
      </w:r>
    </w:p>
  </w:endnote>
  <w:endnote w:type="continuationSeparator" w:id="0">
    <w:p w:rsidR="00C8734A" w:rsidRDefault="00C8734A" w:rsidP="00C873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modern"/>
    <w:notTrueType/>
    <w:pitch w:val="fixed"/>
    <w:sig w:usb0="00000001" w:usb1="080E0000" w:usb2="00000010" w:usb3="00000000" w:csb0="00040000"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734A" w:rsidRDefault="005222DA">
    <w:pPr>
      <w:pStyle w:val="a6"/>
      <w:jc w:val="center"/>
    </w:pPr>
    <w:r>
      <w:rPr>
        <w:rFonts w:hint="eastAsia"/>
      </w:rPr>
      <w:t>第</w:t>
    </w:r>
    <w:r>
      <w:rPr>
        <w:rFonts w:hint="eastAsia"/>
      </w:rPr>
      <w:t xml:space="preserve"> </w:t>
    </w:r>
    <w:r w:rsidR="00C8734A">
      <w:fldChar w:fldCharType="begin"/>
    </w:r>
    <w:r>
      <w:instrText xml:space="preserve"> </w:instrText>
    </w:r>
    <w:r>
      <w:rPr>
        <w:rFonts w:hint="eastAsia"/>
      </w:rPr>
      <w:instrText>PAGE   \* MERGEFORMAT</w:instrText>
    </w:r>
    <w:r>
      <w:instrText xml:space="preserve"> </w:instrText>
    </w:r>
    <w:r w:rsidR="00C8734A">
      <w:fldChar w:fldCharType="separate"/>
    </w:r>
    <w:r>
      <w:rPr>
        <w:noProof/>
      </w:rPr>
      <w:t>1</w:t>
    </w:r>
    <w:r w:rsidR="00C8734A">
      <w:fldChar w:fldCharType="end"/>
    </w:r>
    <w:r>
      <w:rPr>
        <w:rFonts w:hint="eastAsia"/>
      </w:rPr>
      <w:t xml:space="preserve"> </w:t>
    </w:r>
    <w:r>
      <w:rPr>
        <w:rFonts w:hint="eastAsia"/>
      </w:rPr>
      <w:t>页</w:t>
    </w:r>
    <w:r>
      <w:rPr>
        <w:rFonts w:hint="eastAsia"/>
      </w:rPr>
      <w:t xml:space="preserve"> </w:t>
    </w:r>
    <w:r>
      <w:rPr>
        <w:rFonts w:hint="eastAsia"/>
      </w:rPr>
      <w:t>共</w:t>
    </w:r>
    <w:fldSimple w:instr=" NUMPAGES   \* MERGEFORMAT ">
      <w:r>
        <w:rPr>
          <w:noProof/>
        </w:rPr>
        <w:t>3</w:t>
      </w:r>
    </w:fldSimple>
    <w:r>
      <w:rPr>
        <w:rFonts w:hint="eastAsia"/>
      </w:rPr>
      <w:t xml:space="preserve"> </w:t>
    </w:r>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734A" w:rsidRDefault="00C8734A" w:rsidP="00C8734A">
      <w:r>
        <w:separator/>
      </w:r>
    </w:p>
  </w:footnote>
  <w:footnote w:type="continuationSeparator" w:id="0">
    <w:p w:rsidR="00C8734A" w:rsidRDefault="00C8734A" w:rsidP="00C873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734A" w:rsidRDefault="005222DA">
    <w:pPr>
      <w:pStyle w:val="a7"/>
    </w:pPr>
    <w:r>
      <w:rPr>
        <w:rFonts w:hint="eastAsia"/>
      </w:rPr>
      <w:t>中银证券汇远一年定期开放债券型发起式</w:t>
    </w:r>
    <w:r>
      <w:rPr>
        <w:rFonts w:hint="eastAsia"/>
      </w:rPr>
      <w:t>证券投资基金二〇二</w:t>
    </w:r>
    <w:r>
      <w:rPr>
        <w:rFonts w:hint="eastAsia"/>
      </w:rPr>
      <w:t>三</w:t>
    </w:r>
    <w:r>
      <w:rPr>
        <w:rFonts w:hint="eastAsia"/>
      </w:rPr>
      <w:t>年第一个开放期开放申购、赎回业务的公告</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DD01D4"/>
    <w:multiLevelType w:val="multilevel"/>
    <w:tmpl w:val="27DD01D4"/>
    <w:lvl w:ilvl="0">
      <w:start w:val="1"/>
      <w:numFmt w:val="decimal"/>
      <w:lvlText w:val="%1."/>
      <w:lvlJc w:val="left"/>
      <w:pPr>
        <w:ind w:left="420" w:hanging="42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Dg2Y2NlZmQ2YWFmNTNhYTM0ZjhjNzlkZmI3ODA3NTkifQ=="/>
  </w:docVars>
  <w:rsids>
    <w:rsidRoot w:val="00C17403"/>
    <w:rsid w:val="00014C5E"/>
    <w:rsid w:val="00021617"/>
    <w:rsid w:val="00033115"/>
    <w:rsid w:val="000412ED"/>
    <w:rsid w:val="00054946"/>
    <w:rsid w:val="000801A7"/>
    <w:rsid w:val="00081647"/>
    <w:rsid w:val="0008482D"/>
    <w:rsid w:val="000B2F5E"/>
    <w:rsid w:val="000B441A"/>
    <w:rsid w:val="000B5B5F"/>
    <w:rsid w:val="000E3C57"/>
    <w:rsid w:val="00114462"/>
    <w:rsid w:val="00152C13"/>
    <w:rsid w:val="00160E09"/>
    <w:rsid w:val="0016407A"/>
    <w:rsid w:val="001857C6"/>
    <w:rsid w:val="00186E4A"/>
    <w:rsid w:val="00193A88"/>
    <w:rsid w:val="001B51BA"/>
    <w:rsid w:val="001D1F1F"/>
    <w:rsid w:val="001E19FE"/>
    <w:rsid w:val="001E7E52"/>
    <w:rsid w:val="00224E8E"/>
    <w:rsid w:val="00253DCA"/>
    <w:rsid w:val="002651E5"/>
    <w:rsid w:val="00271168"/>
    <w:rsid w:val="0028577D"/>
    <w:rsid w:val="002A667E"/>
    <w:rsid w:val="002C0AA5"/>
    <w:rsid w:val="002D74F6"/>
    <w:rsid w:val="002E0B7D"/>
    <w:rsid w:val="002F17AC"/>
    <w:rsid w:val="00325363"/>
    <w:rsid w:val="0033283A"/>
    <w:rsid w:val="00357DF2"/>
    <w:rsid w:val="00360E73"/>
    <w:rsid w:val="003755F7"/>
    <w:rsid w:val="00392BFA"/>
    <w:rsid w:val="003E567A"/>
    <w:rsid w:val="003E7219"/>
    <w:rsid w:val="003F0F7F"/>
    <w:rsid w:val="00422546"/>
    <w:rsid w:val="00444588"/>
    <w:rsid w:val="004660F3"/>
    <w:rsid w:val="004671F5"/>
    <w:rsid w:val="004879A8"/>
    <w:rsid w:val="004B4F55"/>
    <w:rsid w:val="004D2675"/>
    <w:rsid w:val="004D51A1"/>
    <w:rsid w:val="004E344F"/>
    <w:rsid w:val="004E5A9D"/>
    <w:rsid w:val="004E7A97"/>
    <w:rsid w:val="004F4BCC"/>
    <w:rsid w:val="004F53B2"/>
    <w:rsid w:val="004F5783"/>
    <w:rsid w:val="005222DA"/>
    <w:rsid w:val="00533605"/>
    <w:rsid w:val="00537F6C"/>
    <w:rsid w:val="00556CCA"/>
    <w:rsid w:val="00557D66"/>
    <w:rsid w:val="0059267D"/>
    <w:rsid w:val="005A354E"/>
    <w:rsid w:val="005A4ACB"/>
    <w:rsid w:val="005A7AF7"/>
    <w:rsid w:val="005B58AD"/>
    <w:rsid w:val="005B70DC"/>
    <w:rsid w:val="005C3A9C"/>
    <w:rsid w:val="005E1453"/>
    <w:rsid w:val="005F4832"/>
    <w:rsid w:val="00600CA8"/>
    <w:rsid w:val="00617E0D"/>
    <w:rsid w:val="006206B5"/>
    <w:rsid w:val="00621863"/>
    <w:rsid w:val="00623D5A"/>
    <w:rsid w:val="00624A03"/>
    <w:rsid w:val="006322E9"/>
    <w:rsid w:val="00636E2C"/>
    <w:rsid w:val="0064014D"/>
    <w:rsid w:val="00647441"/>
    <w:rsid w:val="00656527"/>
    <w:rsid w:val="00665623"/>
    <w:rsid w:val="006937EB"/>
    <w:rsid w:val="006A1F4C"/>
    <w:rsid w:val="006B3D71"/>
    <w:rsid w:val="006C2346"/>
    <w:rsid w:val="006D371B"/>
    <w:rsid w:val="006D3754"/>
    <w:rsid w:val="006E579E"/>
    <w:rsid w:val="006F5C35"/>
    <w:rsid w:val="00710A49"/>
    <w:rsid w:val="00747DB9"/>
    <w:rsid w:val="00757D95"/>
    <w:rsid w:val="0077077B"/>
    <w:rsid w:val="00770D8B"/>
    <w:rsid w:val="00776B91"/>
    <w:rsid w:val="007C3106"/>
    <w:rsid w:val="007D0045"/>
    <w:rsid w:val="007E2D35"/>
    <w:rsid w:val="008427CB"/>
    <w:rsid w:val="008576ED"/>
    <w:rsid w:val="008658FD"/>
    <w:rsid w:val="008737A7"/>
    <w:rsid w:val="0088155F"/>
    <w:rsid w:val="008860CA"/>
    <w:rsid w:val="008B2CA9"/>
    <w:rsid w:val="008B615D"/>
    <w:rsid w:val="008D6E81"/>
    <w:rsid w:val="008F3E29"/>
    <w:rsid w:val="00907CE8"/>
    <w:rsid w:val="00926B7F"/>
    <w:rsid w:val="009544FE"/>
    <w:rsid w:val="009779EE"/>
    <w:rsid w:val="009843EF"/>
    <w:rsid w:val="0099091B"/>
    <w:rsid w:val="009C11D8"/>
    <w:rsid w:val="009E2940"/>
    <w:rsid w:val="00A0226E"/>
    <w:rsid w:val="00A13E20"/>
    <w:rsid w:val="00A15704"/>
    <w:rsid w:val="00A330B4"/>
    <w:rsid w:val="00A34759"/>
    <w:rsid w:val="00A443D9"/>
    <w:rsid w:val="00A70E45"/>
    <w:rsid w:val="00A90AC6"/>
    <w:rsid w:val="00A9263E"/>
    <w:rsid w:val="00A95D99"/>
    <w:rsid w:val="00AA4DCB"/>
    <w:rsid w:val="00AA55BE"/>
    <w:rsid w:val="00AC3018"/>
    <w:rsid w:val="00AD5772"/>
    <w:rsid w:val="00AE0080"/>
    <w:rsid w:val="00AE4473"/>
    <w:rsid w:val="00AE54DA"/>
    <w:rsid w:val="00AF09F8"/>
    <w:rsid w:val="00AF1054"/>
    <w:rsid w:val="00B030A3"/>
    <w:rsid w:val="00B437DE"/>
    <w:rsid w:val="00B454F5"/>
    <w:rsid w:val="00B54B65"/>
    <w:rsid w:val="00B600BD"/>
    <w:rsid w:val="00B62DD6"/>
    <w:rsid w:val="00B90885"/>
    <w:rsid w:val="00B94495"/>
    <w:rsid w:val="00BA29FC"/>
    <w:rsid w:val="00BA436E"/>
    <w:rsid w:val="00BB320C"/>
    <w:rsid w:val="00BB7C89"/>
    <w:rsid w:val="00BD38D1"/>
    <w:rsid w:val="00BD70BD"/>
    <w:rsid w:val="00BF387B"/>
    <w:rsid w:val="00C03DAE"/>
    <w:rsid w:val="00C07578"/>
    <w:rsid w:val="00C17403"/>
    <w:rsid w:val="00C235D3"/>
    <w:rsid w:val="00C321AA"/>
    <w:rsid w:val="00C36AF7"/>
    <w:rsid w:val="00C47450"/>
    <w:rsid w:val="00C56541"/>
    <w:rsid w:val="00C84EE2"/>
    <w:rsid w:val="00C8734A"/>
    <w:rsid w:val="00C913C9"/>
    <w:rsid w:val="00CA337E"/>
    <w:rsid w:val="00CA33F2"/>
    <w:rsid w:val="00CA588B"/>
    <w:rsid w:val="00CB59C9"/>
    <w:rsid w:val="00CC474F"/>
    <w:rsid w:val="00CE2083"/>
    <w:rsid w:val="00CF5A18"/>
    <w:rsid w:val="00D06C47"/>
    <w:rsid w:val="00D167F5"/>
    <w:rsid w:val="00D23472"/>
    <w:rsid w:val="00D46CEE"/>
    <w:rsid w:val="00D46EAA"/>
    <w:rsid w:val="00D82EED"/>
    <w:rsid w:val="00D92103"/>
    <w:rsid w:val="00D93FBC"/>
    <w:rsid w:val="00D943D8"/>
    <w:rsid w:val="00DD54DC"/>
    <w:rsid w:val="00DF271A"/>
    <w:rsid w:val="00E00724"/>
    <w:rsid w:val="00E04C34"/>
    <w:rsid w:val="00E13DE2"/>
    <w:rsid w:val="00E37D96"/>
    <w:rsid w:val="00E65FE1"/>
    <w:rsid w:val="00E9126D"/>
    <w:rsid w:val="00EA15B3"/>
    <w:rsid w:val="00EA25C2"/>
    <w:rsid w:val="00EA41D6"/>
    <w:rsid w:val="00EA7FC1"/>
    <w:rsid w:val="00EB5D1D"/>
    <w:rsid w:val="00EF2D14"/>
    <w:rsid w:val="00F3568B"/>
    <w:rsid w:val="00F40B24"/>
    <w:rsid w:val="00F43894"/>
    <w:rsid w:val="00F52547"/>
    <w:rsid w:val="00F86595"/>
    <w:rsid w:val="00FC0B50"/>
    <w:rsid w:val="00FE3805"/>
    <w:rsid w:val="00FE6126"/>
    <w:rsid w:val="0320235B"/>
    <w:rsid w:val="2D595C22"/>
    <w:rsid w:val="34287583"/>
    <w:rsid w:val="3D787D34"/>
    <w:rsid w:val="4D7166EE"/>
    <w:rsid w:val="544534B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uiPriority="0" w:qFormat="1"/>
    <w:lsdException w:name="footer" w:semiHidden="0" w:uiPriority="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HTML Preformatted" w:qFormat="1"/>
    <w:lsdException w:name="Normal Table" w:qFormat="1"/>
    <w:lsdException w:name="annotation subject"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734A"/>
    <w:pPr>
      <w:widowControl w:val="0"/>
      <w:jc w:val="both"/>
    </w:pPr>
    <w:rPr>
      <w:rFonts w:ascii="Calibri" w:eastAsia="宋体" w:hAnsi="Calibri" w:cs="Times New Roman"/>
      <w:kern w:val="2"/>
      <w:sz w:val="21"/>
      <w:szCs w:val="22"/>
    </w:rPr>
  </w:style>
  <w:style w:type="paragraph" w:styleId="2">
    <w:name w:val="heading 2"/>
    <w:basedOn w:val="a"/>
    <w:next w:val="a"/>
    <w:link w:val="2Char"/>
    <w:qFormat/>
    <w:rsid w:val="00C8734A"/>
    <w:pPr>
      <w:keepNext/>
      <w:keepLines/>
      <w:spacing w:before="260" w:after="260" w:line="413" w:lineRule="auto"/>
      <w:outlineLvl w:val="1"/>
    </w:pPr>
    <w:rPr>
      <w:rFonts w:ascii="Arial" w:eastAsia="黑体" w:hAnsi="Arial"/>
      <w:b/>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C8734A"/>
    <w:pPr>
      <w:jc w:val="left"/>
    </w:pPr>
  </w:style>
  <w:style w:type="paragraph" w:styleId="a4">
    <w:name w:val="Date"/>
    <w:basedOn w:val="a"/>
    <w:next w:val="a"/>
    <w:link w:val="Char0"/>
    <w:uiPriority w:val="99"/>
    <w:semiHidden/>
    <w:unhideWhenUsed/>
    <w:qFormat/>
    <w:rsid w:val="00C8734A"/>
    <w:pPr>
      <w:ind w:leftChars="2500" w:left="100"/>
    </w:pPr>
  </w:style>
  <w:style w:type="paragraph" w:styleId="a5">
    <w:name w:val="Balloon Text"/>
    <w:basedOn w:val="a"/>
    <w:link w:val="Char1"/>
    <w:uiPriority w:val="99"/>
    <w:semiHidden/>
    <w:unhideWhenUsed/>
    <w:qFormat/>
    <w:rsid w:val="00C8734A"/>
    <w:rPr>
      <w:sz w:val="18"/>
      <w:szCs w:val="18"/>
    </w:rPr>
  </w:style>
  <w:style w:type="paragraph" w:styleId="a6">
    <w:name w:val="footer"/>
    <w:basedOn w:val="a"/>
    <w:link w:val="Char2"/>
    <w:unhideWhenUsed/>
    <w:qFormat/>
    <w:rsid w:val="00C8734A"/>
    <w:pPr>
      <w:tabs>
        <w:tab w:val="center" w:pos="4153"/>
        <w:tab w:val="right" w:pos="8306"/>
      </w:tabs>
      <w:snapToGrid w:val="0"/>
      <w:jc w:val="left"/>
    </w:pPr>
    <w:rPr>
      <w:sz w:val="18"/>
      <w:szCs w:val="18"/>
    </w:rPr>
  </w:style>
  <w:style w:type="paragraph" w:styleId="a7">
    <w:name w:val="header"/>
    <w:basedOn w:val="a"/>
    <w:link w:val="Char3"/>
    <w:unhideWhenUsed/>
    <w:qFormat/>
    <w:rsid w:val="00C8734A"/>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semiHidden/>
    <w:unhideWhenUsed/>
    <w:qFormat/>
    <w:rsid w:val="00C873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8">
    <w:name w:val="annotation subject"/>
    <w:basedOn w:val="a3"/>
    <w:next w:val="a3"/>
    <w:link w:val="Char4"/>
    <w:uiPriority w:val="99"/>
    <w:semiHidden/>
    <w:unhideWhenUsed/>
    <w:qFormat/>
    <w:rsid w:val="00C8734A"/>
    <w:rPr>
      <w:b/>
      <w:bCs/>
    </w:rPr>
  </w:style>
  <w:style w:type="character" w:styleId="a9">
    <w:name w:val="annotation reference"/>
    <w:basedOn w:val="a0"/>
    <w:uiPriority w:val="99"/>
    <w:semiHidden/>
    <w:unhideWhenUsed/>
    <w:qFormat/>
    <w:rsid w:val="00C8734A"/>
    <w:rPr>
      <w:sz w:val="21"/>
      <w:szCs w:val="21"/>
    </w:rPr>
  </w:style>
  <w:style w:type="character" w:customStyle="1" w:styleId="Char3">
    <w:name w:val="页眉 Char"/>
    <w:basedOn w:val="a0"/>
    <w:link w:val="a7"/>
    <w:qFormat/>
    <w:rsid w:val="00C8734A"/>
    <w:rPr>
      <w:sz w:val="18"/>
      <w:szCs w:val="18"/>
    </w:rPr>
  </w:style>
  <w:style w:type="character" w:customStyle="1" w:styleId="Char2">
    <w:name w:val="页脚 Char"/>
    <w:basedOn w:val="a0"/>
    <w:link w:val="a6"/>
    <w:qFormat/>
    <w:rsid w:val="00C8734A"/>
    <w:rPr>
      <w:sz w:val="18"/>
      <w:szCs w:val="18"/>
    </w:rPr>
  </w:style>
  <w:style w:type="character" w:customStyle="1" w:styleId="2Char">
    <w:name w:val="标题 2 Char"/>
    <w:basedOn w:val="a0"/>
    <w:link w:val="2"/>
    <w:qFormat/>
    <w:rsid w:val="00C8734A"/>
    <w:rPr>
      <w:rFonts w:ascii="Arial" w:eastAsia="黑体" w:hAnsi="Arial" w:cs="Times New Roman"/>
      <w:b/>
      <w:sz w:val="32"/>
      <w:szCs w:val="20"/>
    </w:rPr>
  </w:style>
  <w:style w:type="character" w:customStyle="1" w:styleId="Char0">
    <w:name w:val="日期 Char"/>
    <w:basedOn w:val="a0"/>
    <w:link w:val="a4"/>
    <w:uiPriority w:val="99"/>
    <w:semiHidden/>
    <w:qFormat/>
    <w:rsid w:val="00C8734A"/>
    <w:rPr>
      <w:rFonts w:ascii="Calibri" w:eastAsia="宋体" w:hAnsi="Calibri" w:cs="Times New Roman"/>
    </w:rPr>
  </w:style>
  <w:style w:type="character" w:customStyle="1" w:styleId="Char">
    <w:name w:val="批注文字 Char"/>
    <w:basedOn w:val="a0"/>
    <w:link w:val="a3"/>
    <w:uiPriority w:val="99"/>
    <w:semiHidden/>
    <w:qFormat/>
    <w:rsid w:val="00C8734A"/>
    <w:rPr>
      <w:rFonts w:ascii="Calibri" w:eastAsia="宋体" w:hAnsi="Calibri" w:cs="Times New Roman"/>
    </w:rPr>
  </w:style>
  <w:style w:type="character" w:customStyle="1" w:styleId="Char4">
    <w:name w:val="批注主题 Char"/>
    <w:basedOn w:val="Char"/>
    <w:link w:val="a8"/>
    <w:uiPriority w:val="99"/>
    <w:semiHidden/>
    <w:qFormat/>
    <w:rsid w:val="00C8734A"/>
    <w:rPr>
      <w:rFonts w:ascii="Calibri" w:eastAsia="宋体" w:hAnsi="Calibri" w:cs="Times New Roman"/>
      <w:b/>
      <w:bCs/>
    </w:rPr>
  </w:style>
  <w:style w:type="character" w:customStyle="1" w:styleId="Char1">
    <w:name w:val="批注框文本 Char"/>
    <w:basedOn w:val="a0"/>
    <w:link w:val="a5"/>
    <w:uiPriority w:val="99"/>
    <w:semiHidden/>
    <w:qFormat/>
    <w:rsid w:val="00C8734A"/>
    <w:rPr>
      <w:rFonts w:ascii="Calibri" w:eastAsia="宋体" w:hAnsi="Calibri" w:cs="Times New Roman"/>
      <w:sz w:val="18"/>
      <w:szCs w:val="18"/>
    </w:rPr>
  </w:style>
  <w:style w:type="character" w:customStyle="1" w:styleId="HTMLChar">
    <w:name w:val="HTML 预设格式 Char"/>
    <w:basedOn w:val="a0"/>
    <w:link w:val="HTML"/>
    <w:uiPriority w:val="99"/>
    <w:semiHidden/>
    <w:qFormat/>
    <w:rsid w:val="00C8734A"/>
    <w:rPr>
      <w:rFonts w:ascii="宋体" w:eastAsia="宋体" w:hAnsi="宋体" w:cs="宋体"/>
      <w:kern w:val="0"/>
      <w:sz w:val="24"/>
      <w:szCs w:val="24"/>
    </w:rPr>
  </w:style>
  <w:style w:type="paragraph" w:styleId="aa">
    <w:name w:val="List Paragraph"/>
    <w:basedOn w:val="a"/>
    <w:uiPriority w:val="34"/>
    <w:qFormat/>
    <w:rsid w:val="00C8734A"/>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boc.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A2EEE6-AB09-4D79-A365-B7E19CCDF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477</Words>
  <Characters>2721</Characters>
  <Application>Microsoft Office Word</Application>
  <DocSecurity>4</DocSecurity>
  <Lines>22</Lines>
  <Paragraphs>6</Paragraphs>
  <ScaleCrop>false</ScaleCrop>
  <Company>CNSTOCK</Company>
  <LinksUpToDate>false</LinksUpToDate>
  <CharactersWithSpaces>3192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王烁</dc:creator>
  <cp:lastModifiedBy>ZHONGM</cp:lastModifiedBy>
  <cp:revision>2</cp:revision>
  <dcterms:created xsi:type="dcterms:W3CDTF">2023-06-13T16:01:00Z</dcterms:created>
  <dcterms:modified xsi:type="dcterms:W3CDTF">2023-06-13T16:01:00Z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E869B48718814867AA5F190BEDA7A638</vt:lpwstr>
  </property>
</Properties>
</file>