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000" w:rsidRDefault="007B3000" w:rsidP="0047442B">
      <w:pPr>
        <w:widowControl w:val="0"/>
        <w:spacing w:line="360" w:lineRule="auto"/>
        <w:jc w:val="center"/>
        <w:rPr>
          <w:rFonts w:eastAsia="Times New Roman"/>
          <w:sz w:val="28"/>
          <w:szCs w:val="28"/>
          <w:lang w:val="en-US" w:eastAsia="zh-CN" w:bidi="ar-SA"/>
        </w:rPr>
      </w:pPr>
      <w:r>
        <w:rPr>
          <w:rFonts w:ascii="宋体" w:hAnsi="宋体" w:cs="宋体"/>
          <w:b/>
          <w:bCs/>
          <w:sz w:val="28"/>
          <w:szCs w:val="28"/>
          <w:lang w:val="en-US" w:eastAsia="zh-CN" w:bidi="ar-SA"/>
        </w:rPr>
        <w:t>鹏华基金管理有限公司关于旗下部分基金增加华福证券有限责任公司为申购赎回代理券商的公告</w:t>
      </w:r>
    </w:p>
    <w:p w:rsidR="007B3000" w:rsidRDefault="007B3000">
      <w:pPr>
        <w:widowControl w:val="0"/>
        <w:jc w:val="center"/>
        <w:rPr>
          <w:rFonts w:eastAsia="Times New Roman"/>
          <w:sz w:val="28"/>
          <w:szCs w:val="28"/>
          <w:lang w:val="en-US" w:eastAsia="zh-CN" w:bidi="ar-SA"/>
        </w:rPr>
      </w:pPr>
      <w:r>
        <w:rPr>
          <w:rFonts w:eastAsia="Times New Roman"/>
          <w:sz w:val="28"/>
          <w:szCs w:val="28"/>
          <w:lang w:val="en-US" w:eastAsia="zh-CN" w:bidi="ar-SA"/>
        </w:rPr>
        <w:t> </w:t>
      </w:r>
    </w:p>
    <w:p w:rsidR="007B3000" w:rsidRDefault="007B3000">
      <w:pPr>
        <w:widowControl w:val="0"/>
        <w:spacing w:line="360" w:lineRule="auto"/>
        <w:ind w:firstLine="480"/>
        <w:rPr>
          <w:rFonts w:eastAsia="Times New Roman"/>
          <w:lang w:val="en-US" w:eastAsia="zh-CN" w:bidi="ar-SA"/>
        </w:rPr>
      </w:pPr>
      <w:r>
        <w:rPr>
          <w:rFonts w:ascii="宋体" w:hAnsi="宋体" w:cs="宋体"/>
          <w:lang w:val="en-US" w:eastAsia="zh-CN" w:bidi="ar-SA"/>
        </w:rPr>
        <w:t>经上海证券交易所确认，根据鹏华基金管理有限公司（以下简称：本公司）与华福证券有限责任公司(以下简称“华福证券”)签署的协议，本公司决定自2023年06月12日起增加华福证券为鹏华中证国防交易型开放式指数证券投资基金（基金简称：国防ETF，扩位简称：国防ETF，基金代码：512670）、鹏华中证港股通医药卫生综合交易型开放式指数证券投资基金（基金简称：香港医药，扩位简称：香港医药ETF，基金代码：513700）、鹏华中证港股通消费主题交易型开放式指数证券投资基金（基金简称：香港消费，扩位简称：香港消费</w:t>
      </w:r>
      <w:r w:rsidR="0047442B">
        <w:rPr>
          <w:rFonts w:ascii="宋体" w:hAnsi="宋体" w:cs="宋体" w:hint="eastAsia"/>
          <w:lang w:val="en-US" w:bidi="ar-SA"/>
        </w:rPr>
        <w:t>ET</w:t>
      </w:r>
      <w:r w:rsidR="0047442B">
        <w:rPr>
          <w:rFonts w:ascii="宋体" w:hAnsi="宋体" w:cs="宋体"/>
          <w:lang w:val="en-US" w:bidi="ar-SA"/>
        </w:rPr>
        <w:t>F</w:t>
      </w:r>
      <w:r>
        <w:rPr>
          <w:rFonts w:ascii="宋体" w:hAnsi="宋体" w:cs="宋体"/>
          <w:lang w:val="en-US" w:eastAsia="zh-CN" w:bidi="ar-SA"/>
        </w:rPr>
        <w:t>，基金代码：513590）、鹏华中证800证券保险交易型开放式指数证券投资基金（基金简称：保险证券，扩位简称：保险证券ETF，基金代码：515630）、鹏华上证科创板50成份增强策略交易型开放式指数证券投资基金（基金简称：科创50增强ETF，扩位简称：科创50增强ETF，基金代码：588460）、鹏华中证酒交易型开放式指数证券投资基金（基金简称：酒ETF，扩位简称：酒ETF，基金代码：512690）、鹏华中证银行交易型开放式指数证券投资基金（基金简称：银行FUND，扩位简称：中证银行ETF，基金代码：512730）的申购赎回代理券商。</w:t>
      </w:r>
    </w:p>
    <w:p w:rsidR="007B3000" w:rsidRPr="0047442B" w:rsidRDefault="007B3000">
      <w:pPr>
        <w:widowControl w:val="0"/>
        <w:spacing w:line="360" w:lineRule="auto"/>
        <w:ind w:firstLine="480"/>
        <w:rPr>
          <w:rFonts w:ascii="宋体" w:hAnsi="宋体" w:cs="宋体"/>
          <w:lang w:val="en-US" w:eastAsia="zh-CN" w:bidi="ar-SA"/>
        </w:rPr>
      </w:pPr>
      <w:r>
        <w:rPr>
          <w:rFonts w:ascii="宋体" w:hAnsi="宋体" w:cs="宋体"/>
          <w:lang w:val="en-US" w:eastAsia="zh-CN" w:bidi="ar-SA"/>
        </w:rPr>
        <w:t>投资人可通过以下途径了解或咨询相关情况：</w:t>
      </w:r>
    </w:p>
    <w:p w:rsidR="007B3000" w:rsidRPr="0047442B" w:rsidRDefault="007B3000">
      <w:pPr>
        <w:spacing w:line="360" w:lineRule="auto"/>
        <w:ind w:firstLine="420"/>
        <w:rPr>
          <w:rFonts w:ascii="宋体" w:hAnsi="宋体" w:cs="宋体"/>
          <w:lang w:val="en-US" w:eastAsia="zh-CN" w:bidi="ar-SA"/>
        </w:rPr>
      </w:pPr>
      <w:r w:rsidRPr="0047442B">
        <w:rPr>
          <w:rFonts w:ascii="宋体" w:hAnsi="宋体" w:cs="宋体"/>
          <w:lang w:val="en-US" w:eastAsia="zh-CN" w:bidi="ar-SA"/>
        </w:rPr>
        <w:t>1、华福证券有限责任公司（网址及客户服务电话：www.hfzq.com.cn、95547(福建省外电信、联通用户暂加拨0593-95547)）</w:t>
      </w:r>
    </w:p>
    <w:p w:rsidR="007B3000" w:rsidRPr="0047442B" w:rsidRDefault="007B3000">
      <w:pPr>
        <w:spacing w:line="360" w:lineRule="auto"/>
        <w:ind w:firstLine="420"/>
        <w:rPr>
          <w:rFonts w:ascii="宋体" w:hAnsi="宋体" w:cs="宋体"/>
          <w:lang w:val="en-US" w:eastAsia="zh-CN" w:bidi="ar-SA"/>
        </w:rPr>
      </w:pPr>
      <w:r w:rsidRPr="0047442B">
        <w:rPr>
          <w:rFonts w:ascii="宋体" w:hAnsi="宋体" w:cs="宋体"/>
          <w:lang w:val="en-US" w:eastAsia="zh-CN" w:bidi="ar-SA"/>
        </w:rPr>
        <w:t>2、鹏华基金管理有限公司（网址及客户服务电话：www.phfund.com.cn、400-6788-533（免长途通话费用））</w:t>
      </w:r>
    </w:p>
    <w:p w:rsidR="007B3000" w:rsidRPr="0047442B" w:rsidRDefault="007B3000">
      <w:pPr>
        <w:widowControl w:val="0"/>
        <w:spacing w:before="240" w:line="360" w:lineRule="auto"/>
        <w:ind w:firstLine="480"/>
        <w:rPr>
          <w:rFonts w:ascii="宋体" w:hAnsi="宋体" w:cs="宋体"/>
          <w:lang w:val="en-US" w:eastAsia="zh-CN" w:bidi="ar-SA"/>
        </w:rPr>
      </w:pPr>
      <w:r>
        <w:rPr>
          <w:rFonts w:ascii="宋体" w:hAnsi="宋体" w:cs="宋体"/>
          <w:lang w:val="en-US" w:eastAsia="zh-CN" w:bidi="ar-SA"/>
        </w:rPr>
        <w:t>风险提示：本公司承诺以诚实信用、勤勉尽责的原则管理和运用基金财产，但不保证基金一定盈利，也不保证最低收益。投资人应认真阅读拟投资基金的《基金合同》、《招募说明书》（更新）、基金产品资料概要（更新）等法律文件，了解所投资基金的风险收益特征，并根据自身情况购买与本人风险承受能力相匹配的产品。</w:t>
      </w:r>
    </w:p>
    <w:p w:rsidR="007B3000" w:rsidRPr="0047442B" w:rsidRDefault="007B3000">
      <w:pPr>
        <w:widowControl w:val="0"/>
        <w:spacing w:line="360" w:lineRule="auto"/>
        <w:ind w:firstLine="480"/>
        <w:rPr>
          <w:rFonts w:ascii="宋体" w:hAnsi="宋体" w:cs="宋体"/>
          <w:lang w:val="en-US" w:eastAsia="zh-CN" w:bidi="ar-SA"/>
        </w:rPr>
      </w:pPr>
    </w:p>
    <w:p w:rsidR="007B3000" w:rsidRPr="0047442B" w:rsidRDefault="007B3000">
      <w:pPr>
        <w:widowControl w:val="0"/>
        <w:spacing w:line="360" w:lineRule="auto"/>
        <w:ind w:firstLine="480"/>
        <w:rPr>
          <w:rFonts w:ascii="宋体" w:hAnsi="宋体" w:cs="宋体"/>
          <w:lang w:val="en-US" w:eastAsia="zh-CN" w:bidi="ar-SA"/>
        </w:rPr>
      </w:pPr>
      <w:r>
        <w:rPr>
          <w:rFonts w:ascii="宋体" w:hAnsi="宋体" w:cs="宋体"/>
          <w:lang w:val="en-US" w:eastAsia="zh-CN" w:bidi="ar-SA"/>
        </w:rPr>
        <w:t>特此公告。</w:t>
      </w:r>
    </w:p>
    <w:p w:rsidR="007B3000" w:rsidRPr="0047442B" w:rsidRDefault="007B3000">
      <w:pPr>
        <w:widowControl w:val="0"/>
        <w:spacing w:line="360" w:lineRule="auto"/>
        <w:ind w:firstLine="480"/>
        <w:rPr>
          <w:rFonts w:ascii="宋体" w:hAnsi="宋体" w:cs="宋体"/>
          <w:lang w:val="en-US" w:eastAsia="zh-CN" w:bidi="ar-SA"/>
        </w:rPr>
      </w:pPr>
    </w:p>
    <w:p w:rsidR="007B3000" w:rsidRPr="0047442B" w:rsidRDefault="007B3000">
      <w:pPr>
        <w:widowControl w:val="0"/>
        <w:spacing w:line="360" w:lineRule="auto"/>
        <w:ind w:firstLine="480"/>
        <w:jc w:val="right"/>
        <w:rPr>
          <w:rFonts w:ascii="宋体" w:hAnsi="宋体" w:cs="宋体"/>
          <w:lang w:val="en-US" w:eastAsia="zh-CN" w:bidi="ar-SA"/>
        </w:rPr>
      </w:pPr>
      <w:r>
        <w:rPr>
          <w:rFonts w:ascii="宋体" w:hAnsi="宋体" w:cs="宋体"/>
          <w:lang w:val="en-US" w:eastAsia="zh-CN" w:bidi="ar-SA"/>
        </w:rPr>
        <w:t>鹏华基金管理有限公司</w:t>
      </w:r>
    </w:p>
    <w:p w:rsidR="007B3000" w:rsidRDefault="007B3000">
      <w:pPr>
        <w:widowControl w:val="0"/>
        <w:spacing w:line="360" w:lineRule="auto"/>
        <w:ind w:firstLine="480"/>
        <w:jc w:val="right"/>
        <w:rPr>
          <w:rFonts w:eastAsia="Times New Roman"/>
          <w:lang w:val="en-US" w:eastAsia="zh-CN" w:bidi="ar-SA"/>
        </w:rPr>
      </w:pPr>
      <w:r>
        <w:rPr>
          <w:rFonts w:ascii="宋体" w:hAnsi="宋体" w:cs="宋体"/>
          <w:lang w:val="en-US" w:eastAsia="zh-CN" w:bidi="ar-SA"/>
        </w:rPr>
        <w:t>2023年06月12日</w:t>
      </w:r>
    </w:p>
    <w:p w:rsidR="00A77B3E" w:rsidRDefault="00A77B3E"/>
    <w:sectPr w:rsidR="00A77B3E">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000" w:rsidRDefault="007B3000">
      <w:r>
        <w:separator/>
      </w:r>
    </w:p>
  </w:endnote>
  <w:endnote w:type="continuationSeparator" w:id="0">
    <w:p w:rsidR="007B3000" w:rsidRDefault="007B3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000" w:rsidRDefault="007B3000">
    <w:pPr>
      <w:jc w:val="center"/>
    </w:pPr>
    <w:r>
      <w:rPr>
        <w:rFonts w:ascii="宋体" w:hAnsi="宋体" w:cs="宋体"/>
        <w:sz w:val="18"/>
      </w:rPr>
      <w:fldChar w:fldCharType="begin"/>
    </w:r>
    <w:r>
      <w:rPr>
        <w:rFonts w:ascii="宋体" w:hAnsi="宋体" w:cs="宋体"/>
        <w:sz w:val="18"/>
      </w:rPr>
      <w:instrText xml:space="preserve"> PAGE </w:instrText>
    </w:r>
    <w:r>
      <w:rPr>
        <w:rFonts w:ascii="宋体" w:hAnsi="宋体" w:cs="宋体"/>
        <w:sz w:val="18"/>
      </w:rPr>
      <w:fldChar w:fldCharType="separate"/>
    </w:r>
    <w:r w:rsidR="00B65BCA">
      <w:rPr>
        <w:rFonts w:ascii="宋体" w:hAnsi="宋体" w:cs="宋体"/>
        <w:noProof/>
        <w:sz w:val="18"/>
      </w:rPr>
      <w:t>1</w:t>
    </w:r>
    <w:r>
      <w:rPr>
        <w:rFonts w:ascii="宋体" w:hAnsi="宋体" w:cs="宋体"/>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000" w:rsidRDefault="007B3000">
      <w:r>
        <w:separator/>
      </w:r>
    </w:p>
  </w:footnote>
  <w:footnote w:type="continuationSeparator" w:id="0">
    <w:p w:rsidR="007B3000" w:rsidRDefault="007B300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noPunctuationKerning/>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47442B"/>
    <w:rsid w:val="007B3000"/>
    <w:rsid w:val="00A77B3E"/>
    <w:rsid w:val="00B65BCA"/>
    <w:rsid w:val="00CA2A55"/>
  </w:rsids>
  <m:mathPr>
    <m:mathFont m:val="Cambria Math"/>
    <m:brkBin m:val="before"/>
    <m:brkBinSub m:val="--"/>
    <m:smallFrac m:val="off"/>
    <m:dispDef/>
    <m:lMargin m:val="0"/>
    <m:rMargin m:val="0"/>
    <m:defJc m:val="centerGroup"/>
    <m:wrapRight/>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1">
    <w:name w:val="toc 1"/>
    <w:basedOn w:val="a"/>
    <w:next w:val="a"/>
    <w:autoRedefine/>
    <w:rsid w:val="00805BCE"/>
    <w:pPr>
      <w:spacing w:line="360" w:lineRule="auto"/>
    </w:pPr>
    <w:rPr>
      <w:rFonts w:ascii="宋体" w:hAnsi="宋体" w:cs="宋体"/>
      <w:b/>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135</Words>
  <Characters>770</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ZHONGM</dc:creator>
  <cp:keywords/>
  <cp:lastModifiedBy>ZHONGM</cp:lastModifiedBy>
  <cp:revision>2</cp:revision>
  <cp:lastPrinted>1601-01-01T00:00:00Z</cp:lastPrinted>
  <dcterms:created xsi:type="dcterms:W3CDTF">2023-06-11T16:01:00Z</dcterms:created>
  <dcterms:modified xsi:type="dcterms:W3CDTF">2023-06-11T16:01:00Z</dcterms:modified>
</cp:coreProperties>
</file>