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78" w:rsidRDefault="00471678">
      <w:pPr>
        <w:adjustRightInd w:val="0"/>
        <w:snapToGrid w:val="0"/>
        <w:spacing w:line="360" w:lineRule="auto"/>
        <w:jc w:val="center"/>
        <w:rPr>
          <w:rFonts w:ascii="宋体" w:hAnsi="宋体"/>
          <w:sz w:val="28"/>
          <w:szCs w:val="32"/>
        </w:rPr>
      </w:pPr>
    </w:p>
    <w:p w:rsidR="00471678" w:rsidRDefault="00471678">
      <w:pPr>
        <w:adjustRightInd w:val="0"/>
        <w:snapToGrid w:val="0"/>
        <w:spacing w:line="360" w:lineRule="auto"/>
        <w:jc w:val="center"/>
        <w:rPr>
          <w:rFonts w:ascii="宋体" w:hAnsi="宋体"/>
          <w:sz w:val="28"/>
          <w:szCs w:val="32"/>
        </w:rPr>
      </w:pPr>
    </w:p>
    <w:p w:rsidR="00471678" w:rsidRDefault="00471678">
      <w:pPr>
        <w:adjustRightInd w:val="0"/>
        <w:snapToGrid w:val="0"/>
        <w:spacing w:line="360" w:lineRule="auto"/>
        <w:jc w:val="center"/>
        <w:rPr>
          <w:rFonts w:ascii="宋体" w:hAnsi="宋体"/>
          <w:sz w:val="28"/>
          <w:szCs w:val="32"/>
        </w:rPr>
      </w:pPr>
    </w:p>
    <w:p w:rsidR="00471678" w:rsidRDefault="00A80442">
      <w:pPr>
        <w:adjustRightInd w:val="0"/>
        <w:snapToGrid w:val="0"/>
        <w:spacing w:line="360" w:lineRule="auto"/>
        <w:jc w:val="center"/>
        <w:rPr>
          <w:rFonts w:ascii="宋体" w:hAnsi="宋体"/>
          <w:b/>
          <w:sz w:val="48"/>
          <w:szCs w:val="48"/>
        </w:rPr>
      </w:pPr>
      <w:r>
        <w:rPr>
          <w:rFonts w:ascii="宋体" w:hAnsi="宋体" w:hint="eastAsia"/>
          <w:b/>
          <w:sz w:val="48"/>
          <w:szCs w:val="48"/>
        </w:rPr>
        <w:t>红土创新盐田港仓储物流</w:t>
      </w:r>
    </w:p>
    <w:p w:rsidR="00471678" w:rsidRDefault="00A80442">
      <w:pPr>
        <w:adjustRightInd w:val="0"/>
        <w:snapToGrid w:val="0"/>
        <w:spacing w:line="360" w:lineRule="auto"/>
        <w:jc w:val="center"/>
        <w:rPr>
          <w:rFonts w:ascii="宋体" w:hAnsi="宋体"/>
          <w:b/>
          <w:sz w:val="48"/>
          <w:szCs w:val="48"/>
        </w:rPr>
      </w:pPr>
      <w:r>
        <w:rPr>
          <w:rFonts w:ascii="宋体" w:hAnsi="宋体" w:hint="eastAsia"/>
          <w:b/>
          <w:sz w:val="48"/>
          <w:szCs w:val="48"/>
        </w:rPr>
        <w:t>封闭式基础设施证券投资基金</w:t>
      </w:r>
    </w:p>
    <w:p w:rsidR="00471678" w:rsidRDefault="00A80442">
      <w:pPr>
        <w:adjustRightInd w:val="0"/>
        <w:snapToGrid w:val="0"/>
        <w:spacing w:line="360" w:lineRule="auto"/>
        <w:jc w:val="center"/>
        <w:rPr>
          <w:rFonts w:ascii="宋体" w:hAnsi="宋体"/>
          <w:b/>
          <w:sz w:val="48"/>
          <w:szCs w:val="48"/>
        </w:rPr>
      </w:pPr>
      <w:r>
        <w:rPr>
          <w:rFonts w:ascii="宋体" w:hAnsi="宋体" w:hint="eastAsia"/>
          <w:b/>
          <w:sz w:val="48"/>
          <w:szCs w:val="48"/>
        </w:rPr>
        <w:t>定向扩募发行情况报告书</w:t>
      </w:r>
    </w:p>
    <w:p w:rsidR="00471678" w:rsidRDefault="00471678">
      <w:pPr>
        <w:adjustRightInd w:val="0"/>
        <w:snapToGrid w:val="0"/>
        <w:spacing w:line="360" w:lineRule="auto"/>
        <w:jc w:val="center"/>
        <w:rPr>
          <w:rFonts w:ascii="宋体" w:hAnsi="宋体"/>
          <w:b/>
          <w:szCs w:val="24"/>
        </w:rPr>
      </w:pPr>
    </w:p>
    <w:p w:rsidR="00471678" w:rsidRDefault="00471678">
      <w:pPr>
        <w:adjustRightInd w:val="0"/>
        <w:snapToGrid w:val="0"/>
        <w:spacing w:line="360" w:lineRule="auto"/>
        <w:jc w:val="center"/>
        <w:rPr>
          <w:rFonts w:ascii="宋体" w:hAnsi="宋体"/>
          <w:b/>
          <w:szCs w:val="24"/>
        </w:rPr>
      </w:pPr>
    </w:p>
    <w:p w:rsidR="00471678" w:rsidRDefault="00471678">
      <w:pPr>
        <w:adjustRightInd w:val="0"/>
        <w:snapToGrid w:val="0"/>
        <w:spacing w:line="360" w:lineRule="auto"/>
        <w:jc w:val="center"/>
        <w:rPr>
          <w:rFonts w:ascii="宋体" w:hAnsi="宋体"/>
          <w:b/>
          <w:szCs w:val="24"/>
        </w:rPr>
      </w:pPr>
    </w:p>
    <w:p w:rsidR="00471678" w:rsidRDefault="00471678">
      <w:pPr>
        <w:pStyle w:val="2"/>
        <w:spacing w:before="156" w:after="156"/>
        <w:ind w:left="480"/>
        <w:rPr>
          <w:rFonts w:hAnsi="宋体"/>
          <w:b/>
        </w:rPr>
      </w:pPr>
    </w:p>
    <w:p w:rsidR="00471678" w:rsidRDefault="00471678">
      <w:pPr>
        <w:pStyle w:val="2"/>
        <w:spacing w:before="156" w:after="156"/>
        <w:ind w:left="480"/>
        <w:rPr>
          <w:rFonts w:hAnsi="宋体"/>
          <w:b/>
        </w:rPr>
      </w:pPr>
    </w:p>
    <w:p w:rsidR="00471678" w:rsidRDefault="00471678">
      <w:pPr>
        <w:pStyle w:val="2"/>
        <w:spacing w:before="156" w:after="156"/>
        <w:ind w:left="480"/>
        <w:rPr>
          <w:rFonts w:hAnsi="宋体"/>
          <w:b/>
        </w:rPr>
      </w:pPr>
    </w:p>
    <w:p w:rsidR="00471678" w:rsidRDefault="00471678">
      <w:pPr>
        <w:adjustRightInd w:val="0"/>
        <w:snapToGrid w:val="0"/>
        <w:spacing w:line="360" w:lineRule="auto"/>
        <w:jc w:val="center"/>
        <w:rPr>
          <w:rFonts w:ascii="宋体" w:hAnsi="宋体"/>
          <w:b/>
          <w:szCs w:val="24"/>
        </w:rPr>
      </w:pPr>
    </w:p>
    <w:p w:rsidR="00471678" w:rsidRDefault="00471678">
      <w:pPr>
        <w:adjustRightInd w:val="0"/>
        <w:snapToGrid w:val="0"/>
        <w:spacing w:line="360" w:lineRule="auto"/>
        <w:jc w:val="center"/>
        <w:rPr>
          <w:rFonts w:ascii="宋体" w:hAnsi="宋体"/>
          <w:b/>
          <w:szCs w:val="24"/>
        </w:rPr>
      </w:pPr>
    </w:p>
    <w:p w:rsidR="00471678" w:rsidRDefault="00A80442">
      <w:pPr>
        <w:adjustRightInd w:val="0"/>
        <w:snapToGrid w:val="0"/>
        <w:spacing w:line="360" w:lineRule="auto"/>
        <w:jc w:val="center"/>
        <w:rPr>
          <w:rFonts w:ascii="宋体" w:hAnsi="宋体"/>
          <w:b/>
          <w:sz w:val="32"/>
          <w:szCs w:val="30"/>
        </w:rPr>
      </w:pPr>
      <w:r>
        <w:rPr>
          <w:rFonts w:ascii="宋体" w:hAnsi="宋体" w:hint="eastAsia"/>
          <w:b/>
          <w:sz w:val="32"/>
          <w:szCs w:val="30"/>
        </w:rPr>
        <w:t>二〇二三年六月</w:t>
      </w:r>
    </w:p>
    <w:p w:rsidR="00471678" w:rsidRDefault="00471678">
      <w:pPr>
        <w:rPr>
          <w:rFonts w:ascii="宋体" w:hAnsi="宋体"/>
          <w:sz w:val="28"/>
          <w:szCs w:val="32"/>
        </w:rPr>
      </w:pPr>
    </w:p>
    <w:p w:rsidR="00471678" w:rsidRDefault="00A80442">
      <w:pPr>
        <w:rPr>
          <w:rFonts w:ascii="宋体" w:hAnsi="宋体"/>
          <w:b/>
          <w:bCs/>
          <w:sz w:val="28"/>
          <w:szCs w:val="32"/>
        </w:rPr>
      </w:pPr>
      <w:r>
        <w:rPr>
          <w:rFonts w:ascii="宋体" w:hAnsi="宋体" w:hint="eastAsia"/>
          <w:b/>
          <w:bCs/>
          <w:sz w:val="28"/>
          <w:szCs w:val="32"/>
        </w:rPr>
        <w:br w:type="page"/>
      </w:r>
    </w:p>
    <w:sdt>
      <w:sdtPr>
        <w:rPr>
          <w:rFonts w:ascii="宋体" w:hAnsi="宋体"/>
          <w:sz w:val="21"/>
        </w:rPr>
        <w:id w:val="147454638"/>
        <w:docPartObj>
          <w:docPartGallery w:val="Table of Contents"/>
          <w:docPartUnique/>
        </w:docPartObj>
      </w:sdtPr>
      <w:sdtEndPr>
        <w:rPr>
          <w:sz w:val="18"/>
          <w:szCs w:val="18"/>
        </w:rPr>
      </w:sdtEndPr>
      <w:sdtContent>
        <w:p w:rsidR="00471678" w:rsidRDefault="00A80442">
          <w:pPr>
            <w:jc w:val="center"/>
            <w:rPr>
              <w:sz w:val="22"/>
            </w:rPr>
          </w:pPr>
          <w:r>
            <w:rPr>
              <w:rFonts w:ascii="宋体" w:hAnsi="宋体"/>
              <w:sz w:val="22"/>
            </w:rPr>
            <w:t>目录</w:t>
          </w:r>
        </w:p>
        <w:p w:rsidR="00471678" w:rsidRDefault="00471678" w:rsidP="00A80442">
          <w:pPr>
            <w:pStyle w:val="21"/>
            <w:tabs>
              <w:tab w:val="right" w:leader="dot" w:pos="9746"/>
            </w:tabs>
            <w:ind w:left="480"/>
            <w:rPr>
              <w:sz w:val="22"/>
            </w:rPr>
          </w:pPr>
          <w:r>
            <w:rPr>
              <w:sz w:val="22"/>
            </w:rPr>
            <w:fldChar w:fldCharType="begin"/>
          </w:r>
          <w:r w:rsidR="00A80442">
            <w:rPr>
              <w:sz w:val="22"/>
            </w:rPr>
            <w:instrText xml:space="preserve">TOC \o "1-3" \h \u </w:instrText>
          </w:r>
          <w:r>
            <w:rPr>
              <w:sz w:val="22"/>
            </w:rPr>
            <w:fldChar w:fldCharType="separate"/>
          </w:r>
          <w:hyperlink w:anchor="_Toc23695" w:history="1">
            <w:r w:rsidR="00A80442">
              <w:rPr>
                <w:rFonts w:ascii="宋体" w:hAnsi="宋体" w:hint="eastAsia"/>
                <w:sz w:val="22"/>
              </w:rPr>
              <w:t>释义</w:t>
            </w:r>
            <w:r w:rsidR="00A80442">
              <w:rPr>
                <w:sz w:val="22"/>
              </w:rPr>
              <w:tab/>
            </w:r>
            <w:r>
              <w:rPr>
                <w:sz w:val="22"/>
              </w:rPr>
              <w:fldChar w:fldCharType="begin"/>
            </w:r>
            <w:r w:rsidR="00A80442">
              <w:rPr>
                <w:sz w:val="22"/>
              </w:rPr>
              <w:instrText xml:space="preserve"> PAGEREF _Toc23695 \h </w:instrText>
            </w:r>
            <w:r>
              <w:rPr>
                <w:sz w:val="22"/>
              </w:rPr>
            </w:r>
            <w:r>
              <w:rPr>
                <w:sz w:val="22"/>
              </w:rPr>
              <w:fldChar w:fldCharType="separate"/>
            </w:r>
            <w:r w:rsidR="00A80442">
              <w:rPr>
                <w:sz w:val="22"/>
              </w:rPr>
              <w:t>4</w:t>
            </w:r>
            <w:r>
              <w:rPr>
                <w:sz w:val="22"/>
              </w:rPr>
              <w:fldChar w:fldCharType="end"/>
            </w:r>
          </w:hyperlink>
        </w:p>
        <w:p w:rsidR="00471678" w:rsidRDefault="00471678" w:rsidP="00A80442">
          <w:pPr>
            <w:pStyle w:val="21"/>
            <w:tabs>
              <w:tab w:val="right" w:leader="dot" w:pos="9746"/>
            </w:tabs>
            <w:ind w:left="480"/>
            <w:rPr>
              <w:sz w:val="22"/>
            </w:rPr>
          </w:pPr>
          <w:hyperlink w:anchor="_Toc25631" w:history="1">
            <w:r w:rsidR="00A80442">
              <w:rPr>
                <w:rFonts w:ascii="宋体" w:hAnsi="宋体" w:hint="eastAsia"/>
                <w:sz w:val="22"/>
              </w:rPr>
              <w:t>第一节</w:t>
            </w:r>
            <w:r w:rsidR="00A80442">
              <w:rPr>
                <w:rFonts w:ascii="宋体" w:hAnsi="宋体" w:hint="eastAsia"/>
                <w:sz w:val="22"/>
              </w:rPr>
              <w:t xml:space="preserve"> </w:t>
            </w:r>
            <w:r w:rsidR="00A80442">
              <w:rPr>
                <w:rFonts w:ascii="宋体" w:hAnsi="宋体" w:hint="eastAsia"/>
                <w:sz w:val="22"/>
              </w:rPr>
              <w:t>本次发行的基本情况</w:t>
            </w:r>
            <w:r w:rsidR="00A80442">
              <w:rPr>
                <w:sz w:val="22"/>
              </w:rPr>
              <w:tab/>
            </w:r>
            <w:r>
              <w:rPr>
                <w:sz w:val="22"/>
              </w:rPr>
              <w:fldChar w:fldCharType="begin"/>
            </w:r>
            <w:r w:rsidR="00A80442">
              <w:rPr>
                <w:sz w:val="22"/>
              </w:rPr>
              <w:instrText xml:space="preserve"> PAGEREF _Toc25631 \h </w:instrText>
            </w:r>
            <w:r>
              <w:rPr>
                <w:sz w:val="22"/>
              </w:rPr>
            </w:r>
            <w:r>
              <w:rPr>
                <w:sz w:val="22"/>
              </w:rPr>
              <w:fldChar w:fldCharType="separate"/>
            </w:r>
            <w:r w:rsidR="00A80442">
              <w:rPr>
                <w:sz w:val="22"/>
              </w:rPr>
              <w:t>5</w:t>
            </w:r>
            <w:r>
              <w:rPr>
                <w:sz w:val="22"/>
              </w:rPr>
              <w:fldChar w:fldCharType="end"/>
            </w:r>
          </w:hyperlink>
        </w:p>
        <w:p w:rsidR="00471678" w:rsidRDefault="00471678" w:rsidP="00A80442">
          <w:pPr>
            <w:pStyle w:val="30"/>
            <w:tabs>
              <w:tab w:val="right" w:leader="dot" w:pos="9746"/>
            </w:tabs>
            <w:ind w:left="960"/>
            <w:rPr>
              <w:sz w:val="22"/>
            </w:rPr>
          </w:pPr>
          <w:hyperlink w:anchor="_Toc28905" w:history="1">
            <w:r w:rsidR="00A80442">
              <w:rPr>
                <w:rFonts w:ascii="宋体" w:hAnsi="宋体" w:cs="宋体" w:hint="eastAsia"/>
                <w:sz w:val="22"/>
              </w:rPr>
              <w:t>一、本次</w:t>
            </w:r>
            <w:r w:rsidR="00A80442">
              <w:rPr>
                <w:rFonts w:ascii="宋体" w:hAnsi="宋体" w:cs="宋体" w:hint="eastAsia"/>
                <w:sz w:val="22"/>
              </w:rPr>
              <w:t>发售</w:t>
            </w:r>
            <w:r w:rsidR="00A80442">
              <w:rPr>
                <w:rFonts w:ascii="宋体" w:hAnsi="宋体" w:cs="宋体" w:hint="eastAsia"/>
                <w:sz w:val="22"/>
              </w:rPr>
              <w:t>履行的相关程序</w:t>
            </w:r>
            <w:r w:rsidR="00A80442">
              <w:rPr>
                <w:sz w:val="22"/>
              </w:rPr>
              <w:tab/>
            </w:r>
            <w:r>
              <w:rPr>
                <w:sz w:val="22"/>
              </w:rPr>
              <w:fldChar w:fldCharType="begin"/>
            </w:r>
            <w:r w:rsidR="00A80442">
              <w:rPr>
                <w:sz w:val="22"/>
              </w:rPr>
              <w:instrText xml:space="preserve"> PAGEREF _Toc28905 \h </w:instrText>
            </w:r>
            <w:r>
              <w:rPr>
                <w:sz w:val="22"/>
              </w:rPr>
            </w:r>
            <w:r>
              <w:rPr>
                <w:sz w:val="22"/>
              </w:rPr>
              <w:fldChar w:fldCharType="separate"/>
            </w:r>
            <w:r w:rsidR="00A80442">
              <w:rPr>
                <w:sz w:val="22"/>
              </w:rPr>
              <w:t>5</w:t>
            </w:r>
            <w:r>
              <w:rPr>
                <w:sz w:val="22"/>
              </w:rPr>
              <w:fldChar w:fldCharType="end"/>
            </w:r>
          </w:hyperlink>
        </w:p>
        <w:p w:rsidR="00471678" w:rsidRDefault="00471678" w:rsidP="00A80442">
          <w:pPr>
            <w:pStyle w:val="30"/>
            <w:tabs>
              <w:tab w:val="right" w:leader="dot" w:pos="9746"/>
            </w:tabs>
            <w:ind w:left="960"/>
            <w:rPr>
              <w:sz w:val="22"/>
            </w:rPr>
          </w:pPr>
          <w:hyperlink w:anchor="_Toc7114" w:history="1">
            <w:r w:rsidR="00A80442">
              <w:rPr>
                <w:rFonts w:ascii="宋体" w:hAnsi="宋体" w:cs="宋体" w:hint="eastAsia"/>
                <w:sz w:val="22"/>
              </w:rPr>
              <w:t>（一）内部决策过程</w:t>
            </w:r>
            <w:r w:rsidR="00A80442">
              <w:rPr>
                <w:sz w:val="22"/>
              </w:rPr>
              <w:tab/>
            </w:r>
            <w:r>
              <w:rPr>
                <w:sz w:val="22"/>
              </w:rPr>
              <w:fldChar w:fldCharType="begin"/>
            </w:r>
            <w:r w:rsidR="00A80442">
              <w:rPr>
                <w:sz w:val="22"/>
              </w:rPr>
              <w:instrText xml:space="preserve"> PAGEREF _Toc7114 \h </w:instrText>
            </w:r>
            <w:r>
              <w:rPr>
                <w:sz w:val="22"/>
              </w:rPr>
            </w:r>
            <w:r>
              <w:rPr>
                <w:sz w:val="22"/>
              </w:rPr>
              <w:fldChar w:fldCharType="separate"/>
            </w:r>
            <w:r w:rsidR="00A80442">
              <w:rPr>
                <w:sz w:val="22"/>
              </w:rPr>
              <w:t>5</w:t>
            </w:r>
            <w:r>
              <w:rPr>
                <w:sz w:val="22"/>
              </w:rPr>
              <w:fldChar w:fldCharType="end"/>
            </w:r>
          </w:hyperlink>
        </w:p>
        <w:p w:rsidR="00471678" w:rsidRDefault="00471678" w:rsidP="00A80442">
          <w:pPr>
            <w:pStyle w:val="30"/>
            <w:tabs>
              <w:tab w:val="right" w:leader="dot" w:pos="9746"/>
            </w:tabs>
            <w:ind w:left="960"/>
            <w:rPr>
              <w:sz w:val="22"/>
            </w:rPr>
          </w:pPr>
          <w:hyperlink w:anchor="_Toc13404" w:history="1">
            <w:r w:rsidR="00A80442">
              <w:rPr>
                <w:rFonts w:ascii="宋体" w:hAnsi="宋体" w:cs="宋体" w:hint="eastAsia"/>
                <w:sz w:val="22"/>
              </w:rPr>
              <w:t>（二）本次定向扩募</w:t>
            </w:r>
            <w:r w:rsidR="00A80442">
              <w:rPr>
                <w:rFonts w:ascii="宋体" w:hAnsi="宋体" w:cs="宋体" w:hint="eastAsia"/>
                <w:sz w:val="22"/>
              </w:rPr>
              <w:t>发售</w:t>
            </w:r>
            <w:r w:rsidR="00A80442">
              <w:rPr>
                <w:rFonts w:ascii="宋体" w:hAnsi="宋体" w:cs="宋体" w:hint="eastAsia"/>
                <w:sz w:val="22"/>
              </w:rPr>
              <w:t>监管部门审核过程</w:t>
            </w:r>
            <w:r w:rsidR="00A80442">
              <w:rPr>
                <w:sz w:val="22"/>
              </w:rPr>
              <w:tab/>
            </w:r>
            <w:r>
              <w:rPr>
                <w:sz w:val="22"/>
              </w:rPr>
              <w:fldChar w:fldCharType="begin"/>
            </w:r>
            <w:r w:rsidR="00A80442">
              <w:rPr>
                <w:sz w:val="22"/>
              </w:rPr>
              <w:instrText xml:space="preserve"> PAGEREF _Toc13404 \h </w:instrText>
            </w:r>
            <w:r>
              <w:rPr>
                <w:sz w:val="22"/>
              </w:rPr>
            </w:r>
            <w:r>
              <w:rPr>
                <w:sz w:val="22"/>
              </w:rPr>
              <w:fldChar w:fldCharType="separate"/>
            </w:r>
            <w:r w:rsidR="00A80442">
              <w:rPr>
                <w:sz w:val="22"/>
              </w:rPr>
              <w:t>5</w:t>
            </w:r>
            <w:r>
              <w:rPr>
                <w:sz w:val="22"/>
              </w:rPr>
              <w:fldChar w:fldCharType="end"/>
            </w:r>
          </w:hyperlink>
        </w:p>
        <w:p w:rsidR="00471678" w:rsidRDefault="00471678" w:rsidP="00A80442">
          <w:pPr>
            <w:pStyle w:val="30"/>
            <w:tabs>
              <w:tab w:val="right" w:leader="dot" w:pos="9746"/>
            </w:tabs>
            <w:ind w:left="960"/>
            <w:rPr>
              <w:sz w:val="22"/>
            </w:rPr>
          </w:pPr>
          <w:hyperlink w:anchor="_Toc14392" w:history="1">
            <w:r w:rsidR="00A80442">
              <w:rPr>
                <w:rFonts w:ascii="宋体" w:hAnsi="宋体" w:cs="宋体" w:hint="eastAsia"/>
                <w:sz w:val="22"/>
              </w:rPr>
              <w:t>（三）持有人大会决策过程</w:t>
            </w:r>
            <w:r w:rsidR="00A80442">
              <w:rPr>
                <w:sz w:val="22"/>
              </w:rPr>
              <w:tab/>
            </w:r>
            <w:r>
              <w:rPr>
                <w:sz w:val="22"/>
              </w:rPr>
              <w:fldChar w:fldCharType="begin"/>
            </w:r>
            <w:r w:rsidR="00A80442">
              <w:rPr>
                <w:sz w:val="22"/>
              </w:rPr>
              <w:instrText xml:space="preserve"> PAGEREF _Toc14392 \h </w:instrText>
            </w:r>
            <w:r>
              <w:rPr>
                <w:sz w:val="22"/>
              </w:rPr>
            </w:r>
            <w:r>
              <w:rPr>
                <w:sz w:val="22"/>
              </w:rPr>
              <w:fldChar w:fldCharType="separate"/>
            </w:r>
            <w:r w:rsidR="00A80442">
              <w:rPr>
                <w:sz w:val="22"/>
              </w:rPr>
              <w:t>5</w:t>
            </w:r>
            <w:r>
              <w:rPr>
                <w:sz w:val="22"/>
              </w:rPr>
              <w:fldChar w:fldCharType="end"/>
            </w:r>
          </w:hyperlink>
        </w:p>
        <w:p w:rsidR="00471678" w:rsidRDefault="00471678" w:rsidP="00A80442">
          <w:pPr>
            <w:pStyle w:val="30"/>
            <w:tabs>
              <w:tab w:val="right" w:leader="dot" w:pos="9746"/>
            </w:tabs>
            <w:ind w:left="960"/>
            <w:rPr>
              <w:sz w:val="22"/>
            </w:rPr>
          </w:pPr>
          <w:hyperlink w:anchor="_Toc14429" w:history="1">
            <w:r w:rsidR="00A80442">
              <w:rPr>
                <w:rFonts w:ascii="宋体" w:hAnsi="宋体" w:cs="宋体" w:hint="eastAsia"/>
                <w:sz w:val="22"/>
              </w:rPr>
              <w:t>（四）募集资金到账及验资情况</w:t>
            </w:r>
            <w:r w:rsidR="00A80442">
              <w:rPr>
                <w:sz w:val="22"/>
              </w:rPr>
              <w:tab/>
            </w:r>
            <w:r>
              <w:rPr>
                <w:sz w:val="22"/>
              </w:rPr>
              <w:fldChar w:fldCharType="begin"/>
            </w:r>
            <w:r w:rsidR="00A80442">
              <w:rPr>
                <w:sz w:val="22"/>
              </w:rPr>
              <w:instrText xml:space="preserve"> PAGEREF _Toc14429 \h </w:instrText>
            </w:r>
            <w:r>
              <w:rPr>
                <w:sz w:val="22"/>
              </w:rPr>
            </w:r>
            <w:r>
              <w:rPr>
                <w:sz w:val="22"/>
              </w:rPr>
              <w:fldChar w:fldCharType="separate"/>
            </w:r>
            <w:r w:rsidR="00A80442">
              <w:rPr>
                <w:sz w:val="22"/>
              </w:rPr>
              <w:t>5</w:t>
            </w:r>
            <w:r>
              <w:rPr>
                <w:sz w:val="22"/>
              </w:rPr>
              <w:fldChar w:fldCharType="end"/>
            </w:r>
          </w:hyperlink>
        </w:p>
        <w:p w:rsidR="00471678" w:rsidRDefault="00471678" w:rsidP="00A80442">
          <w:pPr>
            <w:pStyle w:val="30"/>
            <w:tabs>
              <w:tab w:val="right" w:leader="dot" w:pos="9746"/>
            </w:tabs>
            <w:ind w:left="960"/>
            <w:rPr>
              <w:sz w:val="22"/>
            </w:rPr>
          </w:pPr>
          <w:hyperlink w:anchor="_Toc30578" w:history="1">
            <w:r w:rsidR="00A80442">
              <w:rPr>
                <w:rFonts w:ascii="宋体" w:hAnsi="宋体" w:cs="宋体" w:hint="eastAsia"/>
                <w:sz w:val="22"/>
              </w:rPr>
              <w:t>（五）基金份额登记情况</w:t>
            </w:r>
            <w:r w:rsidR="00A80442">
              <w:rPr>
                <w:sz w:val="22"/>
              </w:rPr>
              <w:tab/>
            </w:r>
            <w:r>
              <w:rPr>
                <w:sz w:val="22"/>
              </w:rPr>
              <w:fldChar w:fldCharType="begin"/>
            </w:r>
            <w:r w:rsidR="00A80442">
              <w:rPr>
                <w:sz w:val="22"/>
              </w:rPr>
              <w:instrText xml:space="preserve"> PAGEREF _Toc30578 \h </w:instrText>
            </w:r>
            <w:r>
              <w:rPr>
                <w:sz w:val="22"/>
              </w:rPr>
            </w:r>
            <w:r>
              <w:rPr>
                <w:sz w:val="22"/>
              </w:rPr>
              <w:fldChar w:fldCharType="separate"/>
            </w:r>
            <w:r w:rsidR="00A80442">
              <w:rPr>
                <w:sz w:val="22"/>
              </w:rPr>
              <w:t>6</w:t>
            </w:r>
            <w:r>
              <w:rPr>
                <w:sz w:val="22"/>
              </w:rPr>
              <w:fldChar w:fldCharType="end"/>
            </w:r>
          </w:hyperlink>
        </w:p>
        <w:p w:rsidR="00471678" w:rsidRDefault="00471678" w:rsidP="00A80442">
          <w:pPr>
            <w:pStyle w:val="30"/>
            <w:tabs>
              <w:tab w:val="right" w:leader="dot" w:pos="9746"/>
            </w:tabs>
            <w:ind w:left="960"/>
            <w:rPr>
              <w:sz w:val="22"/>
            </w:rPr>
          </w:pPr>
          <w:hyperlink w:anchor="_Toc5011" w:history="1">
            <w:r w:rsidR="00A80442">
              <w:rPr>
                <w:rFonts w:ascii="宋体" w:hAnsi="宋体" w:cs="宋体" w:hint="eastAsia"/>
                <w:sz w:val="22"/>
              </w:rPr>
              <w:t>二、本次</w:t>
            </w:r>
            <w:r w:rsidR="00A80442">
              <w:rPr>
                <w:rFonts w:ascii="宋体" w:hAnsi="宋体" w:cs="宋体" w:hint="eastAsia"/>
                <w:sz w:val="22"/>
              </w:rPr>
              <w:t>发售</w:t>
            </w:r>
            <w:r w:rsidR="00A80442">
              <w:rPr>
                <w:rFonts w:ascii="宋体" w:hAnsi="宋体" w:cs="宋体" w:hint="eastAsia"/>
                <w:sz w:val="22"/>
              </w:rPr>
              <w:t>的基本情况</w:t>
            </w:r>
            <w:r w:rsidR="00A80442">
              <w:rPr>
                <w:sz w:val="22"/>
              </w:rPr>
              <w:tab/>
            </w:r>
            <w:r>
              <w:rPr>
                <w:sz w:val="22"/>
              </w:rPr>
              <w:fldChar w:fldCharType="begin"/>
            </w:r>
            <w:r w:rsidR="00A80442">
              <w:rPr>
                <w:sz w:val="22"/>
              </w:rPr>
              <w:instrText xml:space="preserve"> PAGEREF _Toc5011 \h </w:instrText>
            </w:r>
            <w:r>
              <w:rPr>
                <w:sz w:val="22"/>
              </w:rPr>
            </w:r>
            <w:r>
              <w:rPr>
                <w:sz w:val="22"/>
              </w:rPr>
              <w:fldChar w:fldCharType="separate"/>
            </w:r>
            <w:r w:rsidR="00A80442">
              <w:rPr>
                <w:sz w:val="22"/>
              </w:rPr>
              <w:t>6</w:t>
            </w:r>
            <w:r>
              <w:rPr>
                <w:sz w:val="22"/>
              </w:rPr>
              <w:fldChar w:fldCharType="end"/>
            </w:r>
          </w:hyperlink>
        </w:p>
        <w:p w:rsidR="00471678" w:rsidRDefault="00471678" w:rsidP="00A80442">
          <w:pPr>
            <w:pStyle w:val="30"/>
            <w:tabs>
              <w:tab w:val="right" w:leader="dot" w:pos="9746"/>
            </w:tabs>
            <w:ind w:left="960"/>
            <w:rPr>
              <w:sz w:val="22"/>
            </w:rPr>
          </w:pPr>
          <w:hyperlink w:anchor="_Toc11073" w:history="1">
            <w:r w:rsidR="00A80442">
              <w:rPr>
                <w:rFonts w:ascii="宋体" w:hAnsi="宋体" w:cs="宋体" w:hint="eastAsia"/>
                <w:sz w:val="22"/>
              </w:rPr>
              <w:t>（一）</w:t>
            </w:r>
            <w:r w:rsidR="00A80442">
              <w:rPr>
                <w:rFonts w:ascii="宋体" w:hAnsi="宋体" w:cs="宋体" w:hint="eastAsia"/>
                <w:sz w:val="22"/>
              </w:rPr>
              <w:t>发售</w:t>
            </w:r>
            <w:r w:rsidR="00A80442">
              <w:rPr>
                <w:rFonts w:ascii="宋体" w:hAnsi="宋体" w:cs="宋体" w:hint="eastAsia"/>
                <w:sz w:val="22"/>
              </w:rPr>
              <w:t>方式</w:t>
            </w:r>
            <w:r w:rsidR="00A80442">
              <w:rPr>
                <w:sz w:val="22"/>
              </w:rPr>
              <w:tab/>
            </w:r>
            <w:r>
              <w:rPr>
                <w:sz w:val="22"/>
              </w:rPr>
              <w:fldChar w:fldCharType="begin"/>
            </w:r>
            <w:r w:rsidR="00A80442">
              <w:rPr>
                <w:sz w:val="22"/>
              </w:rPr>
              <w:instrText xml:space="preserve"> PAGEREF _Toc11073 \h </w:instrText>
            </w:r>
            <w:r>
              <w:rPr>
                <w:sz w:val="22"/>
              </w:rPr>
            </w:r>
            <w:r>
              <w:rPr>
                <w:sz w:val="22"/>
              </w:rPr>
              <w:fldChar w:fldCharType="separate"/>
            </w:r>
            <w:r w:rsidR="00A80442">
              <w:rPr>
                <w:sz w:val="22"/>
              </w:rPr>
              <w:t>6</w:t>
            </w:r>
            <w:r>
              <w:rPr>
                <w:sz w:val="22"/>
              </w:rPr>
              <w:fldChar w:fldCharType="end"/>
            </w:r>
          </w:hyperlink>
        </w:p>
        <w:p w:rsidR="00471678" w:rsidRDefault="00471678" w:rsidP="00A80442">
          <w:pPr>
            <w:pStyle w:val="30"/>
            <w:tabs>
              <w:tab w:val="right" w:leader="dot" w:pos="9746"/>
            </w:tabs>
            <w:ind w:left="960"/>
            <w:rPr>
              <w:sz w:val="22"/>
            </w:rPr>
          </w:pPr>
          <w:hyperlink w:anchor="_Toc30584" w:history="1">
            <w:r w:rsidR="00A80442">
              <w:rPr>
                <w:rFonts w:ascii="宋体" w:hAnsi="宋体" w:cs="宋体"/>
                <w:sz w:val="22"/>
              </w:rPr>
              <w:t>（</w:t>
            </w:r>
            <w:r w:rsidR="00A80442">
              <w:rPr>
                <w:rFonts w:ascii="宋体" w:hAnsi="宋体" w:cs="宋体" w:hint="eastAsia"/>
                <w:sz w:val="22"/>
              </w:rPr>
              <w:t>二</w:t>
            </w:r>
            <w:r w:rsidR="00A80442">
              <w:rPr>
                <w:rFonts w:ascii="宋体" w:hAnsi="宋体" w:cs="宋体"/>
                <w:sz w:val="22"/>
              </w:rPr>
              <w:t>）</w:t>
            </w:r>
            <w:r w:rsidR="00A80442">
              <w:rPr>
                <w:rFonts w:ascii="宋体" w:hAnsi="宋体" w:cs="宋体" w:hint="eastAsia"/>
                <w:sz w:val="22"/>
              </w:rPr>
              <w:t>发售</w:t>
            </w:r>
            <w:r w:rsidR="00A80442">
              <w:rPr>
                <w:rFonts w:ascii="宋体" w:hAnsi="宋体" w:cs="宋体"/>
                <w:sz w:val="22"/>
              </w:rPr>
              <w:t>价格</w:t>
            </w:r>
            <w:r w:rsidR="00A80442">
              <w:rPr>
                <w:sz w:val="22"/>
              </w:rPr>
              <w:tab/>
            </w:r>
            <w:r>
              <w:rPr>
                <w:sz w:val="22"/>
              </w:rPr>
              <w:fldChar w:fldCharType="begin"/>
            </w:r>
            <w:r w:rsidR="00A80442">
              <w:rPr>
                <w:sz w:val="22"/>
              </w:rPr>
              <w:instrText xml:space="preserve"> PAGEREF _Toc30584 \h </w:instrText>
            </w:r>
            <w:r>
              <w:rPr>
                <w:sz w:val="22"/>
              </w:rPr>
            </w:r>
            <w:r>
              <w:rPr>
                <w:sz w:val="22"/>
              </w:rPr>
              <w:fldChar w:fldCharType="separate"/>
            </w:r>
            <w:r w:rsidR="00A80442">
              <w:rPr>
                <w:sz w:val="22"/>
              </w:rPr>
              <w:t>6</w:t>
            </w:r>
            <w:r>
              <w:rPr>
                <w:sz w:val="22"/>
              </w:rPr>
              <w:fldChar w:fldCharType="end"/>
            </w:r>
          </w:hyperlink>
        </w:p>
        <w:p w:rsidR="00471678" w:rsidRDefault="00471678" w:rsidP="00A80442">
          <w:pPr>
            <w:pStyle w:val="30"/>
            <w:tabs>
              <w:tab w:val="right" w:leader="dot" w:pos="9746"/>
            </w:tabs>
            <w:ind w:left="960"/>
            <w:rPr>
              <w:sz w:val="22"/>
            </w:rPr>
          </w:pPr>
          <w:hyperlink w:anchor="_Toc4796" w:history="1">
            <w:r w:rsidR="00A80442">
              <w:rPr>
                <w:rFonts w:ascii="宋体" w:hAnsi="宋体" w:cs="宋体" w:hint="eastAsia"/>
                <w:sz w:val="22"/>
              </w:rPr>
              <w:t>（三）</w:t>
            </w:r>
            <w:r w:rsidR="00A80442">
              <w:rPr>
                <w:rFonts w:ascii="宋体" w:hAnsi="宋体" w:cs="宋体" w:hint="eastAsia"/>
                <w:sz w:val="22"/>
              </w:rPr>
              <w:t>发售</w:t>
            </w:r>
            <w:r w:rsidR="00A80442">
              <w:rPr>
                <w:rFonts w:ascii="宋体" w:hAnsi="宋体" w:cs="宋体" w:hint="eastAsia"/>
                <w:sz w:val="22"/>
              </w:rPr>
              <w:t>金额及份额</w:t>
            </w:r>
            <w:r w:rsidR="00A80442">
              <w:rPr>
                <w:sz w:val="22"/>
              </w:rPr>
              <w:tab/>
            </w:r>
            <w:r>
              <w:rPr>
                <w:sz w:val="22"/>
              </w:rPr>
              <w:fldChar w:fldCharType="begin"/>
            </w:r>
            <w:r w:rsidR="00A80442">
              <w:rPr>
                <w:sz w:val="22"/>
              </w:rPr>
              <w:instrText xml:space="preserve"> PAGEREF _Toc4796 \h </w:instrText>
            </w:r>
            <w:r>
              <w:rPr>
                <w:sz w:val="22"/>
              </w:rPr>
            </w:r>
            <w:r>
              <w:rPr>
                <w:sz w:val="22"/>
              </w:rPr>
              <w:fldChar w:fldCharType="separate"/>
            </w:r>
            <w:r w:rsidR="00A80442">
              <w:rPr>
                <w:sz w:val="22"/>
              </w:rPr>
              <w:t>6</w:t>
            </w:r>
            <w:r>
              <w:rPr>
                <w:sz w:val="22"/>
              </w:rPr>
              <w:fldChar w:fldCharType="end"/>
            </w:r>
          </w:hyperlink>
        </w:p>
        <w:p w:rsidR="00471678" w:rsidRDefault="00471678" w:rsidP="00A80442">
          <w:pPr>
            <w:pStyle w:val="30"/>
            <w:tabs>
              <w:tab w:val="right" w:leader="dot" w:pos="9746"/>
            </w:tabs>
            <w:ind w:left="960"/>
            <w:rPr>
              <w:sz w:val="22"/>
            </w:rPr>
          </w:pPr>
          <w:hyperlink w:anchor="_Toc21543" w:history="1">
            <w:r w:rsidR="00A80442">
              <w:rPr>
                <w:rFonts w:ascii="宋体" w:hAnsi="宋体" w:cs="宋体" w:hint="eastAsia"/>
                <w:sz w:val="22"/>
              </w:rPr>
              <w:t>（四）限售期</w:t>
            </w:r>
            <w:r w:rsidR="00A80442">
              <w:rPr>
                <w:sz w:val="22"/>
              </w:rPr>
              <w:tab/>
            </w:r>
            <w:r>
              <w:rPr>
                <w:sz w:val="22"/>
              </w:rPr>
              <w:fldChar w:fldCharType="begin"/>
            </w:r>
            <w:r w:rsidR="00A80442">
              <w:rPr>
                <w:sz w:val="22"/>
              </w:rPr>
              <w:instrText xml:space="preserve"> PAGEREF _Toc21543 \h </w:instrText>
            </w:r>
            <w:r>
              <w:rPr>
                <w:sz w:val="22"/>
              </w:rPr>
            </w:r>
            <w:r>
              <w:rPr>
                <w:sz w:val="22"/>
              </w:rPr>
              <w:fldChar w:fldCharType="separate"/>
            </w:r>
            <w:r w:rsidR="00A80442">
              <w:rPr>
                <w:sz w:val="22"/>
              </w:rPr>
              <w:t>6</w:t>
            </w:r>
            <w:r>
              <w:rPr>
                <w:sz w:val="22"/>
              </w:rPr>
              <w:fldChar w:fldCharType="end"/>
            </w:r>
          </w:hyperlink>
        </w:p>
        <w:p w:rsidR="00471678" w:rsidRDefault="00471678" w:rsidP="00A80442">
          <w:pPr>
            <w:pStyle w:val="30"/>
            <w:tabs>
              <w:tab w:val="right" w:leader="dot" w:pos="9746"/>
            </w:tabs>
            <w:ind w:left="960"/>
            <w:rPr>
              <w:sz w:val="22"/>
            </w:rPr>
          </w:pPr>
          <w:hyperlink w:anchor="_Toc23919" w:history="1">
            <w:r w:rsidR="00A80442">
              <w:rPr>
                <w:rFonts w:ascii="宋体" w:hAnsi="宋体" w:cs="宋体" w:hint="eastAsia"/>
                <w:sz w:val="22"/>
              </w:rPr>
              <w:t>（五）上市地点</w:t>
            </w:r>
            <w:r w:rsidR="00A80442">
              <w:rPr>
                <w:sz w:val="22"/>
              </w:rPr>
              <w:tab/>
            </w:r>
            <w:r>
              <w:rPr>
                <w:sz w:val="22"/>
              </w:rPr>
              <w:fldChar w:fldCharType="begin"/>
            </w:r>
            <w:r w:rsidR="00A80442">
              <w:rPr>
                <w:sz w:val="22"/>
              </w:rPr>
              <w:instrText xml:space="preserve"> PAGEREF _Toc23919 \h </w:instrText>
            </w:r>
            <w:r>
              <w:rPr>
                <w:sz w:val="22"/>
              </w:rPr>
            </w:r>
            <w:r>
              <w:rPr>
                <w:sz w:val="22"/>
              </w:rPr>
              <w:fldChar w:fldCharType="separate"/>
            </w:r>
            <w:r w:rsidR="00A80442">
              <w:rPr>
                <w:sz w:val="22"/>
              </w:rPr>
              <w:t>7</w:t>
            </w:r>
            <w:r>
              <w:rPr>
                <w:sz w:val="22"/>
              </w:rPr>
              <w:fldChar w:fldCharType="end"/>
            </w:r>
          </w:hyperlink>
        </w:p>
        <w:p w:rsidR="00471678" w:rsidRDefault="00471678" w:rsidP="00A80442">
          <w:pPr>
            <w:pStyle w:val="30"/>
            <w:tabs>
              <w:tab w:val="right" w:leader="dot" w:pos="9746"/>
            </w:tabs>
            <w:ind w:left="960"/>
            <w:rPr>
              <w:sz w:val="22"/>
            </w:rPr>
          </w:pPr>
          <w:hyperlink w:anchor="_Toc880" w:history="1">
            <w:r w:rsidR="00A80442">
              <w:rPr>
                <w:rFonts w:ascii="宋体" w:hAnsi="宋体" w:cs="宋体" w:hint="eastAsia"/>
                <w:sz w:val="22"/>
              </w:rPr>
              <w:t>（六）认购报价及获配情况</w:t>
            </w:r>
            <w:r w:rsidR="00A80442">
              <w:rPr>
                <w:sz w:val="22"/>
              </w:rPr>
              <w:tab/>
            </w:r>
            <w:r>
              <w:rPr>
                <w:sz w:val="22"/>
              </w:rPr>
              <w:fldChar w:fldCharType="begin"/>
            </w:r>
            <w:r w:rsidR="00A80442">
              <w:rPr>
                <w:sz w:val="22"/>
              </w:rPr>
              <w:instrText xml:space="preserve"> PAGEREF _Toc880 \h </w:instrText>
            </w:r>
            <w:r>
              <w:rPr>
                <w:sz w:val="22"/>
              </w:rPr>
            </w:r>
            <w:r>
              <w:rPr>
                <w:sz w:val="22"/>
              </w:rPr>
              <w:fldChar w:fldCharType="separate"/>
            </w:r>
            <w:r w:rsidR="00A80442">
              <w:rPr>
                <w:sz w:val="22"/>
              </w:rPr>
              <w:t>7</w:t>
            </w:r>
            <w:r>
              <w:rPr>
                <w:sz w:val="22"/>
              </w:rPr>
              <w:fldChar w:fldCharType="end"/>
            </w:r>
          </w:hyperlink>
        </w:p>
        <w:p w:rsidR="00471678" w:rsidRDefault="00471678" w:rsidP="00A80442">
          <w:pPr>
            <w:pStyle w:val="30"/>
            <w:tabs>
              <w:tab w:val="right" w:leader="dot" w:pos="9746"/>
            </w:tabs>
            <w:ind w:left="960"/>
            <w:rPr>
              <w:sz w:val="22"/>
            </w:rPr>
          </w:pPr>
          <w:hyperlink w:anchor="_Toc3220" w:history="1">
            <w:r w:rsidR="00A80442">
              <w:rPr>
                <w:rFonts w:ascii="宋体" w:hAnsi="宋体" w:cs="宋体" w:hint="eastAsia"/>
                <w:sz w:val="22"/>
              </w:rPr>
              <w:t>三、本次发行的相关参与机构</w:t>
            </w:r>
            <w:r w:rsidR="00A80442">
              <w:rPr>
                <w:sz w:val="22"/>
              </w:rPr>
              <w:tab/>
            </w:r>
            <w:r>
              <w:rPr>
                <w:sz w:val="22"/>
              </w:rPr>
              <w:fldChar w:fldCharType="begin"/>
            </w:r>
            <w:r w:rsidR="00A80442">
              <w:rPr>
                <w:sz w:val="22"/>
              </w:rPr>
              <w:instrText xml:space="preserve"> PAGEREF _Toc3220 \h </w:instrText>
            </w:r>
            <w:r>
              <w:rPr>
                <w:sz w:val="22"/>
              </w:rPr>
            </w:r>
            <w:r>
              <w:rPr>
                <w:sz w:val="22"/>
              </w:rPr>
              <w:fldChar w:fldCharType="separate"/>
            </w:r>
            <w:r w:rsidR="00A80442">
              <w:rPr>
                <w:sz w:val="22"/>
              </w:rPr>
              <w:t>9</w:t>
            </w:r>
            <w:r>
              <w:rPr>
                <w:sz w:val="22"/>
              </w:rPr>
              <w:fldChar w:fldCharType="end"/>
            </w:r>
          </w:hyperlink>
        </w:p>
        <w:p w:rsidR="00471678" w:rsidRDefault="00471678" w:rsidP="00A80442">
          <w:pPr>
            <w:pStyle w:val="30"/>
            <w:tabs>
              <w:tab w:val="right" w:leader="dot" w:pos="9746"/>
            </w:tabs>
            <w:ind w:left="960"/>
            <w:rPr>
              <w:sz w:val="22"/>
            </w:rPr>
          </w:pPr>
          <w:hyperlink w:anchor="_Toc32162" w:history="1">
            <w:r w:rsidR="00A80442">
              <w:rPr>
                <w:rFonts w:ascii="宋体" w:hAnsi="宋体" w:cs="宋体" w:hint="eastAsia"/>
                <w:sz w:val="22"/>
              </w:rPr>
              <w:t>（一）基金份额发售机构</w:t>
            </w:r>
            <w:r w:rsidR="00A80442">
              <w:rPr>
                <w:sz w:val="22"/>
              </w:rPr>
              <w:tab/>
            </w:r>
            <w:r>
              <w:rPr>
                <w:sz w:val="22"/>
              </w:rPr>
              <w:fldChar w:fldCharType="begin"/>
            </w:r>
            <w:r w:rsidR="00A80442">
              <w:rPr>
                <w:sz w:val="22"/>
              </w:rPr>
              <w:instrText xml:space="preserve"> PAGEREF _Toc32162 \h </w:instrText>
            </w:r>
            <w:r>
              <w:rPr>
                <w:sz w:val="22"/>
              </w:rPr>
            </w:r>
            <w:r>
              <w:rPr>
                <w:sz w:val="22"/>
              </w:rPr>
              <w:fldChar w:fldCharType="separate"/>
            </w:r>
            <w:r w:rsidR="00A80442">
              <w:rPr>
                <w:sz w:val="22"/>
              </w:rPr>
              <w:t>9</w:t>
            </w:r>
            <w:r>
              <w:rPr>
                <w:sz w:val="22"/>
              </w:rPr>
              <w:fldChar w:fldCharType="end"/>
            </w:r>
          </w:hyperlink>
        </w:p>
        <w:p w:rsidR="00471678" w:rsidRDefault="00471678" w:rsidP="00A80442">
          <w:pPr>
            <w:pStyle w:val="30"/>
            <w:tabs>
              <w:tab w:val="right" w:leader="dot" w:pos="9746"/>
            </w:tabs>
            <w:ind w:left="960"/>
            <w:rPr>
              <w:sz w:val="22"/>
            </w:rPr>
          </w:pPr>
          <w:hyperlink w:anchor="_Toc19252" w:history="1">
            <w:r w:rsidR="00A80442">
              <w:rPr>
                <w:rFonts w:ascii="宋体" w:hAnsi="宋体" w:cs="宋体" w:hint="eastAsia"/>
                <w:sz w:val="22"/>
              </w:rPr>
              <w:t>（二）</w:t>
            </w:r>
            <w:r w:rsidR="00A80442">
              <w:rPr>
                <w:rFonts w:ascii="宋体" w:hAnsi="宋体" w:cs="宋体" w:hint="eastAsia"/>
                <w:sz w:val="22"/>
              </w:rPr>
              <w:t>财务顾问</w:t>
            </w:r>
            <w:r w:rsidR="00A80442">
              <w:rPr>
                <w:sz w:val="22"/>
              </w:rPr>
              <w:tab/>
            </w:r>
            <w:r>
              <w:rPr>
                <w:sz w:val="22"/>
              </w:rPr>
              <w:fldChar w:fldCharType="begin"/>
            </w:r>
            <w:r w:rsidR="00A80442">
              <w:rPr>
                <w:sz w:val="22"/>
              </w:rPr>
              <w:instrText xml:space="preserve"> PAGEREF _Toc19252 \h </w:instrText>
            </w:r>
            <w:r>
              <w:rPr>
                <w:sz w:val="22"/>
              </w:rPr>
            </w:r>
            <w:r>
              <w:rPr>
                <w:sz w:val="22"/>
              </w:rPr>
              <w:fldChar w:fldCharType="separate"/>
            </w:r>
            <w:r w:rsidR="00A80442">
              <w:rPr>
                <w:sz w:val="22"/>
              </w:rPr>
              <w:t>9</w:t>
            </w:r>
            <w:r>
              <w:rPr>
                <w:sz w:val="22"/>
              </w:rPr>
              <w:fldChar w:fldCharType="end"/>
            </w:r>
          </w:hyperlink>
        </w:p>
        <w:p w:rsidR="00471678" w:rsidRDefault="00471678" w:rsidP="00A80442">
          <w:pPr>
            <w:pStyle w:val="30"/>
            <w:tabs>
              <w:tab w:val="right" w:leader="dot" w:pos="9746"/>
            </w:tabs>
            <w:ind w:left="960"/>
            <w:rPr>
              <w:sz w:val="22"/>
            </w:rPr>
          </w:pPr>
          <w:hyperlink w:anchor="_Toc28090" w:history="1">
            <w:r w:rsidR="00A80442">
              <w:rPr>
                <w:rFonts w:ascii="宋体" w:hAnsi="宋体" w:cs="宋体" w:hint="eastAsia"/>
                <w:sz w:val="22"/>
              </w:rPr>
              <w:t>（</w:t>
            </w:r>
            <w:r w:rsidR="00A80442">
              <w:rPr>
                <w:rFonts w:ascii="宋体" w:hAnsi="宋体" w:cs="宋体" w:hint="eastAsia"/>
                <w:sz w:val="22"/>
              </w:rPr>
              <w:t>三</w:t>
            </w:r>
            <w:r w:rsidR="00A80442">
              <w:rPr>
                <w:rFonts w:ascii="宋体" w:hAnsi="宋体" w:cs="宋体" w:hint="eastAsia"/>
                <w:sz w:val="22"/>
              </w:rPr>
              <w:t>）律师事务所</w:t>
            </w:r>
            <w:r w:rsidR="00A80442">
              <w:rPr>
                <w:sz w:val="22"/>
              </w:rPr>
              <w:tab/>
            </w:r>
            <w:r>
              <w:rPr>
                <w:sz w:val="22"/>
              </w:rPr>
              <w:fldChar w:fldCharType="begin"/>
            </w:r>
            <w:r w:rsidR="00A80442">
              <w:rPr>
                <w:sz w:val="22"/>
              </w:rPr>
              <w:instrText xml:space="preserve"> PAGEREF _Toc28090 \h </w:instrText>
            </w:r>
            <w:r>
              <w:rPr>
                <w:sz w:val="22"/>
              </w:rPr>
            </w:r>
            <w:r>
              <w:rPr>
                <w:sz w:val="22"/>
              </w:rPr>
              <w:fldChar w:fldCharType="separate"/>
            </w:r>
            <w:r w:rsidR="00A80442">
              <w:rPr>
                <w:sz w:val="22"/>
              </w:rPr>
              <w:t>9</w:t>
            </w:r>
            <w:r>
              <w:rPr>
                <w:sz w:val="22"/>
              </w:rPr>
              <w:fldChar w:fldCharType="end"/>
            </w:r>
          </w:hyperlink>
        </w:p>
        <w:p w:rsidR="00471678" w:rsidRDefault="00471678" w:rsidP="00A80442">
          <w:pPr>
            <w:pStyle w:val="30"/>
            <w:tabs>
              <w:tab w:val="right" w:leader="dot" w:pos="9746"/>
            </w:tabs>
            <w:ind w:left="960"/>
            <w:rPr>
              <w:sz w:val="22"/>
            </w:rPr>
          </w:pPr>
          <w:hyperlink w:anchor="_Toc23593" w:history="1">
            <w:r w:rsidR="00A80442">
              <w:rPr>
                <w:rFonts w:ascii="宋体" w:hAnsi="宋体" w:cs="宋体" w:hint="eastAsia"/>
                <w:sz w:val="22"/>
              </w:rPr>
              <w:t>（</w:t>
            </w:r>
            <w:r w:rsidR="00A80442">
              <w:rPr>
                <w:rFonts w:ascii="宋体" w:hAnsi="宋体" w:cs="宋体" w:hint="eastAsia"/>
                <w:sz w:val="22"/>
              </w:rPr>
              <w:t>四</w:t>
            </w:r>
            <w:r w:rsidR="00A80442">
              <w:rPr>
                <w:rFonts w:ascii="宋体" w:hAnsi="宋体" w:cs="宋体" w:hint="eastAsia"/>
                <w:sz w:val="22"/>
              </w:rPr>
              <w:t>）会计师事务所</w:t>
            </w:r>
            <w:r w:rsidR="00A80442">
              <w:rPr>
                <w:sz w:val="22"/>
              </w:rPr>
              <w:tab/>
            </w:r>
            <w:r>
              <w:rPr>
                <w:sz w:val="22"/>
              </w:rPr>
              <w:fldChar w:fldCharType="begin"/>
            </w:r>
            <w:r w:rsidR="00A80442">
              <w:rPr>
                <w:sz w:val="22"/>
              </w:rPr>
              <w:instrText xml:space="preserve"> PAGEREF _Toc23593 \h </w:instrText>
            </w:r>
            <w:r>
              <w:rPr>
                <w:sz w:val="22"/>
              </w:rPr>
            </w:r>
            <w:r>
              <w:rPr>
                <w:sz w:val="22"/>
              </w:rPr>
              <w:fldChar w:fldCharType="separate"/>
            </w:r>
            <w:r w:rsidR="00A80442">
              <w:rPr>
                <w:sz w:val="22"/>
              </w:rPr>
              <w:t>9</w:t>
            </w:r>
            <w:r>
              <w:rPr>
                <w:sz w:val="22"/>
              </w:rPr>
              <w:fldChar w:fldCharType="end"/>
            </w:r>
          </w:hyperlink>
        </w:p>
        <w:p w:rsidR="00471678" w:rsidRDefault="00471678" w:rsidP="00A80442">
          <w:pPr>
            <w:pStyle w:val="21"/>
            <w:tabs>
              <w:tab w:val="right" w:leader="dot" w:pos="9746"/>
            </w:tabs>
            <w:ind w:left="480"/>
            <w:rPr>
              <w:sz w:val="22"/>
            </w:rPr>
          </w:pPr>
          <w:hyperlink w:anchor="_Toc26568" w:history="1">
            <w:r w:rsidR="00A80442">
              <w:rPr>
                <w:rFonts w:ascii="宋体" w:hAnsi="宋体" w:hint="eastAsia"/>
                <w:sz w:val="22"/>
              </w:rPr>
              <w:t>第二节</w:t>
            </w:r>
            <w:r w:rsidR="00A80442">
              <w:rPr>
                <w:rFonts w:ascii="宋体" w:hAnsi="宋体" w:hint="eastAsia"/>
                <w:sz w:val="22"/>
              </w:rPr>
              <w:t xml:space="preserve"> </w:t>
            </w:r>
            <w:r w:rsidR="00A80442">
              <w:rPr>
                <w:rFonts w:ascii="宋体" w:hAnsi="宋体" w:hint="eastAsia"/>
                <w:sz w:val="22"/>
              </w:rPr>
              <w:t>发行前后相关情况对比</w:t>
            </w:r>
            <w:r w:rsidR="00A80442">
              <w:rPr>
                <w:sz w:val="22"/>
              </w:rPr>
              <w:tab/>
            </w:r>
            <w:r>
              <w:rPr>
                <w:sz w:val="22"/>
              </w:rPr>
              <w:fldChar w:fldCharType="begin"/>
            </w:r>
            <w:r w:rsidR="00A80442">
              <w:rPr>
                <w:sz w:val="22"/>
              </w:rPr>
              <w:instrText xml:space="preserve"> PAGEREF _Toc26568 \h </w:instrText>
            </w:r>
            <w:r>
              <w:rPr>
                <w:sz w:val="22"/>
              </w:rPr>
            </w:r>
            <w:r>
              <w:rPr>
                <w:sz w:val="22"/>
              </w:rPr>
              <w:fldChar w:fldCharType="separate"/>
            </w:r>
            <w:r w:rsidR="00A80442">
              <w:rPr>
                <w:sz w:val="22"/>
              </w:rPr>
              <w:t>11</w:t>
            </w:r>
            <w:r>
              <w:rPr>
                <w:sz w:val="22"/>
              </w:rPr>
              <w:fldChar w:fldCharType="end"/>
            </w:r>
          </w:hyperlink>
        </w:p>
        <w:p w:rsidR="00471678" w:rsidRDefault="00471678" w:rsidP="00A80442">
          <w:pPr>
            <w:pStyle w:val="30"/>
            <w:tabs>
              <w:tab w:val="right" w:leader="dot" w:pos="9746"/>
            </w:tabs>
            <w:ind w:left="960"/>
            <w:rPr>
              <w:sz w:val="22"/>
            </w:rPr>
          </w:pPr>
          <w:hyperlink w:anchor="_Toc30040" w:history="1">
            <w:r w:rsidR="00A80442">
              <w:rPr>
                <w:rFonts w:ascii="宋体" w:hAnsi="宋体" w:cs="宋体" w:hint="eastAsia"/>
                <w:sz w:val="22"/>
              </w:rPr>
              <w:t>一、本次发行前后前十名基金份额持有人情况对比</w:t>
            </w:r>
            <w:r w:rsidR="00A80442">
              <w:rPr>
                <w:sz w:val="22"/>
              </w:rPr>
              <w:tab/>
            </w:r>
            <w:r>
              <w:rPr>
                <w:sz w:val="22"/>
              </w:rPr>
              <w:fldChar w:fldCharType="begin"/>
            </w:r>
            <w:r w:rsidR="00A80442">
              <w:rPr>
                <w:sz w:val="22"/>
              </w:rPr>
              <w:instrText xml:space="preserve"> PAGEREF _Toc30040 \h </w:instrText>
            </w:r>
            <w:r>
              <w:rPr>
                <w:sz w:val="22"/>
              </w:rPr>
            </w:r>
            <w:r>
              <w:rPr>
                <w:sz w:val="22"/>
              </w:rPr>
              <w:fldChar w:fldCharType="separate"/>
            </w:r>
            <w:r w:rsidR="00A80442">
              <w:rPr>
                <w:sz w:val="22"/>
              </w:rPr>
              <w:t>11</w:t>
            </w:r>
            <w:r>
              <w:rPr>
                <w:sz w:val="22"/>
              </w:rPr>
              <w:fldChar w:fldCharType="end"/>
            </w:r>
          </w:hyperlink>
        </w:p>
        <w:p w:rsidR="00471678" w:rsidRDefault="00471678" w:rsidP="00A80442">
          <w:pPr>
            <w:pStyle w:val="30"/>
            <w:tabs>
              <w:tab w:val="right" w:leader="dot" w:pos="9746"/>
            </w:tabs>
            <w:ind w:left="960"/>
            <w:rPr>
              <w:sz w:val="22"/>
            </w:rPr>
          </w:pPr>
          <w:hyperlink w:anchor="_Toc23504" w:history="1">
            <w:r w:rsidR="00A80442">
              <w:rPr>
                <w:rFonts w:ascii="宋体" w:hAnsi="宋体" w:cs="宋体" w:hint="eastAsia"/>
                <w:sz w:val="22"/>
              </w:rPr>
              <w:t>（一）本次发行前基金前十名份额持有人情况</w:t>
            </w:r>
            <w:r w:rsidR="00A80442">
              <w:rPr>
                <w:sz w:val="22"/>
              </w:rPr>
              <w:tab/>
            </w:r>
            <w:r>
              <w:rPr>
                <w:sz w:val="22"/>
              </w:rPr>
              <w:fldChar w:fldCharType="begin"/>
            </w:r>
            <w:r w:rsidR="00A80442">
              <w:rPr>
                <w:sz w:val="22"/>
              </w:rPr>
              <w:instrText xml:space="preserve"> PAGEREF _Toc23504 \h </w:instrText>
            </w:r>
            <w:r>
              <w:rPr>
                <w:sz w:val="22"/>
              </w:rPr>
            </w:r>
            <w:r>
              <w:rPr>
                <w:sz w:val="22"/>
              </w:rPr>
              <w:fldChar w:fldCharType="separate"/>
            </w:r>
            <w:r w:rsidR="00A80442">
              <w:rPr>
                <w:sz w:val="22"/>
              </w:rPr>
              <w:t>11</w:t>
            </w:r>
            <w:r>
              <w:rPr>
                <w:sz w:val="22"/>
              </w:rPr>
              <w:fldChar w:fldCharType="end"/>
            </w:r>
          </w:hyperlink>
        </w:p>
        <w:p w:rsidR="00471678" w:rsidRDefault="00471678" w:rsidP="00A80442">
          <w:pPr>
            <w:pStyle w:val="30"/>
            <w:tabs>
              <w:tab w:val="right" w:leader="dot" w:pos="9746"/>
            </w:tabs>
            <w:ind w:left="960"/>
            <w:rPr>
              <w:sz w:val="22"/>
            </w:rPr>
          </w:pPr>
          <w:hyperlink w:anchor="_Toc22944" w:history="1">
            <w:r w:rsidR="00A80442">
              <w:rPr>
                <w:rFonts w:ascii="宋体" w:hAnsi="宋体" w:cs="宋体" w:hint="eastAsia"/>
                <w:sz w:val="22"/>
              </w:rPr>
              <w:t>（二）本次发行完成后基金前十名份额持有人情况</w:t>
            </w:r>
            <w:r w:rsidR="00A80442">
              <w:rPr>
                <w:sz w:val="22"/>
              </w:rPr>
              <w:tab/>
            </w:r>
            <w:r>
              <w:rPr>
                <w:sz w:val="22"/>
              </w:rPr>
              <w:fldChar w:fldCharType="begin"/>
            </w:r>
            <w:r w:rsidR="00A80442">
              <w:rPr>
                <w:sz w:val="22"/>
              </w:rPr>
              <w:instrText xml:space="preserve"> PAGEREF </w:instrText>
            </w:r>
            <w:r w:rsidR="00A80442">
              <w:rPr>
                <w:sz w:val="22"/>
              </w:rPr>
              <w:instrText xml:space="preserve">_Toc22944 \h </w:instrText>
            </w:r>
            <w:r>
              <w:rPr>
                <w:sz w:val="22"/>
              </w:rPr>
            </w:r>
            <w:r>
              <w:rPr>
                <w:sz w:val="22"/>
              </w:rPr>
              <w:fldChar w:fldCharType="separate"/>
            </w:r>
            <w:r w:rsidR="00A80442">
              <w:rPr>
                <w:sz w:val="22"/>
              </w:rPr>
              <w:t>11</w:t>
            </w:r>
            <w:r>
              <w:rPr>
                <w:sz w:val="22"/>
              </w:rPr>
              <w:fldChar w:fldCharType="end"/>
            </w:r>
          </w:hyperlink>
        </w:p>
        <w:p w:rsidR="00471678" w:rsidRDefault="00471678" w:rsidP="00A80442">
          <w:pPr>
            <w:pStyle w:val="30"/>
            <w:tabs>
              <w:tab w:val="right" w:leader="dot" w:pos="9746"/>
            </w:tabs>
            <w:ind w:left="960"/>
            <w:rPr>
              <w:sz w:val="22"/>
            </w:rPr>
          </w:pPr>
          <w:hyperlink w:anchor="_Toc28791" w:history="1">
            <w:r w:rsidR="00A80442">
              <w:rPr>
                <w:rFonts w:ascii="宋体" w:hAnsi="宋体" w:cs="宋体" w:hint="eastAsia"/>
                <w:sz w:val="22"/>
              </w:rPr>
              <w:t>二、本次定向扩募对基金的影响</w:t>
            </w:r>
            <w:r w:rsidR="00A80442">
              <w:rPr>
                <w:sz w:val="22"/>
              </w:rPr>
              <w:tab/>
            </w:r>
            <w:r>
              <w:rPr>
                <w:sz w:val="22"/>
              </w:rPr>
              <w:fldChar w:fldCharType="begin"/>
            </w:r>
            <w:r w:rsidR="00A80442">
              <w:rPr>
                <w:sz w:val="22"/>
              </w:rPr>
              <w:instrText xml:space="preserve"> PAGEREF _Toc28791 \h </w:instrText>
            </w:r>
            <w:r>
              <w:rPr>
                <w:sz w:val="22"/>
              </w:rPr>
            </w:r>
            <w:r>
              <w:rPr>
                <w:sz w:val="22"/>
              </w:rPr>
              <w:fldChar w:fldCharType="separate"/>
            </w:r>
            <w:r w:rsidR="00A80442">
              <w:rPr>
                <w:sz w:val="22"/>
              </w:rPr>
              <w:t>12</w:t>
            </w:r>
            <w:r>
              <w:rPr>
                <w:sz w:val="22"/>
              </w:rPr>
              <w:fldChar w:fldCharType="end"/>
            </w:r>
          </w:hyperlink>
        </w:p>
        <w:p w:rsidR="00471678" w:rsidRDefault="00471678" w:rsidP="00A80442">
          <w:pPr>
            <w:pStyle w:val="30"/>
            <w:tabs>
              <w:tab w:val="right" w:leader="dot" w:pos="9746"/>
            </w:tabs>
            <w:ind w:left="960"/>
            <w:rPr>
              <w:sz w:val="22"/>
            </w:rPr>
          </w:pPr>
          <w:hyperlink w:anchor="_Toc20299" w:history="1">
            <w:r w:rsidR="00A80442">
              <w:rPr>
                <w:rFonts w:ascii="宋体" w:hAnsi="宋体" w:cs="宋体" w:hint="eastAsia"/>
                <w:sz w:val="22"/>
              </w:rPr>
              <w:t>（一）对基金份额持有人结构的影响</w:t>
            </w:r>
            <w:r w:rsidR="00A80442">
              <w:rPr>
                <w:sz w:val="22"/>
              </w:rPr>
              <w:tab/>
            </w:r>
            <w:r>
              <w:rPr>
                <w:sz w:val="22"/>
              </w:rPr>
              <w:fldChar w:fldCharType="begin"/>
            </w:r>
            <w:r w:rsidR="00A80442">
              <w:rPr>
                <w:sz w:val="22"/>
              </w:rPr>
              <w:instrText xml:space="preserve"> PA</w:instrText>
            </w:r>
            <w:r w:rsidR="00A80442">
              <w:rPr>
                <w:sz w:val="22"/>
              </w:rPr>
              <w:instrText xml:space="preserve">GEREF _Toc20299 \h </w:instrText>
            </w:r>
            <w:r>
              <w:rPr>
                <w:sz w:val="22"/>
              </w:rPr>
            </w:r>
            <w:r>
              <w:rPr>
                <w:sz w:val="22"/>
              </w:rPr>
              <w:fldChar w:fldCharType="separate"/>
            </w:r>
            <w:r w:rsidR="00A80442">
              <w:rPr>
                <w:sz w:val="22"/>
              </w:rPr>
              <w:t>12</w:t>
            </w:r>
            <w:r>
              <w:rPr>
                <w:sz w:val="22"/>
              </w:rPr>
              <w:fldChar w:fldCharType="end"/>
            </w:r>
          </w:hyperlink>
        </w:p>
        <w:p w:rsidR="00471678" w:rsidRDefault="00471678" w:rsidP="00A80442">
          <w:pPr>
            <w:pStyle w:val="30"/>
            <w:tabs>
              <w:tab w:val="right" w:leader="dot" w:pos="9746"/>
            </w:tabs>
            <w:ind w:left="960"/>
            <w:rPr>
              <w:sz w:val="22"/>
            </w:rPr>
          </w:pPr>
          <w:hyperlink w:anchor="_Toc3122" w:history="1">
            <w:r w:rsidR="00A80442">
              <w:rPr>
                <w:rFonts w:ascii="宋体" w:hAnsi="宋体" w:cs="宋体" w:hint="eastAsia"/>
                <w:sz w:val="22"/>
              </w:rPr>
              <w:t>（二）对基金投资的影响</w:t>
            </w:r>
            <w:r w:rsidR="00A80442">
              <w:rPr>
                <w:sz w:val="22"/>
              </w:rPr>
              <w:tab/>
            </w:r>
            <w:r>
              <w:rPr>
                <w:sz w:val="22"/>
              </w:rPr>
              <w:fldChar w:fldCharType="begin"/>
            </w:r>
            <w:r w:rsidR="00A80442">
              <w:rPr>
                <w:sz w:val="22"/>
              </w:rPr>
              <w:instrText xml:space="preserve"> PAGEREF _Toc3122 \h </w:instrText>
            </w:r>
            <w:r>
              <w:rPr>
                <w:sz w:val="22"/>
              </w:rPr>
            </w:r>
            <w:r>
              <w:rPr>
                <w:sz w:val="22"/>
              </w:rPr>
              <w:fldChar w:fldCharType="separate"/>
            </w:r>
            <w:r w:rsidR="00A80442">
              <w:rPr>
                <w:sz w:val="22"/>
              </w:rPr>
              <w:t>12</w:t>
            </w:r>
            <w:r>
              <w:rPr>
                <w:sz w:val="22"/>
              </w:rPr>
              <w:fldChar w:fldCharType="end"/>
            </w:r>
          </w:hyperlink>
        </w:p>
        <w:p w:rsidR="00471678" w:rsidRDefault="00471678" w:rsidP="00A80442">
          <w:pPr>
            <w:pStyle w:val="30"/>
            <w:tabs>
              <w:tab w:val="right" w:leader="dot" w:pos="9746"/>
            </w:tabs>
            <w:ind w:left="960"/>
            <w:rPr>
              <w:sz w:val="22"/>
            </w:rPr>
          </w:pPr>
          <w:hyperlink w:anchor="_Toc16137" w:history="1">
            <w:r w:rsidR="00A80442">
              <w:rPr>
                <w:rFonts w:ascii="宋体" w:hAnsi="宋体" w:cs="宋体" w:hint="eastAsia"/>
                <w:sz w:val="22"/>
              </w:rPr>
              <w:t>（三）对基金治理结构的影响</w:t>
            </w:r>
            <w:r w:rsidR="00A80442">
              <w:rPr>
                <w:sz w:val="22"/>
              </w:rPr>
              <w:tab/>
            </w:r>
            <w:r>
              <w:rPr>
                <w:sz w:val="22"/>
              </w:rPr>
              <w:fldChar w:fldCharType="begin"/>
            </w:r>
            <w:r w:rsidR="00A80442">
              <w:rPr>
                <w:sz w:val="22"/>
              </w:rPr>
              <w:instrText xml:space="preserve"> PAGEREF _Toc16137 \h </w:instrText>
            </w:r>
            <w:r>
              <w:rPr>
                <w:sz w:val="22"/>
              </w:rPr>
            </w:r>
            <w:r>
              <w:rPr>
                <w:sz w:val="22"/>
              </w:rPr>
              <w:fldChar w:fldCharType="separate"/>
            </w:r>
            <w:r w:rsidR="00A80442">
              <w:rPr>
                <w:sz w:val="22"/>
              </w:rPr>
              <w:t>12</w:t>
            </w:r>
            <w:r>
              <w:rPr>
                <w:sz w:val="22"/>
              </w:rPr>
              <w:fldChar w:fldCharType="end"/>
            </w:r>
          </w:hyperlink>
        </w:p>
        <w:p w:rsidR="00471678" w:rsidRDefault="00471678" w:rsidP="00A80442">
          <w:pPr>
            <w:pStyle w:val="21"/>
            <w:tabs>
              <w:tab w:val="right" w:leader="dot" w:pos="9746"/>
            </w:tabs>
            <w:ind w:left="480"/>
            <w:rPr>
              <w:sz w:val="22"/>
            </w:rPr>
          </w:pPr>
          <w:hyperlink w:anchor="_Toc18642" w:history="1">
            <w:r w:rsidR="00A80442">
              <w:rPr>
                <w:rFonts w:ascii="宋体" w:hAnsi="宋体" w:hint="eastAsia"/>
                <w:sz w:val="22"/>
              </w:rPr>
              <w:t>第三节</w:t>
            </w:r>
            <w:r w:rsidR="00A80442">
              <w:rPr>
                <w:rFonts w:ascii="宋体" w:hAnsi="宋体" w:hint="eastAsia"/>
                <w:sz w:val="22"/>
              </w:rPr>
              <w:t xml:space="preserve"> </w:t>
            </w:r>
            <w:r w:rsidR="00A80442">
              <w:rPr>
                <w:rFonts w:ascii="宋体" w:hAnsi="宋体" w:hint="eastAsia"/>
                <w:sz w:val="22"/>
              </w:rPr>
              <w:t>律师关于本次定向扩募过程</w:t>
            </w:r>
            <w:r w:rsidR="00A80442">
              <w:rPr>
                <w:rFonts w:ascii="宋体" w:hAnsi="宋体" w:hint="eastAsia"/>
                <w:sz w:val="22"/>
              </w:rPr>
              <w:t>和发行对象</w:t>
            </w:r>
            <w:r w:rsidR="00A80442">
              <w:rPr>
                <w:rFonts w:ascii="宋体" w:hAnsi="宋体" w:hint="eastAsia"/>
                <w:sz w:val="22"/>
              </w:rPr>
              <w:t>合规性的结论意见</w:t>
            </w:r>
            <w:r w:rsidR="00A80442">
              <w:rPr>
                <w:sz w:val="22"/>
              </w:rPr>
              <w:tab/>
            </w:r>
            <w:r>
              <w:rPr>
                <w:sz w:val="22"/>
              </w:rPr>
              <w:fldChar w:fldCharType="begin"/>
            </w:r>
            <w:r w:rsidR="00A80442">
              <w:rPr>
                <w:sz w:val="22"/>
              </w:rPr>
              <w:instrText xml:space="preserve"> PAGEREF _Toc18642 \h </w:instrText>
            </w:r>
            <w:r>
              <w:rPr>
                <w:sz w:val="22"/>
              </w:rPr>
            </w:r>
            <w:r>
              <w:rPr>
                <w:sz w:val="22"/>
              </w:rPr>
              <w:fldChar w:fldCharType="separate"/>
            </w:r>
            <w:r w:rsidR="00A80442">
              <w:rPr>
                <w:sz w:val="22"/>
              </w:rPr>
              <w:t>13</w:t>
            </w:r>
            <w:r>
              <w:rPr>
                <w:sz w:val="22"/>
              </w:rPr>
              <w:fldChar w:fldCharType="end"/>
            </w:r>
          </w:hyperlink>
        </w:p>
        <w:p w:rsidR="00471678" w:rsidRDefault="00471678" w:rsidP="00A80442">
          <w:pPr>
            <w:pStyle w:val="21"/>
            <w:tabs>
              <w:tab w:val="right" w:leader="dot" w:pos="9746"/>
            </w:tabs>
            <w:ind w:left="480"/>
            <w:rPr>
              <w:sz w:val="22"/>
            </w:rPr>
          </w:pPr>
          <w:hyperlink w:anchor="_Toc26554" w:history="1">
            <w:r w:rsidR="00A80442">
              <w:rPr>
                <w:rFonts w:ascii="宋体" w:hAnsi="宋体" w:hint="eastAsia"/>
                <w:sz w:val="22"/>
              </w:rPr>
              <w:t>第四节</w:t>
            </w:r>
            <w:r w:rsidR="00A80442">
              <w:rPr>
                <w:rFonts w:ascii="宋体" w:hAnsi="宋体" w:hint="eastAsia"/>
                <w:sz w:val="22"/>
              </w:rPr>
              <w:t xml:space="preserve"> </w:t>
            </w:r>
            <w:r w:rsidR="00A80442">
              <w:rPr>
                <w:rFonts w:ascii="宋体" w:hAnsi="宋体" w:hint="eastAsia"/>
                <w:sz w:val="22"/>
              </w:rPr>
              <w:t>备查文件</w:t>
            </w:r>
            <w:r w:rsidR="00A80442">
              <w:rPr>
                <w:sz w:val="22"/>
              </w:rPr>
              <w:tab/>
            </w:r>
            <w:r>
              <w:rPr>
                <w:sz w:val="22"/>
              </w:rPr>
              <w:fldChar w:fldCharType="begin"/>
            </w:r>
            <w:r w:rsidR="00A80442">
              <w:rPr>
                <w:sz w:val="22"/>
              </w:rPr>
              <w:instrText xml:space="preserve"> PAGEREF _Toc26554 \h </w:instrText>
            </w:r>
            <w:r>
              <w:rPr>
                <w:sz w:val="22"/>
              </w:rPr>
            </w:r>
            <w:r>
              <w:rPr>
                <w:sz w:val="22"/>
              </w:rPr>
              <w:fldChar w:fldCharType="separate"/>
            </w:r>
            <w:r w:rsidR="00A80442">
              <w:rPr>
                <w:sz w:val="22"/>
              </w:rPr>
              <w:t>14</w:t>
            </w:r>
            <w:r>
              <w:rPr>
                <w:sz w:val="22"/>
              </w:rPr>
              <w:fldChar w:fldCharType="end"/>
            </w:r>
          </w:hyperlink>
        </w:p>
        <w:p w:rsidR="00471678" w:rsidRDefault="00471678">
          <w:pPr>
            <w:rPr>
              <w:sz w:val="18"/>
              <w:szCs w:val="18"/>
            </w:rPr>
          </w:pPr>
          <w:r>
            <w:rPr>
              <w:sz w:val="22"/>
            </w:rPr>
            <w:fldChar w:fldCharType="end"/>
          </w:r>
        </w:p>
      </w:sdtContent>
    </w:sdt>
    <w:p w:rsidR="00471678" w:rsidRDefault="00A80442">
      <w:pPr>
        <w:rPr>
          <w:rFonts w:ascii="宋体" w:hAnsi="宋体"/>
        </w:rPr>
      </w:pPr>
      <w:r>
        <w:rPr>
          <w:rFonts w:ascii="宋体" w:hAnsi="宋体" w:hint="eastAsia"/>
        </w:rPr>
        <w:br w:type="page"/>
      </w:r>
    </w:p>
    <w:p w:rsidR="00471678" w:rsidRDefault="00A80442">
      <w:pPr>
        <w:pStyle w:val="20"/>
        <w:jc w:val="center"/>
        <w:rPr>
          <w:rFonts w:ascii="宋体" w:hAnsi="宋体"/>
        </w:rPr>
      </w:pPr>
      <w:bookmarkStart w:id="0" w:name="_Toc23695"/>
      <w:r>
        <w:rPr>
          <w:rFonts w:ascii="宋体" w:hAnsi="宋体" w:hint="eastAsia"/>
        </w:rPr>
        <w:t>释义</w:t>
      </w:r>
      <w:bookmarkEnd w:id="0"/>
    </w:p>
    <w:p w:rsidR="00471678" w:rsidRDefault="00471678">
      <w:pPr>
        <w:widowControl/>
        <w:jc w:val="center"/>
        <w:rPr>
          <w:rFonts w:ascii="宋体" w:hAnsi="宋体"/>
          <w:b/>
          <w:szCs w:val="24"/>
        </w:rPr>
      </w:pPr>
    </w:p>
    <w:p w:rsidR="00471678" w:rsidRDefault="00A80442">
      <w:pPr>
        <w:spacing w:line="360" w:lineRule="auto"/>
        <w:ind w:firstLine="420"/>
        <w:rPr>
          <w:rFonts w:ascii="宋体" w:hAnsi="宋体"/>
          <w:sz w:val="21"/>
          <w:szCs w:val="21"/>
        </w:rPr>
      </w:pPr>
      <w:r>
        <w:rPr>
          <w:rFonts w:ascii="宋体" w:hAnsi="宋体" w:hint="eastAsia"/>
          <w:sz w:val="21"/>
          <w:szCs w:val="21"/>
        </w:rPr>
        <w:t>在本报告书中，除非另有说明，下列简称具有如下含义：</w:t>
      </w:r>
    </w:p>
    <w:p w:rsidR="00471678" w:rsidRDefault="00471678">
      <w:pPr>
        <w:widowControl/>
        <w:rPr>
          <w:rFonts w:ascii="宋体" w:hAnsi="宋体"/>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617"/>
        <w:gridCol w:w="4615"/>
      </w:tblGrid>
      <w:tr w:rsidR="00471678">
        <w:trPr>
          <w:jc w:val="center"/>
        </w:trPr>
        <w:tc>
          <w:tcPr>
            <w:tcW w:w="3495" w:type="dxa"/>
            <w:vAlign w:val="center"/>
          </w:tcPr>
          <w:p w:rsidR="00471678" w:rsidRDefault="00A80442">
            <w:pPr>
              <w:widowControl/>
              <w:jc w:val="center"/>
              <w:rPr>
                <w:rFonts w:ascii="宋体" w:hAnsi="宋体"/>
                <w:bCs/>
                <w:sz w:val="21"/>
                <w:szCs w:val="21"/>
              </w:rPr>
            </w:pPr>
            <w:r>
              <w:rPr>
                <w:rFonts w:ascii="宋体" w:hAnsi="宋体" w:hint="eastAsia"/>
                <w:sz w:val="21"/>
                <w:szCs w:val="21"/>
              </w:rPr>
              <w:t>红土创新</w:t>
            </w:r>
            <w:r>
              <w:rPr>
                <w:rFonts w:ascii="宋体" w:hAnsi="宋体" w:hint="eastAsia"/>
                <w:sz w:val="21"/>
                <w:szCs w:val="21"/>
              </w:rPr>
              <w:t>基金</w:t>
            </w:r>
            <w:r>
              <w:rPr>
                <w:rFonts w:ascii="宋体" w:hAnsi="宋体" w:hint="eastAsia"/>
                <w:sz w:val="21"/>
                <w:szCs w:val="21"/>
              </w:rPr>
              <w:t>/</w:t>
            </w:r>
            <w:r>
              <w:rPr>
                <w:rFonts w:ascii="宋体" w:hAnsi="宋体" w:hint="eastAsia"/>
                <w:sz w:val="21"/>
                <w:szCs w:val="21"/>
              </w:rPr>
              <w:t>本基金管理人</w:t>
            </w:r>
          </w:p>
        </w:tc>
        <w:tc>
          <w:tcPr>
            <w:tcW w:w="617" w:type="dxa"/>
            <w:vAlign w:val="center"/>
          </w:tcPr>
          <w:p w:rsidR="00471678" w:rsidRDefault="00A80442">
            <w:pPr>
              <w:widowControl/>
              <w:jc w:val="center"/>
              <w:rPr>
                <w:rFonts w:ascii="宋体" w:hAnsi="宋体"/>
                <w:sz w:val="21"/>
                <w:szCs w:val="21"/>
              </w:rPr>
            </w:pPr>
            <w:r>
              <w:rPr>
                <w:rFonts w:ascii="宋体" w:hAnsi="宋体" w:hint="eastAsia"/>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hint="eastAsia"/>
                <w:sz w:val="21"/>
                <w:szCs w:val="21"/>
              </w:rPr>
              <w:t>红土创新</w:t>
            </w:r>
            <w:r>
              <w:rPr>
                <w:rFonts w:ascii="宋体" w:hAnsi="宋体" w:hint="eastAsia"/>
                <w:sz w:val="21"/>
                <w:szCs w:val="21"/>
              </w:rPr>
              <w:t>基金</w:t>
            </w:r>
            <w:r>
              <w:rPr>
                <w:rFonts w:ascii="宋体" w:hAnsi="宋体" w:hint="eastAsia"/>
                <w:sz w:val="21"/>
                <w:szCs w:val="21"/>
              </w:rPr>
              <w:t>管理有限公司</w:t>
            </w:r>
          </w:p>
        </w:tc>
      </w:tr>
      <w:tr w:rsidR="00471678">
        <w:trPr>
          <w:jc w:val="center"/>
        </w:trPr>
        <w:tc>
          <w:tcPr>
            <w:tcW w:w="3495" w:type="dxa"/>
            <w:vAlign w:val="center"/>
          </w:tcPr>
          <w:p w:rsidR="00471678" w:rsidRDefault="00A80442">
            <w:pPr>
              <w:widowControl/>
              <w:jc w:val="center"/>
              <w:rPr>
                <w:rFonts w:ascii="宋体" w:hAnsi="宋体"/>
                <w:bCs/>
                <w:sz w:val="21"/>
                <w:szCs w:val="21"/>
              </w:rPr>
            </w:pPr>
            <w:r>
              <w:rPr>
                <w:rFonts w:ascii="宋体" w:hAnsi="宋体" w:hint="eastAsia"/>
                <w:bCs/>
                <w:sz w:val="21"/>
                <w:szCs w:val="21"/>
              </w:rPr>
              <w:t>基金份额持有人大会</w:t>
            </w:r>
          </w:p>
        </w:tc>
        <w:tc>
          <w:tcPr>
            <w:tcW w:w="617" w:type="dxa"/>
            <w:vAlign w:val="center"/>
          </w:tcPr>
          <w:p w:rsidR="00471678" w:rsidRDefault="00A80442">
            <w:pPr>
              <w:widowControl/>
              <w:jc w:val="center"/>
              <w:rPr>
                <w:rFonts w:ascii="宋体" w:hAnsi="宋体"/>
                <w:sz w:val="21"/>
                <w:szCs w:val="21"/>
              </w:rPr>
            </w:pPr>
            <w:r>
              <w:rPr>
                <w:rFonts w:ascii="宋体" w:hAnsi="宋体" w:hint="eastAsia"/>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hint="eastAsia"/>
                <w:sz w:val="21"/>
                <w:szCs w:val="21"/>
              </w:rPr>
              <w:t>指本基金管理人于</w:t>
            </w:r>
            <w:r>
              <w:rPr>
                <w:rFonts w:ascii="宋体" w:hAnsi="宋体" w:hint="eastAsia"/>
                <w:sz w:val="21"/>
                <w:szCs w:val="21"/>
              </w:rPr>
              <w:t>2023</w:t>
            </w:r>
            <w:r>
              <w:rPr>
                <w:rFonts w:ascii="宋体" w:hAnsi="宋体" w:hint="eastAsia"/>
                <w:sz w:val="21"/>
                <w:szCs w:val="21"/>
              </w:rPr>
              <w:t>年</w:t>
            </w:r>
            <w:r>
              <w:rPr>
                <w:rFonts w:ascii="宋体" w:hAnsi="宋体" w:hint="eastAsia"/>
                <w:sz w:val="21"/>
                <w:szCs w:val="21"/>
              </w:rPr>
              <w:t>5</w:t>
            </w:r>
            <w:r>
              <w:rPr>
                <w:rFonts w:ascii="宋体" w:hAnsi="宋体" w:hint="eastAsia"/>
                <w:sz w:val="21"/>
                <w:szCs w:val="21"/>
              </w:rPr>
              <w:t>月</w:t>
            </w:r>
            <w:r>
              <w:rPr>
                <w:rFonts w:ascii="宋体" w:hAnsi="宋体" w:hint="eastAsia"/>
                <w:sz w:val="21"/>
                <w:szCs w:val="21"/>
              </w:rPr>
              <w:t>18</w:t>
            </w:r>
            <w:r>
              <w:rPr>
                <w:rFonts w:ascii="宋体" w:hAnsi="宋体" w:hint="eastAsia"/>
                <w:sz w:val="21"/>
                <w:szCs w:val="21"/>
              </w:rPr>
              <w:t>日计票并生效的基金份额持有人大会</w:t>
            </w:r>
          </w:p>
        </w:tc>
      </w:tr>
      <w:tr w:rsidR="00471678">
        <w:trPr>
          <w:jc w:val="center"/>
        </w:trPr>
        <w:tc>
          <w:tcPr>
            <w:tcW w:w="3495" w:type="dxa"/>
            <w:vAlign w:val="center"/>
          </w:tcPr>
          <w:p w:rsidR="00471678" w:rsidRDefault="00A80442">
            <w:pPr>
              <w:widowControl/>
              <w:jc w:val="center"/>
              <w:rPr>
                <w:rFonts w:ascii="宋体" w:hAnsi="宋体"/>
                <w:bCs/>
                <w:sz w:val="21"/>
                <w:szCs w:val="21"/>
              </w:rPr>
            </w:pPr>
            <w:r>
              <w:rPr>
                <w:rFonts w:ascii="宋体" w:hAnsi="宋体"/>
                <w:color w:val="000000"/>
                <w:sz w:val="21"/>
                <w:szCs w:val="21"/>
              </w:rPr>
              <w:t>《认购邀请书》</w:t>
            </w:r>
          </w:p>
        </w:tc>
        <w:tc>
          <w:tcPr>
            <w:tcW w:w="617" w:type="dxa"/>
            <w:vAlign w:val="center"/>
          </w:tcPr>
          <w:p w:rsidR="00471678" w:rsidRDefault="00A80442">
            <w:pPr>
              <w:widowControl/>
              <w:jc w:val="center"/>
              <w:rPr>
                <w:rFonts w:ascii="宋体" w:hAnsi="宋体"/>
                <w:sz w:val="21"/>
                <w:szCs w:val="21"/>
              </w:rPr>
            </w:pPr>
            <w:r>
              <w:rPr>
                <w:rFonts w:ascii="宋体" w:hAnsi="宋体" w:hint="eastAsia"/>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hint="eastAsia"/>
                <w:sz w:val="21"/>
                <w:szCs w:val="21"/>
              </w:rPr>
              <w:t>《</w:t>
            </w:r>
            <w:r>
              <w:rPr>
                <w:rFonts w:ascii="宋体" w:hAnsi="宋体" w:hint="eastAsia"/>
                <w:sz w:val="21"/>
                <w:szCs w:val="21"/>
              </w:rPr>
              <w:t>红土创新盐田港仓储物流</w:t>
            </w:r>
            <w:r>
              <w:rPr>
                <w:rFonts w:ascii="宋体" w:hAnsi="宋体" w:hint="eastAsia"/>
                <w:sz w:val="21"/>
                <w:szCs w:val="21"/>
              </w:rPr>
              <w:t>封闭式基础设施证券投资基金向特定对象发售基金份额认购邀请书》</w:t>
            </w:r>
          </w:p>
        </w:tc>
      </w:tr>
      <w:tr w:rsidR="00471678">
        <w:trPr>
          <w:jc w:val="center"/>
        </w:trPr>
        <w:tc>
          <w:tcPr>
            <w:tcW w:w="3495" w:type="dxa"/>
            <w:vAlign w:val="center"/>
          </w:tcPr>
          <w:p w:rsidR="00471678" w:rsidRDefault="00A80442">
            <w:pPr>
              <w:pStyle w:val="Default"/>
              <w:jc w:val="center"/>
              <w:rPr>
                <w:rFonts w:hAnsi="宋体" w:cs="Times New Roman"/>
                <w:sz w:val="21"/>
                <w:szCs w:val="21"/>
              </w:rPr>
            </w:pPr>
            <w:r>
              <w:rPr>
                <w:rFonts w:hAnsi="宋体" w:cs="Times New Roman"/>
                <w:bCs/>
                <w:sz w:val="21"/>
                <w:szCs w:val="21"/>
              </w:rPr>
              <w:t>本基金</w:t>
            </w:r>
            <w:r>
              <w:rPr>
                <w:rFonts w:hAnsi="宋体" w:cs="Times New Roman"/>
                <w:bCs/>
                <w:sz w:val="21"/>
                <w:szCs w:val="21"/>
              </w:rPr>
              <w:t>/</w:t>
            </w:r>
            <w:r>
              <w:rPr>
                <w:rFonts w:hAnsi="宋体" w:cs="Times New Roman"/>
                <w:bCs/>
                <w:sz w:val="21"/>
                <w:szCs w:val="21"/>
              </w:rPr>
              <w:t>基础设施基金</w:t>
            </w:r>
          </w:p>
        </w:tc>
        <w:tc>
          <w:tcPr>
            <w:tcW w:w="617" w:type="dxa"/>
            <w:vAlign w:val="center"/>
          </w:tcPr>
          <w:p w:rsidR="00471678" w:rsidRDefault="00A80442">
            <w:pPr>
              <w:widowControl/>
              <w:jc w:val="center"/>
              <w:rPr>
                <w:rFonts w:ascii="宋体" w:hAnsi="宋体"/>
                <w:sz w:val="21"/>
                <w:szCs w:val="21"/>
              </w:rPr>
            </w:pPr>
            <w:r>
              <w:rPr>
                <w:rFonts w:ascii="宋体" w:hAnsi="宋体"/>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hint="eastAsia"/>
                <w:sz w:val="21"/>
                <w:szCs w:val="21"/>
              </w:rPr>
              <w:t>红土创新盐田港仓储物流</w:t>
            </w:r>
            <w:r>
              <w:rPr>
                <w:rFonts w:ascii="宋体" w:hAnsi="宋体"/>
                <w:sz w:val="21"/>
                <w:szCs w:val="21"/>
              </w:rPr>
              <w:t>封闭式基础设施证券投资基金</w:t>
            </w:r>
          </w:p>
        </w:tc>
      </w:tr>
      <w:tr w:rsidR="00471678">
        <w:trPr>
          <w:jc w:val="center"/>
        </w:trPr>
        <w:tc>
          <w:tcPr>
            <w:tcW w:w="3495" w:type="dxa"/>
            <w:vAlign w:val="center"/>
          </w:tcPr>
          <w:p w:rsidR="00471678" w:rsidRDefault="00A80442">
            <w:pPr>
              <w:pStyle w:val="Default"/>
              <w:jc w:val="center"/>
              <w:rPr>
                <w:rFonts w:hAnsi="宋体" w:cs="Times New Roman"/>
                <w:sz w:val="21"/>
                <w:szCs w:val="21"/>
              </w:rPr>
            </w:pPr>
            <w:r>
              <w:rPr>
                <w:rFonts w:hAnsi="宋体" w:cs="Times New Roman"/>
                <w:sz w:val="21"/>
                <w:szCs w:val="21"/>
              </w:rPr>
              <w:t>《基金合同》</w:t>
            </w:r>
            <w:r>
              <w:rPr>
                <w:rFonts w:hAnsi="宋体" w:cs="Times New Roman"/>
                <w:sz w:val="21"/>
                <w:szCs w:val="21"/>
              </w:rPr>
              <w:t>/</w:t>
            </w:r>
            <w:r>
              <w:rPr>
                <w:rFonts w:hAnsi="宋体" w:cs="Times New Roman"/>
                <w:sz w:val="21"/>
                <w:szCs w:val="21"/>
              </w:rPr>
              <w:t>基金合同</w:t>
            </w:r>
          </w:p>
        </w:tc>
        <w:tc>
          <w:tcPr>
            <w:tcW w:w="617" w:type="dxa"/>
            <w:vAlign w:val="center"/>
          </w:tcPr>
          <w:p w:rsidR="00471678" w:rsidRDefault="00A80442">
            <w:pPr>
              <w:widowControl/>
              <w:jc w:val="center"/>
              <w:rPr>
                <w:rFonts w:ascii="宋体" w:hAnsi="宋体"/>
                <w:sz w:val="21"/>
                <w:szCs w:val="21"/>
              </w:rPr>
            </w:pPr>
            <w:r>
              <w:rPr>
                <w:rFonts w:ascii="宋体" w:hAnsi="宋体"/>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sz w:val="21"/>
                <w:szCs w:val="21"/>
              </w:rPr>
              <w:t>《</w:t>
            </w:r>
            <w:r>
              <w:rPr>
                <w:rFonts w:ascii="宋体" w:hAnsi="宋体" w:hint="eastAsia"/>
                <w:sz w:val="21"/>
                <w:szCs w:val="21"/>
              </w:rPr>
              <w:t>红土创新盐田港仓储物流</w:t>
            </w:r>
            <w:r>
              <w:rPr>
                <w:rFonts w:ascii="宋体" w:hAnsi="宋体"/>
                <w:sz w:val="21"/>
                <w:szCs w:val="21"/>
              </w:rPr>
              <w:t>封闭式基础设施证券资基金基金合同》</w:t>
            </w:r>
          </w:p>
        </w:tc>
      </w:tr>
      <w:tr w:rsidR="00471678">
        <w:trPr>
          <w:jc w:val="center"/>
        </w:trPr>
        <w:tc>
          <w:tcPr>
            <w:tcW w:w="3495" w:type="dxa"/>
            <w:vAlign w:val="center"/>
          </w:tcPr>
          <w:p w:rsidR="00471678" w:rsidRDefault="00A80442">
            <w:pPr>
              <w:pStyle w:val="Default"/>
              <w:jc w:val="center"/>
              <w:rPr>
                <w:rFonts w:hAnsi="宋体" w:cs="Times New Roman"/>
                <w:sz w:val="21"/>
                <w:szCs w:val="21"/>
              </w:rPr>
            </w:pPr>
            <w:r>
              <w:rPr>
                <w:rFonts w:hAnsi="宋体" w:cs="Times New Roman" w:hint="eastAsia"/>
                <w:sz w:val="21"/>
                <w:szCs w:val="21"/>
              </w:rPr>
              <w:t>中国证监会</w:t>
            </w:r>
          </w:p>
        </w:tc>
        <w:tc>
          <w:tcPr>
            <w:tcW w:w="617" w:type="dxa"/>
            <w:vAlign w:val="center"/>
          </w:tcPr>
          <w:p w:rsidR="00471678" w:rsidRDefault="00A80442">
            <w:pPr>
              <w:widowControl/>
              <w:jc w:val="center"/>
              <w:rPr>
                <w:rFonts w:ascii="宋体" w:hAnsi="宋体"/>
                <w:sz w:val="21"/>
                <w:szCs w:val="21"/>
              </w:rPr>
            </w:pPr>
            <w:r>
              <w:rPr>
                <w:rFonts w:ascii="宋体" w:hAnsi="宋体" w:hint="eastAsia"/>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hint="eastAsia"/>
                <w:sz w:val="21"/>
                <w:szCs w:val="21"/>
              </w:rPr>
              <w:t>中国证券监督管理委员会</w:t>
            </w:r>
          </w:p>
        </w:tc>
      </w:tr>
      <w:tr w:rsidR="00471678">
        <w:trPr>
          <w:jc w:val="center"/>
        </w:trPr>
        <w:tc>
          <w:tcPr>
            <w:tcW w:w="3495" w:type="dxa"/>
            <w:vAlign w:val="center"/>
          </w:tcPr>
          <w:p w:rsidR="00471678" w:rsidRDefault="00A80442">
            <w:pPr>
              <w:pStyle w:val="Default"/>
              <w:jc w:val="center"/>
              <w:rPr>
                <w:rFonts w:hAnsi="宋体" w:cs="Times New Roman"/>
                <w:sz w:val="21"/>
                <w:szCs w:val="21"/>
              </w:rPr>
            </w:pPr>
            <w:r>
              <w:rPr>
                <w:rFonts w:hAnsi="宋体" w:hint="eastAsia"/>
                <w:sz w:val="21"/>
                <w:szCs w:val="21"/>
              </w:rPr>
              <w:t>深交所</w:t>
            </w:r>
          </w:p>
        </w:tc>
        <w:tc>
          <w:tcPr>
            <w:tcW w:w="617" w:type="dxa"/>
            <w:vAlign w:val="center"/>
          </w:tcPr>
          <w:p w:rsidR="00471678" w:rsidRDefault="00A80442">
            <w:pPr>
              <w:widowControl/>
              <w:jc w:val="center"/>
              <w:rPr>
                <w:rFonts w:ascii="宋体" w:hAnsi="宋体"/>
                <w:sz w:val="21"/>
                <w:szCs w:val="21"/>
              </w:rPr>
            </w:pPr>
            <w:r>
              <w:rPr>
                <w:rFonts w:ascii="宋体" w:hAnsi="宋体"/>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hint="eastAsia"/>
                <w:sz w:val="21"/>
                <w:szCs w:val="21"/>
              </w:rPr>
              <w:t>深圳证券交易所</w:t>
            </w:r>
          </w:p>
        </w:tc>
      </w:tr>
      <w:tr w:rsidR="00471678">
        <w:trPr>
          <w:jc w:val="center"/>
        </w:trPr>
        <w:tc>
          <w:tcPr>
            <w:tcW w:w="3495" w:type="dxa"/>
            <w:vAlign w:val="center"/>
          </w:tcPr>
          <w:p w:rsidR="00471678" w:rsidRDefault="00A80442">
            <w:pPr>
              <w:pStyle w:val="Default"/>
              <w:jc w:val="center"/>
              <w:rPr>
                <w:rFonts w:hAnsi="宋体"/>
                <w:sz w:val="21"/>
                <w:szCs w:val="21"/>
              </w:rPr>
            </w:pPr>
            <w:r>
              <w:rPr>
                <w:rFonts w:hAnsi="宋体" w:hint="eastAsia"/>
                <w:sz w:val="21"/>
                <w:szCs w:val="21"/>
              </w:rPr>
              <w:t>《基础设施基金指引》</w:t>
            </w:r>
          </w:p>
        </w:tc>
        <w:tc>
          <w:tcPr>
            <w:tcW w:w="617" w:type="dxa"/>
            <w:vAlign w:val="center"/>
          </w:tcPr>
          <w:p w:rsidR="00471678" w:rsidRDefault="00A80442">
            <w:pPr>
              <w:widowControl/>
              <w:jc w:val="center"/>
              <w:rPr>
                <w:rFonts w:ascii="宋体" w:hAnsi="宋体"/>
                <w:sz w:val="21"/>
                <w:szCs w:val="21"/>
              </w:rPr>
            </w:pPr>
            <w:r>
              <w:rPr>
                <w:rFonts w:ascii="宋体" w:hAnsi="宋体"/>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hint="eastAsia"/>
                <w:sz w:val="21"/>
                <w:szCs w:val="21"/>
              </w:rPr>
              <w:t>《公开募集基础设施证券投资基金指引（试行）》</w:t>
            </w:r>
          </w:p>
        </w:tc>
      </w:tr>
      <w:tr w:rsidR="00471678">
        <w:trPr>
          <w:jc w:val="center"/>
        </w:trPr>
        <w:tc>
          <w:tcPr>
            <w:tcW w:w="3495" w:type="dxa"/>
            <w:vAlign w:val="center"/>
          </w:tcPr>
          <w:p w:rsidR="00471678" w:rsidRDefault="00A80442">
            <w:pPr>
              <w:pStyle w:val="Default"/>
              <w:jc w:val="center"/>
              <w:rPr>
                <w:rFonts w:hAnsi="宋体"/>
                <w:sz w:val="21"/>
                <w:szCs w:val="21"/>
              </w:rPr>
            </w:pPr>
            <w:r>
              <w:rPr>
                <w:rFonts w:hAnsi="宋体" w:hint="eastAsia"/>
                <w:sz w:val="21"/>
                <w:szCs w:val="21"/>
              </w:rPr>
              <w:t>《发售业务指引》</w:t>
            </w:r>
          </w:p>
        </w:tc>
        <w:tc>
          <w:tcPr>
            <w:tcW w:w="617" w:type="dxa"/>
            <w:vAlign w:val="center"/>
          </w:tcPr>
          <w:p w:rsidR="00471678" w:rsidRDefault="00A80442">
            <w:pPr>
              <w:widowControl/>
              <w:jc w:val="center"/>
              <w:rPr>
                <w:rFonts w:ascii="宋体" w:hAnsi="宋体"/>
                <w:sz w:val="21"/>
                <w:szCs w:val="21"/>
              </w:rPr>
            </w:pPr>
            <w:r>
              <w:rPr>
                <w:rFonts w:ascii="宋体" w:hAnsi="宋体"/>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hint="eastAsia"/>
                <w:sz w:val="21"/>
                <w:szCs w:val="21"/>
              </w:rPr>
              <w:t>《深圳证券交易所公开募集基础设施证券投资基金业务指引第</w:t>
            </w:r>
            <w:r>
              <w:rPr>
                <w:rFonts w:ascii="宋体" w:hAnsi="宋体"/>
                <w:sz w:val="21"/>
                <w:szCs w:val="21"/>
              </w:rPr>
              <w:t>2</w:t>
            </w:r>
            <w:r>
              <w:rPr>
                <w:rFonts w:ascii="宋体" w:hAnsi="宋体"/>
                <w:sz w:val="21"/>
                <w:szCs w:val="21"/>
              </w:rPr>
              <w:t>号</w:t>
            </w:r>
            <w:r>
              <w:rPr>
                <w:rFonts w:ascii="宋体" w:hAnsi="宋体"/>
                <w:sz w:val="21"/>
                <w:szCs w:val="21"/>
              </w:rPr>
              <w:t>——</w:t>
            </w:r>
            <w:r>
              <w:rPr>
                <w:rFonts w:ascii="宋体" w:hAnsi="宋体"/>
                <w:sz w:val="21"/>
                <w:szCs w:val="21"/>
              </w:rPr>
              <w:t>发售业务（试行）》</w:t>
            </w:r>
          </w:p>
        </w:tc>
      </w:tr>
      <w:tr w:rsidR="00471678">
        <w:trPr>
          <w:jc w:val="center"/>
        </w:trPr>
        <w:tc>
          <w:tcPr>
            <w:tcW w:w="3495" w:type="dxa"/>
            <w:vAlign w:val="center"/>
          </w:tcPr>
          <w:p w:rsidR="00471678" w:rsidRDefault="00A80442">
            <w:pPr>
              <w:pStyle w:val="Default"/>
              <w:jc w:val="center"/>
              <w:rPr>
                <w:rFonts w:hAnsi="宋体"/>
                <w:sz w:val="21"/>
                <w:szCs w:val="21"/>
              </w:rPr>
            </w:pPr>
            <w:r>
              <w:rPr>
                <w:rFonts w:hAnsi="宋体" w:hint="eastAsia"/>
                <w:sz w:val="21"/>
                <w:szCs w:val="21"/>
              </w:rPr>
              <w:t>《新购入基础设施项目指引》</w:t>
            </w:r>
          </w:p>
        </w:tc>
        <w:tc>
          <w:tcPr>
            <w:tcW w:w="617" w:type="dxa"/>
            <w:vAlign w:val="center"/>
          </w:tcPr>
          <w:p w:rsidR="00471678" w:rsidRDefault="00A80442">
            <w:pPr>
              <w:widowControl/>
              <w:jc w:val="center"/>
              <w:rPr>
                <w:rFonts w:ascii="宋体" w:hAnsi="宋体"/>
                <w:sz w:val="21"/>
                <w:szCs w:val="21"/>
              </w:rPr>
            </w:pPr>
            <w:r>
              <w:rPr>
                <w:rFonts w:ascii="宋体" w:hAnsi="宋体"/>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hint="eastAsia"/>
                <w:sz w:val="21"/>
                <w:szCs w:val="21"/>
              </w:rPr>
              <w:t>《深圳证券交易所公开募集基础设施证券投资基金业务指引第</w:t>
            </w:r>
            <w:r>
              <w:rPr>
                <w:rFonts w:ascii="宋体" w:hAnsi="宋体"/>
                <w:sz w:val="21"/>
                <w:szCs w:val="21"/>
              </w:rPr>
              <w:t>3</w:t>
            </w:r>
            <w:r>
              <w:rPr>
                <w:rFonts w:ascii="宋体" w:hAnsi="宋体"/>
                <w:sz w:val="21"/>
                <w:szCs w:val="21"/>
              </w:rPr>
              <w:t>号</w:t>
            </w:r>
            <w:r>
              <w:rPr>
                <w:rFonts w:ascii="宋体" w:hAnsi="宋体"/>
                <w:sz w:val="21"/>
                <w:szCs w:val="21"/>
              </w:rPr>
              <w:t>—</w:t>
            </w:r>
            <w:r>
              <w:rPr>
                <w:rFonts w:ascii="宋体" w:hAnsi="宋体"/>
                <w:sz w:val="21"/>
                <w:szCs w:val="21"/>
              </w:rPr>
              <w:t>新购入基础设施项目（试行）》</w:t>
            </w:r>
          </w:p>
        </w:tc>
      </w:tr>
      <w:tr w:rsidR="00471678">
        <w:trPr>
          <w:jc w:val="center"/>
        </w:trPr>
        <w:tc>
          <w:tcPr>
            <w:tcW w:w="3495" w:type="dxa"/>
            <w:vAlign w:val="center"/>
          </w:tcPr>
          <w:p w:rsidR="00471678" w:rsidRDefault="00A80442">
            <w:pPr>
              <w:widowControl/>
              <w:jc w:val="center"/>
              <w:rPr>
                <w:rFonts w:ascii="宋体" w:hAnsi="宋体"/>
                <w:bCs/>
                <w:sz w:val="21"/>
                <w:szCs w:val="21"/>
              </w:rPr>
            </w:pPr>
            <w:r>
              <w:rPr>
                <w:rFonts w:ascii="宋体" w:hAnsi="宋体"/>
                <w:sz w:val="21"/>
                <w:szCs w:val="21"/>
              </w:rPr>
              <w:t>元</w:t>
            </w:r>
          </w:p>
        </w:tc>
        <w:tc>
          <w:tcPr>
            <w:tcW w:w="617" w:type="dxa"/>
            <w:vAlign w:val="center"/>
          </w:tcPr>
          <w:p w:rsidR="00471678" w:rsidRDefault="00A80442">
            <w:pPr>
              <w:widowControl/>
              <w:jc w:val="center"/>
              <w:rPr>
                <w:rFonts w:ascii="宋体" w:hAnsi="宋体"/>
                <w:sz w:val="21"/>
                <w:szCs w:val="21"/>
              </w:rPr>
            </w:pPr>
            <w:r>
              <w:rPr>
                <w:rFonts w:ascii="宋体" w:hAnsi="宋体"/>
                <w:sz w:val="21"/>
                <w:szCs w:val="21"/>
              </w:rPr>
              <w:t>指</w:t>
            </w:r>
          </w:p>
        </w:tc>
        <w:tc>
          <w:tcPr>
            <w:tcW w:w="4615" w:type="dxa"/>
            <w:vAlign w:val="center"/>
          </w:tcPr>
          <w:p w:rsidR="00471678" w:rsidRDefault="00A80442">
            <w:pPr>
              <w:widowControl/>
              <w:jc w:val="center"/>
              <w:rPr>
                <w:rFonts w:ascii="宋体" w:hAnsi="宋体"/>
                <w:sz w:val="21"/>
                <w:szCs w:val="21"/>
              </w:rPr>
            </w:pPr>
            <w:r>
              <w:rPr>
                <w:rFonts w:ascii="宋体" w:hAnsi="宋体"/>
                <w:sz w:val="21"/>
                <w:szCs w:val="21"/>
              </w:rPr>
              <w:t>中国法定货币人民币元</w:t>
            </w:r>
          </w:p>
        </w:tc>
      </w:tr>
    </w:tbl>
    <w:p w:rsidR="00471678" w:rsidRDefault="00A80442">
      <w:pPr>
        <w:widowControl/>
        <w:jc w:val="center"/>
        <w:rPr>
          <w:rFonts w:ascii="宋体" w:hAnsi="宋体"/>
          <w:b/>
          <w:bCs/>
          <w:sz w:val="28"/>
          <w:szCs w:val="32"/>
        </w:rPr>
      </w:pPr>
      <w:r>
        <w:rPr>
          <w:rFonts w:ascii="宋体" w:hAnsi="宋体"/>
          <w:b/>
          <w:bCs/>
          <w:sz w:val="28"/>
          <w:szCs w:val="32"/>
        </w:rPr>
        <w:br w:type="page"/>
      </w:r>
    </w:p>
    <w:p w:rsidR="00471678" w:rsidRDefault="00A80442">
      <w:pPr>
        <w:pStyle w:val="20"/>
        <w:jc w:val="center"/>
        <w:rPr>
          <w:rFonts w:ascii="宋体" w:hAnsi="宋体"/>
        </w:rPr>
      </w:pPr>
      <w:bookmarkStart w:id="1" w:name="_Toc25631"/>
      <w:r>
        <w:rPr>
          <w:rFonts w:ascii="宋体" w:hAnsi="宋体" w:hint="eastAsia"/>
        </w:rPr>
        <w:t>第一节</w:t>
      </w:r>
      <w:r>
        <w:rPr>
          <w:rFonts w:ascii="宋体" w:hAnsi="宋体" w:hint="eastAsia"/>
        </w:rPr>
        <w:t xml:space="preserve"> </w:t>
      </w:r>
      <w:r>
        <w:rPr>
          <w:rFonts w:ascii="宋体" w:hAnsi="宋体" w:hint="eastAsia"/>
        </w:rPr>
        <w:t>本次发行的基本情况</w:t>
      </w:r>
      <w:bookmarkEnd w:id="1"/>
    </w:p>
    <w:p w:rsidR="00471678" w:rsidRDefault="00A80442">
      <w:pPr>
        <w:pStyle w:val="3"/>
        <w:spacing w:line="360" w:lineRule="auto"/>
        <w:rPr>
          <w:rFonts w:ascii="宋体" w:hAnsi="宋体" w:cs="宋体"/>
          <w:sz w:val="21"/>
          <w:szCs w:val="21"/>
        </w:rPr>
      </w:pPr>
      <w:bookmarkStart w:id="2" w:name="_Toc28905"/>
      <w:r>
        <w:rPr>
          <w:rFonts w:ascii="宋体" w:hAnsi="宋体" w:cs="宋体" w:hint="eastAsia"/>
          <w:sz w:val="21"/>
          <w:szCs w:val="21"/>
        </w:rPr>
        <w:t>一、本次</w:t>
      </w:r>
      <w:r>
        <w:rPr>
          <w:rFonts w:ascii="宋体" w:hAnsi="宋体" w:cs="宋体" w:hint="eastAsia"/>
          <w:sz w:val="21"/>
          <w:szCs w:val="21"/>
        </w:rPr>
        <w:t>发售</w:t>
      </w:r>
      <w:r>
        <w:rPr>
          <w:rFonts w:ascii="宋体" w:hAnsi="宋体" w:cs="宋体" w:hint="eastAsia"/>
          <w:sz w:val="21"/>
          <w:szCs w:val="21"/>
        </w:rPr>
        <w:t>履行的相关程序</w:t>
      </w:r>
      <w:bookmarkEnd w:id="2"/>
    </w:p>
    <w:p w:rsidR="00471678" w:rsidRDefault="00A80442">
      <w:pPr>
        <w:pStyle w:val="4"/>
        <w:spacing w:before="0" w:after="0" w:line="480" w:lineRule="auto"/>
        <w:rPr>
          <w:rFonts w:ascii="宋体" w:eastAsia="宋体" w:hAnsi="宋体" w:cs="宋体"/>
          <w:sz w:val="21"/>
          <w:szCs w:val="21"/>
        </w:rPr>
      </w:pPr>
      <w:bookmarkStart w:id="3" w:name="_Toc7114"/>
      <w:r>
        <w:rPr>
          <w:rFonts w:ascii="宋体" w:eastAsia="宋体" w:hAnsi="宋体" w:cs="宋体" w:hint="eastAsia"/>
          <w:sz w:val="21"/>
          <w:szCs w:val="21"/>
        </w:rPr>
        <w:t>（一）内部决策过程</w:t>
      </w:r>
      <w:bookmarkEnd w:id="3"/>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2022</w:t>
      </w:r>
      <w:r>
        <w:rPr>
          <w:rFonts w:ascii="宋体" w:hAnsi="宋体" w:cs="宋体" w:hint="eastAsia"/>
          <w:sz w:val="21"/>
          <w:szCs w:val="21"/>
        </w:rPr>
        <w:t>年</w:t>
      </w:r>
      <w:r>
        <w:rPr>
          <w:rFonts w:ascii="宋体" w:hAnsi="宋体" w:cs="宋体" w:hint="eastAsia"/>
          <w:sz w:val="21"/>
          <w:szCs w:val="21"/>
        </w:rPr>
        <w:t>9</w:t>
      </w:r>
      <w:r>
        <w:rPr>
          <w:rFonts w:ascii="宋体" w:hAnsi="宋体" w:cs="宋体" w:hint="eastAsia"/>
          <w:sz w:val="21"/>
          <w:szCs w:val="21"/>
        </w:rPr>
        <w:t>月</w:t>
      </w:r>
      <w:r>
        <w:rPr>
          <w:rFonts w:ascii="宋体" w:hAnsi="宋体" w:cs="宋体" w:hint="eastAsia"/>
          <w:sz w:val="21"/>
          <w:szCs w:val="21"/>
        </w:rPr>
        <w:t>28</w:t>
      </w:r>
      <w:r>
        <w:rPr>
          <w:rFonts w:ascii="宋体" w:hAnsi="宋体" w:cs="宋体" w:hint="eastAsia"/>
          <w:sz w:val="21"/>
          <w:szCs w:val="21"/>
        </w:rPr>
        <w:t>日，</w:t>
      </w:r>
      <w:r>
        <w:rPr>
          <w:rFonts w:ascii="宋体" w:hAnsi="宋体" w:hint="eastAsia"/>
          <w:sz w:val="21"/>
          <w:szCs w:val="21"/>
        </w:rPr>
        <w:t>红土创新</w:t>
      </w:r>
      <w:r>
        <w:rPr>
          <w:rFonts w:ascii="宋体" w:hAnsi="宋体" w:hint="eastAsia"/>
          <w:sz w:val="21"/>
          <w:szCs w:val="21"/>
        </w:rPr>
        <w:t>基金</w:t>
      </w:r>
      <w:r>
        <w:rPr>
          <w:rFonts w:ascii="宋体" w:hAnsi="宋体" w:hint="eastAsia"/>
          <w:sz w:val="21"/>
          <w:szCs w:val="21"/>
        </w:rPr>
        <w:t>发布了《</w:t>
      </w:r>
      <w:r>
        <w:rPr>
          <w:rFonts w:ascii="宋体" w:hAnsi="宋体" w:hint="eastAsia"/>
          <w:sz w:val="21"/>
          <w:szCs w:val="21"/>
        </w:rPr>
        <w:t>红土创新</w:t>
      </w:r>
      <w:r>
        <w:rPr>
          <w:rFonts w:ascii="宋体" w:hAnsi="宋体" w:hint="eastAsia"/>
          <w:sz w:val="21"/>
          <w:szCs w:val="21"/>
        </w:rPr>
        <w:t>基金</w:t>
      </w:r>
      <w:r>
        <w:rPr>
          <w:rFonts w:ascii="宋体" w:hAnsi="宋体" w:hint="eastAsia"/>
          <w:sz w:val="21"/>
          <w:szCs w:val="21"/>
        </w:rPr>
        <w:t>管理有限公司关于决定</w:t>
      </w:r>
      <w:r>
        <w:rPr>
          <w:rFonts w:ascii="宋体" w:hAnsi="宋体" w:hint="eastAsia"/>
          <w:sz w:val="21"/>
          <w:szCs w:val="21"/>
        </w:rPr>
        <w:t>红土创新盐田港仓储物流</w:t>
      </w:r>
      <w:r>
        <w:rPr>
          <w:rFonts w:ascii="宋体" w:hAnsi="宋体" w:hint="eastAsia"/>
          <w:sz w:val="21"/>
          <w:szCs w:val="21"/>
        </w:rPr>
        <w:t>封闭式基础设施证券投资基金拟新购入基础设施项目的公告》，经</w:t>
      </w:r>
      <w:r>
        <w:rPr>
          <w:rFonts w:ascii="宋体" w:hAnsi="宋体" w:hint="eastAsia"/>
          <w:sz w:val="21"/>
          <w:szCs w:val="21"/>
        </w:rPr>
        <w:t>红土创新</w:t>
      </w:r>
      <w:r>
        <w:rPr>
          <w:rFonts w:ascii="宋体" w:hAnsi="宋体" w:hint="eastAsia"/>
          <w:sz w:val="21"/>
          <w:szCs w:val="21"/>
        </w:rPr>
        <w:t>基金</w:t>
      </w:r>
      <w:r>
        <w:rPr>
          <w:rFonts w:ascii="宋体" w:hAnsi="宋体" w:hint="eastAsia"/>
          <w:sz w:val="21"/>
          <w:szCs w:val="21"/>
        </w:rPr>
        <w:t>内部决策，</w:t>
      </w:r>
      <w:r>
        <w:rPr>
          <w:rFonts w:ascii="宋体" w:hAnsi="宋体" w:hint="eastAsia"/>
          <w:sz w:val="21"/>
          <w:szCs w:val="21"/>
        </w:rPr>
        <w:t>红土创新盐田港仓储物流</w:t>
      </w:r>
      <w:r>
        <w:rPr>
          <w:rFonts w:ascii="宋体" w:hAnsi="宋体" w:hint="eastAsia"/>
          <w:sz w:val="21"/>
          <w:szCs w:val="21"/>
        </w:rPr>
        <w:t>封闭式基础设施证券投资基金拟申请扩募并新购入基础设施项目。</w:t>
      </w:r>
    </w:p>
    <w:p w:rsidR="00471678" w:rsidRDefault="00A80442">
      <w:pPr>
        <w:pStyle w:val="4"/>
        <w:spacing w:before="0" w:after="0" w:line="480" w:lineRule="auto"/>
        <w:rPr>
          <w:rFonts w:ascii="宋体" w:eastAsia="宋体" w:hAnsi="宋体" w:cs="宋体"/>
          <w:sz w:val="21"/>
          <w:szCs w:val="21"/>
        </w:rPr>
      </w:pPr>
      <w:bookmarkStart w:id="4" w:name="_Toc13404"/>
      <w:r>
        <w:rPr>
          <w:rFonts w:ascii="宋体" w:eastAsia="宋体" w:hAnsi="宋体" w:cs="宋体" w:hint="eastAsia"/>
          <w:sz w:val="21"/>
          <w:szCs w:val="21"/>
        </w:rPr>
        <w:t>（二）本次定向扩募</w:t>
      </w:r>
      <w:r>
        <w:rPr>
          <w:rFonts w:ascii="宋体" w:eastAsia="宋体" w:hAnsi="宋体" w:cs="宋体" w:hint="eastAsia"/>
          <w:sz w:val="21"/>
          <w:szCs w:val="21"/>
        </w:rPr>
        <w:t>发售</w:t>
      </w:r>
      <w:r>
        <w:rPr>
          <w:rFonts w:ascii="宋体" w:eastAsia="宋体" w:hAnsi="宋体" w:cs="宋体" w:hint="eastAsia"/>
          <w:sz w:val="21"/>
          <w:szCs w:val="21"/>
        </w:rPr>
        <w:t>监管部门审核过程</w:t>
      </w:r>
      <w:bookmarkEnd w:id="4"/>
    </w:p>
    <w:p w:rsidR="00471678" w:rsidRDefault="00A80442">
      <w:pPr>
        <w:spacing w:line="360" w:lineRule="auto"/>
        <w:ind w:firstLine="420"/>
        <w:rPr>
          <w:rFonts w:ascii="宋体" w:hAnsi="宋体"/>
          <w:sz w:val="21"/>
          <w:szCs w:val="21"/>
        </w:rPr>
      </w:pPr>
      <w:r>
        <w:rPr>
          <w:rFonts w:ascii="宋体" w:hAnsi="宋体" w:hint="eastAsia"/>
          <w:sz w:val="21"/>
          <w:szCs w:val="21"/>
        </w:rPr>
        <w:t>2023</w:t>
      </w:r>
      <w:r>
        <w:rPr>
          <w:rFonts w:ascii="宋体" w:hAnsi="宋体" w:hint="eastAsia"/>
          <w:sz w:val="21"/>
          <w:szCs w:val="21"/>
        </w:rPr>
        <w:t>年</w:t>
      </w:r>
      <w:r>
        <w:rPr>
          <w:rFonts w:ascii="宋体" w:hAnsi="宋体" w:hint="eastAsia"/>
          <w:sz w:val="21"/>
          <w:szCs w:val="21"/>
        </w:rPr>
        <w:t>3</w:t>
      </w:r>
      <w:r>
        <w:rPr>
          <w:rFonts w:ascii="宋体" w:hAnsi="宋体" w:hint="eastAsia"/>
          <w:sz w:val="21"/>
          <w:szCs w:val="21"/>
        </w:rPr>
        <w:t>月</w:t>
      </w:r>
      <w:r>
        <w:rPr>
          <w:rFonts w:ascii="宋体" w:hAnsi="宋体" w:hint="eastAsia"/>
          <w:sz w:val="21"/>
          <w:szCs w:val="21"/>
        </w:rPr>
        <w:t>31</w:t>
      </w:r>
      <w:r>
        <w:rPr>
          <w:rFonts w:ascii="宋体" w:hAnsi="宋体" w:hint="eastAsia"/>
          <w:sz w:val="21"/>
          <w:szCs w:val="21"/>
        </w:rPr>
        <w:t>日，</w:t>
      </w:r>
      <w:r>
        <w:rPr>
          <w:rFonts w:ascii="宋体" w:hAnsi="宋体" w:hint="eastAsia"/>
          <w:sz w:val="21"/>
          <w:szCs w:val="21"/>
        </w:rPr>
        <w:t>红土创新</w:t>
      </w:r>
      <w:r>
        <w:rPr>
          <w:rFonts w:ascii="宋体" w:hAnsi="宋体" w:hint="eastAsia"/>
          <w:sz w:val="21"/>
          <w:szCs w:val="21"/>
        </w:rPr>
        <w:t>基金</w:t>
      </w:r>
      <w:r>
        <w:rPr>
          <w:rFonts w:ascii="宋体" w:hAnsi="宋体" w:hint="eastAsia"/>
          <w:sz w:val="21"/>
          <w:szCs w:val="21"/>
        </w:rPr>
        <w:t>收到了深交所出具的《关于对红土创新盐田港仓储物流封闭式基础设施证券投资基金产品变更暨扩募份额上市及深创投</w:t>
      </w:r>
      <w:r>
        <w:rPr>
          <w:rFonts w:ascii="宋体" w:hAnsi="宋体" w:hint="eastAsia"/>
          <w:sz w:val="21"/>
          <w:szCs w:val="21"/>
        </w:rPr>
        <w:t>-</w:t>
      </w:r>
      <w:r>
        <w:rPr>
          <w:rFonts w:ascii="宋体" w:hAnsi="宋体" w:hint="eastAsia"/>
          <w:sz w:val="21"/>
          <w:szCs w:val="21"/>
        </w:rPr>
        <w:t>盐田港仓储物流</w:t>
      </w:r>
      <w:r>
        <w:rPr>
          <w:rFonts w:ascii="宋体" w:hAnsi="宋体" w:hint="eastAsia"/>
          <w:sz w:val="21"/>
          <w:szCs w:val="21"/>
        </w:rPr>
        <w:t>2</w:t>
      </w:r>
      <w:r>
        <w:rPr>
          <w:rFonts w:ascii="宋体" w:hAnsi="宋体" w:hint="eastAsia"/>
          <w:sz w:val="21"/>
          <w:szCs w:val="21"/>
        </w:rPr>
        <w:t>号资产支持专项计划挂牌转让无异议的函》（深证函〔</w:t>
      </w:r>
      <w:r>
        <w:rPr>
          <w:rFonts w:ascii="宋体" w:hAnsi="宋体" w:hint="eastAsia"/>
          <w:sz w:val="21"/>
          <w:szCs w:val="21"/>
        </w:rPr>
        <w:t>2023</w:t>
      </w:r>
      <w:r>
        <w:rPr>
          <w:rFonts w:ascii="宋体" w:hAnsi="宋体" w:hint="eastAsia"/>
          <w:sz w:val="21"/>
          <w:szCs w:val="21"/>
        </w:rPr>
        <w:t>〕</w:t>
      </w:r>
      <w:r>
        <w:rPr>
          <w:rFonts w:ascii="宋体" w:hAnsi="宋体" w:hint="eastAsia"/>
          <w:sz w:val="21"/>
          <w:szCs w:val="21"/>
        </w:rPr>
        <w:t>134</w:t>
      </w:r>
      <w:r>
        <w:rPr>
          <w:rFonts w:ascii="宋体" w:hAnsi="宋体" w:hint="eastAsia"/>
          <w:sz w:val="21"/>
          <w:szCs w:val="21"/>
        </w:rPr>
        <w:t>号）及中国证监会出具的《关于准予红土创新盐田港仓储物流封闭式基础设施证券投资基金变更注册的批复》（证监许可〔</w:t>
      </w:r>
      <w:r>
        <w:rPr>
          <w:rFonts w:ascii="宋体" w:hAnsi="宋体" w:hint="eastAsia"/>
          <w:sz w:val="21"/>
          <w:szCs w:val="21"/>
        </w:rPr>
        <w:t>2023</w:t>
      </w:r>
      <w:r>
        <w:rPr>
          <w:rFonts w:ascii="宋体" w:hAnsi="宋体" w:hint="eastAsia"/>
          <w:sz w:val="21"/>
          <w:szCs w:val="21"/>
        </w:rPr>
        <w:t>〕</w:t>
      </w:r>
      <w:r>
        <w:rPr>
          <w:rFonts w:ascii="宋体" w:hAnsi="宋体" w:hint="eastAsia"/>
          <w:sz w:val="21"/>
          <w:szCs w:val="21"/>
        </w:rPr>
        <w:t>735</w:t>
      </w:r>
      <w:r>
        <w:rPr>
          <w:rFonts w:ascii="宋体" w:hAnsi="宋体" w:hint="eastAsia"/>
          <w:sz w:val="21"/>
          <w:szCs w:val="21"/>
        </w:rPr>
        <w:t>号）。</w:t>
      </w:r>
    </w:p>
    <w:p w:rsidR="00471678" w:rsidRDefault="00A80442">
      <w:pPr>
        <w:pStyle w:val="4"/>
        <w:spacing w:before="0" w:after="0" w:line="480" w:lineRule="auto"/>
        <w:rPr>
          <w:rFonts w:ascii="宋体" w:eastAsia="宋体" w:hAnsi="宋体" w:cs="宋体"/>
          <w:sz w:val="21"/>
          <w:szCs w:val="21"/>
        </w:rPr>
      </w:pPr>
      <w:bookmarkStart w:id="5" w:name="_Toc14392"/>
      <w:r>
        <w:rPr>
          <w:rFonts w:ascii="宋体" w:eastAsia="宋体" w:hAnsi="宋体" w:cs="宋体" w:hint="eastAsia"/>
          <w:sz w:val="21"/>
          <w:szCs w:val="21"/>
        </w:rPr>
        <w:t>（三）持有人大会决策过程</w:t>
      </w:r>
      <w:bookmarkEnd w:id="5"/>
    </w:p>
    <w:p w:rsidR="00471678" w:rsidRDefault="00A80442">
      <w:pPr>
        <w:spacing w:line="360" w:lineRule="auto"/>
        <w:ind w:firstLine="420"/>
        <w:rPr>
          <w:rFonts w:ascii="宋体" w:hAnsi="宋体"/>
          <w:sz w:val="21"/>
          <w:szCs w:val="21"/>
        </w:rPr>
      </w:pPr>
      <w:r>
        <w:rPr>
          <w:rFonts w:ascii="宋体" w:hAnsi="宋体" w:hint="eastAsia"/>
          <w:sz w:val="21"/>
          <w:szCs w:val="21"/>
        </w:rPr>
        <w:t>本基金管理人以通讯方式召开了基金份额持有人大会，本次大会的表决时间自</w:t>
      </w:r>
      <w:r>
        <w:rPr>
          <w:rFonts w:ascii="宋体" w:hAnsi="宋体" w:hint="eastAsia"/>
          <w:sz w:val="21"/>
          <w:szCs w:val="21"/>
        </w:rPr>
        <w:t>2023</w:t>
      </w:r>
      <w:r>
        <w:rPr>
          <w:rFonts w:ascii="宋体" w:hAnsi="宋体" w:hint="eastAsia"/>
          <w:sz w:val="21"/>
          <w:szCs w:val="21"/>
        </w:rPr>
        <w:t>年</w:t>
      </w:r>
      <w:r>
        <w:rPr>
          <w:rFonts w:ascii="宋体" w:hAnsi="宋体" w:hint="eastAsia"/>
          <w:sz w:val="21"/>
          <w:szCs w:val="21"/>
        </w:rPr>
        <w:t>4</w:t>
      </w:r>
      <w:r>
        <w:rPr>
          <w:rFonts w:ascii="宋体" w:hAnsi="宋体" w:hint="eastAsia"/>
          <w:sz w:val="21"/>
          <w:szCs w:val="21"/>
        </w:rPr>
        <w:t>月</w:t>
      </w:r>
      <w:r>
        <w:rPr>
          <w:rFonts w:ascii="宋体" w:hAnsi="宋体" w:hint="eastAsia"/>
          <w:sz w:val="21"/>
          <w:szCs w:val="21"/>
        </w:rPr>
        <w:t>26</w:t>
      </w:r>
      <w:r>
        <w:rPr>
          <w:rFonts w:ascii="宋体" w:hAnsi="宋体" w:hint="eastAsia"/>
          <w:sz w:val="21"/>
          <w:szCs w:val="21"/>
        </w:rPr>
        <w:t>日起至</w:t>
      </w:r>
      <w:r>
        <w:rPr>
          <w:rFonts w:ascii="宋体" w:hAnsi="宋体" w:hint="eastAsia"/>
          <w:sz w:val="21"/>
          <w:szCs w:val="21"/>
        </w:rPr>
        <w:t>2023</w:t>
      </w:r>
      <w:r>
        <w:rPr>
          <w:rFonts w:ascii="宋体" w:hAnsi="宋体" w:hint="eastAsia"/>
          <w:sz w:val="21"/>
          <w:szCs w:val="21"/>
        </w:rPr>
        <w:t>年</w:t>
      </w:r>
      <w:r>
        <w:rPr>
          <w:rFonts w:ascii="宋体" w:hAnsi="宋体" w:hint="eastAsia"/>
          <w:sz w:val="21"/>
          <w:szCs w:val="21"/>
        </w:rPr>
        <w:t>5</w:t>
      </w:r>
      <w:r>
        <w:rPr>
          <w:rFonts w:ascii="宋体" w:hAnsi="宋体" w:hint="eastAsia"/>
          <w:sz w:val="21"/>
          <w:szCs w:val="21"/>
        </w:rPr>
        <w:t>月</w:t>
      </w:r>
      <w:r>
        <w:rPr>
          <w:rFonts w:ascii="宋体" w:hAnsi="宋体" w:hint="eastAsia"/>
          <w:sz w:val="21"/>
          <w:szCs w:val="21"/>
        </w:rPr>
        <w:t>17</w:t>
      </w:r>
      <w:r>
        <w:rPr>
          <w:rFonts w:ascii="宋体" w:hAnsi="宋体" w:hint="eastAsia"/>
          <w:sz w:val="21"/>
          <w:szCs w:val="21"/>
        </w:rPr>
        <w:t>日</w:t>
      </w:r>
      <w:r>
        <w:rPr>
          <w:rFonts w:ascii="宋体" w:hAnsi="宋体" w:hint="eastAsia"/>
          <w:sz w:val="21"/>
          <w:szCs w:val="21"/>
        </w:rPr>
        <w:t>17</w:t>
      </w:r>
      <w:r>
        <w:rPr>
          <w:rFonts w:ascii="宋体" w:hAnsi="宋体" w:hint="eastAsia"/>
          <w:sz w:val="21"/>
          <w:szCs w:val="21"/>
        </w:rPr>
        <w:t>：</w:t>
      </w:r>
      <w:r>
        <w:rPr>
          <w:rFonts w:ascii="宋体" w:hAnsi="宋体" w:hint="eastAsia"/>
          <w:sz w:val="21"/>
          <w:szCs w:val="21"/>
        </w:rPr>
        <w:t>00</w:t>
      </w:r>
      <w:r>
        <w:rPr>
          <w:rFonts w:ascii="宋体" w:hAnsi="宋体" w:hint="eastAsia"/>
          <w:sz w:val="21"/>
          <w:szCs w:val="21"/>
        </w:rPr>
        <w:t>止。本次基金</w:t>
      </w:r>
      <w:r>
        <w:rPr>
          <w:rFonts w:ascii="宋体" w:hAnsi="宋体" w:hint="eastAsia"/>
          <w:sz w:val="21"/>
          <w:szCs w:val="21"/>
        </w:rPr>
        <w:t>份额持有人大会于</w:t>
      </w:r>
      <w:r>
        <w:rPr>
          <w:rFonts w:ascii="宋体" w:hAnsi="宋体" w:hint="eastAsia"/>
          <w:sz w:val="21"/>
          <w:szCs w:val="21"/>
        </w:rPr>
        <w:t>2023</w:t>
      </w:r>
      <w:r>
        <w:rPr>
          <w:rFonts w:ascii="宋体" w:hAnsi="宋体" w:hint="eastAsia"/>
          <w:sz w:val="21"/>
          <w:szCs w:val="21"/>
        </w:rPr>
        <w:t>年</w:t>
      </w:r>
      <w:r>
        <w:rPr>
          <w:rFonts w:ascii="宋体" w:hAnsi="宋体" w:hint="eastAsia"/>
          <w:sz w:val="21"/>
          <w:szCs w:val="21"/>
        </w:rPr>
        <w:t>5</w:t>
      </w:r>
      <w:r>
        <w:rPr>
          <w:rFonts w:ascii="宋体" w:hAnsi="宋体" w:hint="eastAsia"/>
          <w:sz w:val="21"/>
          <w:szCs w:val="21"/>
        </w:rPr>
        <w:t>月</w:t>
      </w:r>
      <w:r>
        <w:rPr>
          <w:rFonts w:ascii="宋体" w:hAnsi="宋体" w:hint="eastAsia"/>
          <w:sz w:val="21"/>
          <w:szCs w:val="21"/>
        </w:rPr>
        <w:t>18</w:t>
      </w:r>
      <w:r>
        <w:rPr>
          <w:rFonts w:ascii="宋体" w:hAnsi="宋体" w:hint="eastAsia"/>
          <w:sz w:val="21"/>
          <w:szCs w:val="21"/>
        </w:rPr>
        <w:t>日表决通过了</w:t>
      </w:r>
      <w:r>
        <w:rPr>
          <w:rFonts w:ascii="宋体" w:hAnsi="宋体" w:hint="eastAsia"/>
          <w:sz w:val="21"/>
          <w:szCs w:val="21"/>
        </w:rPr>
        <w:t>：</w:t>
      </w:r>
      <w:r>
        <w:rPr>
          <w:rFonts w:ascii="宋体" w:hAnsi="宋体" w:hint="eastAsia"/>
          <w:sz w:val="21"/>
          <w:szCs w:val="21"/>
        </w:rPr>
        <w:t>1.</w:t>
      </w:r>
      <w:r>
        <w:rPr>
          <w:rFonts w:ascii="宋体" w:hAnsi="宋体" w:hint="eastAsia"/>
          <w:sz w:val="21"/>
          <w:szCs w:val="21"/>
        </w:rPr>
        <w:t>《关于红土创新盐田港仓储物流封闭式基础设施证券投资基金产品</w:t>
      </w:r>
      <w:r>
        <w:rPr>
          <w:rFonts w:ascii="宋体" w:hAnsi="宋体" w:hint="eastAsia"/>
          <w:sz w:val="21"/>
          <w:szCs w:val="21"/>
        </w:rPr>
        <w:t>2023</w:t>
      </w:r>
      <w:r>
        <w:rPr>
          <w:rFonts w:ascii="宋体" w:hAnsi="宋体" w:hint="eastAsia"/>
          <w:sz w:val="21"/>
          <w:szCs w:val="21"/>
        </w:rPr>
        <w:t>年第一次扩募及新购入资产的议案》；</w:t>
      </w:r>
      <w:r>
        <w:rPr>
          <w:rFonts w:ascii="宋体" w:hAnsi="宋体" w:hint="eastAsia"/>
          <w:sz w:val="21"/>
          <w:szCs w:val="21"/>
        </w:rPr>
        <w:t>2.</w:t>
      </w:r>
      <w:r>
        <w:rPr>
          <w:rFonts w:ascii="宋体" w:hAnsi="宋体" w:hint="eastAsia"/>
          <w:sz w:val="21"/>
          <w:szCs w:val="21"/>
        </w:rPr>
        <w:t>《关于红土创新盐田港仓储物流封闭式基础设施证券投资基金产品</w:t>
      </w:r>
      <w:r>
        <w:rPr>
          <w:rFonts w:ascii="宋体" w:hAnsi="宋体" w:hint="eastAsia"/>
          <w:sz w:val="21"/>
          <w:szCs w:val="21"/>
        </w:rPr>
        <w:t>2023</w:t>
      </w:r>
      <w:r>
        <w:rPr>
          <w:rFonts w:ascii="宋体" w:hAnsi="宋体" w:hint="eastAsia"/>
          <w:sz w:val="21"/>
          <w:szCs w:val="21"/>
        </w:rPr>
        <w:t>年第一次扩募引入战略投资者</w:t>
      </w:r>
      <w:r>
        <w:rPr>
          <w:rFonts w:ascii="宋体" w:hAnsi="宋体" w:hint="eastAsia"/>
          <w:sz w:val="21"/>
          <w:szCs w:val="21"/>
        </w:rPr>
        <w:t>A</w:t>
      </w:r>
      <w:r>
        <w:rPr>
          <w:rFonts w:ascii="宋体" w:hAnsi="宋体" w:hint="eastAsia"/>
          <w:sz w:val="21"/>
          <w:szCs w:val="21"/>
        </w:rPr>
        <w:t>的议案》；</w:t>
      </w:r>
      <w:r>
        <w:rPr>
          <w:rFonts w:ascii="宋体" w:hAnsi="宋体" w:hint="eastAsia"/>
          <w:sz w:val="21"/>
          <w:szCs w:val="21"/>
        </w:rPr>
        <w:t>3.</w:t>
      </w:r>
      <w:r>
        <w:rPr>
          <w:rFonts w:ascii="宋体" w:hAnsi="宋体" w:hint="eastAsia"/>
          <w:sz w:val="21"/>
          <w:szCs w:val="21"/>
        </w:rPr>
        <w:t>《关于红土创新盐田港仓储物流封闭式基础设施证券投资基金产品</w:t>
      </w:r>
      <w:r>
        <w:rPr>
          <w:rFonts w:ascii="宋体" w:hAnsi="宋体" w:hint="eastAsia"/>
          <w:sz w:val="21"/>
          <w:szCs w:val="21"/>
        </w:rPr>
        <w:t>2023</w:t>
      </w:r>
      <w:r>
        <w:rPr>
          <w:rFonts w:ascii="宋体" w:hAnsi="宋体" w:hint="eastAsia"/>
          <w:sz w:val="21"/>
          <w:szCs w:val="21"/>
        </w:rPr>
        <w:t>年第一次扩募引入战略投资者</w:t>
      </w:r>
      <w:r>
        <w:rPr>
          <w:rFonts w:ascii="宋体" w:hAnsi="宋体" w:hint="eastAsia"/>
          <w:sz w:val="21"/>
          <w:szCs w:val="21"/>
        </w:rPr>
        <w:t>B</w:t>
      </w:r>
      <w:r>
        <w:rPr>
          <w:rFonts w:ascii="宋体" w:hAnsi="宋体" w:hint="eastAsia"/>
          <w:sz w:val="21"/>
          <w:szCs w:val="21"/>
        </w:rPr>
        <w:t>的议案》；</w:t>
      </w:r>
      <w:r>
        <w:rPr>
          <w:rFonts w:ascii="宋体" w:hAnsi="宋体" w:hint="eastAsia"/>
          <w:sz w:val="21"/>
          <w:szCs w:val="21"/>
        </w:rPr>
        <w:t>4.</w:t>
      </w:r>
      <w:r>
        <w:rPr>
          <w:rFonts w:ascii="宋体" w:hAnsi="宋体" w:hint="eastAsia"/>
          <w:sz w:val="21"/>
          <w:szCs w:val="21"/>
        </w:rPr>
        <w:t>《关于红土创新盐田港仓储物流封闭式基础设施证券投资基金产品</w:t>
      </w:r>
      <w:r>
        <w:rPr>
          <w:rFonts w:ascii="宋体" w:hAnsi="宋体" w:hint="eastAsia"/>
          <w:sz w:val="21"/>
          <w:szCs w:val="21"/>
        </w:rPr>
        <w:t>2023</w:t>
      </w:r>
      <w:r>
        <w:rPr>
          <w:rFonts w:ascii="宋体" w:hAnsi="宋体" w:hint="eastAsia"/>
          <w:sz w:val="21"/>
          <w:szCs w:val="21"/>
        </w:rPr>
        <w:t>年第一次扩募引入战略投资者</w:t>
      </w:r>
      <w:r>
        <w:rPr>
          <w:rFonts w:ascii="宋体" w:hAnsi="宋体" w:hint="eastAsia"/>
          <w:sz w:val="21"/>
          <w:szCs w:val="21"/>
        </w:rPr>
        <w:t>C</w:t>
      </w:r>
      <w:r>
        <w:rPr>
          <w:rFonts w:ascii="宋体" w:hAnsi="宋体" w:hint="eastAsia"/>
          <w:sz w:val="21"/>
          <w:szCs w:val="21"/>
        </w:rPr>
        <w:t>的议案》；</w:t>
      </w:r>
      <w:r>
        <w:rPr>
          <w:rFonts w:ascii="宋体" w:hAnsi="宋体" w:hint="eastAsia"/>
          <w:sz w:val="21"/>
          <w:szCs w:val="21"/>
        </w:rPr>
        <w:t>5.</w:t>
      </w:r>
      <w:r>
        <w:rPr>
          <w:rFonts w:ascii="宋体" w:hAnsi="宋体" w:hint="eastAsia"/>
          <w:sz w:val="21"/>
          <w:szCs w:val="21"/>
        </w:rPr>
        <w:t>《关于红土创新盐田港仓储物流封闭</w:t>
      </w:r>
      <w:r>
        <w:rPr>
          <w:rFonts w:ascii="宋体" w:hAnsi="宋体" w:hint="eastAsia"/>
          <w:sz w:val="21"/>
          <w:szCs w:val="21"/>
        </w:rPr>
        <w:t>式基础设施证券投资基金产品</w:t>
      </w:r>
      <w:r>
        <w:rPr>
          <w:rFonts w:ascii="宋体" w:hAnsi="宋体" w:hint="eastAsia"/>
          <w:sz w:val="21"/>
          <w:szCs w:val="21"/>
        </w:rPr>
        <w:t>2023</w:t>
      </w:r>
      <w:r>
        <w:rPr>
          <w:rFonts w:ascii="宋体" w:hAnsi="宋体" w:hint="eastAsia"/>
          <w:sz w:val="21"/>
          <w:szCs w:val="21"/>
        </w:rPr>
        <w:t>年第一次扩募引入战略投资者</w:t>
      </w:r>
      <w:r>
        <w:rPr>
          <w:rFonts w:ascii="宋体" w:hAnsi="宋体" w:hint="eastAsia"/>
          <w:sz w:val="21"/>
          <w:szCs w:val="21"/>
        </w:rPr>
        <w:t>D</w:t>
      </w:r>
      <w:r>
        <w:rPr>
          <w:rFonts w:ascii="宋体" w:hAnsi="宋体" w:hint="eastAsia"/>
          <w:sz w:val="21"/>
          <w:szCs w:val="21"/>
        </w:rPr>
        <w:t>的议案》；</w:t>
      </w:r>
      <w:r>
        <w:rPr>
          <w:rFonts w:ascii="宋体" w:hAnsi="宋体" w:hint="eastAsia"/>
          <w:sz w:val="21"/>
          <w:szCs w:val="21"/>
        </w:rPr>
        <w:t>6.</w:t>
      </w:r>
      <w:r>
        <w:rPr>
          <w:rFonts w:ascii="宋体" w:hAnsi="宋体" w:hint="eastAsia"/>
          <w:sz w:val="21"/>
          <w:szCs w:val="21"/>
        </w:rPr>
        <w:t>《关于红土创新盐田港仓储物流封闭式基础设施证券投资基金产品</w:t>
      </w:r>
      <w:r>
        <w:rPr>
          <w:rFonts w:ascii="宋体" w:hAnsi="宋体" w:hint="eastAsia"/>
          <w:sz w:val="21"/>
          <w:szCs w:val="21"/>
        </w:rPr>
        <w:t>2023</w:t>
      </w:r>
      <w:r>
        <w:rPr>
          <w:rFonts w:ascii="宋体" w:hAnsi="宋体" w:hint="eastAsia"/>
          <w:sz w:val="21"/>
          <w:szCs w:val="21"/>
        </w:rPr>
        <w:t>年第一次扩募引入战略投资者</w:t>
      </w:r>
      <w:r>
        <w:rPr>
          <w:rFonts w:ascii="宋体" w:hAnsi="宋体" w:hint="eastAsia"/>
          <w:sz w:val="21"/>
          <w:szCs w:val="21"/>
        </w:rPr>
        <w:t>E</w:t>
      </w:r>
      <w:r>
        <w:rPr>
          <w:rFonts w:ascii="宋体" w:hAnsi="宋体" w:hint="eastAsia"/>
          <w:sz w:val="21"/>
          <w:szCs w:val="21"/>
        </w:rPr>
        <w:t>的议案》；</w:t>
      </w:r>
      <w:r>
        <w:rPr>
          <w:rFonts w:ascii="宋体" w:hAnsi="宋体" w:hint="eastAsia"/>
          <w:sz w:val="21"/>
          <w:szCs w:val="21"/>
        </w:rPr>
        <w:t>7.</w:t>
      </w:r>
      <w:r>
        <w:rPr>
          <w:rFonts w:ascii="宋体" w:hAnsi="宋体" w:hint="eastAsia"/>
          <w:sz w:val="21"/>
          <w:szCs w:val="21"/>
        </w:rPr>
        <w:t>《关于红土创新盐田港仓储物流封闭式基础设施证券投资基金产品</w:t>
      </w:r>
      <w:r>
        <w:rPr>
          <w:rFonts w:ascii="宋体" w:hAnsi="宋体" w:hint="eastAsia"/>
          <w:sz w:val="21"/>
          <w:szCs w:val="21"/>
        </w:rPr>
        <w:t>2023</w:t>
      </w:r>
      <w:r>
        <w:rPr>
          <w:rFonts w:ascii="宋体" w:hAnsi="宋体" w:hint="eastAsia"/>
          <w:sz w:val="21"/>
          <w:szCs w:val="21"/>
        </w:rPr>
        <w:t>年第一次扩募引入战略投资者</w:t>
      </w:r>
      <w:r>
        <w:rPr>
          <w:rFonts w:ascii="宋体" w:hAnsi="宋体" w:hint="eastAsia"/>
          <w:sz w:val="21"/>
          <w:szCs w:val="21"/>
        </w:rPr>
        <w:t>F</w:t>
      </w:r>
      <w:r>
        <w:rPr>
          <w:rFonts w:ascii="宋体" w:hAnsi="宋体" w:hint="eastAsia"/>
          <w:sz w:val="21"/>
          <w:szCs w:val="21"/>
        </w:rPr>
        <w:t>的议案》；</w:t>
      </w:r>
      <w:r>
        <w:rPr>
          <w:rFonts w:ascii="宋体" w:hAnsi="宋体" w:hint="eastAsia"/>
          <w:sz w:val="21"/>
          <w:szCs w:val="21"/>
        </w:rPr>
        <w:t>8.</w:t>
      </w:r>
      <w:r>
        <w:rPr>
          <w:rFonts w:ascii="宋体" w:hAnsi="宋体" w:hint="eastAsia"/>
          <w:sz w:val="21"/>
          <w:szCs w:val="21"/>
        </w:rPr>
        <w:t>《关于红土创新盐田港仓储物流封闭式基础设施证券投资基金产品</w:t>
      </w:r>
      <w:r>
        <w:rPr>
          <w:rFonts w:ascii="宋体" w:hAnsi="宋体" w:hint="eastAsia"/>
          <w:sz w:val="21"/>
          <w:szCs w:val="21"/>
        </w:rPr>
        <w:t>2023</w:t>
      </w:r>
      <w:r>
        <w:rPr>
          <w:rFonts w:ascii="宋体" w:hAnsi="宋体" w:hint="eastAsia"/>
          <w:sz w:val="21"/>
          <w:szCs w:val="21"/>
        </w:rPr>
        <w:t>年第一次扩募引入战略投资者</w:t>
      </w:r>
      <w:r>
        <w:rPr>
          <w:rFonts w:ascii="宋体" w:hAnsi="宋体" w:hint="eastAsia"/>
          <w:sz w:val="21"/>
          <w:szCs w:val="21"/>
        </w:rPr>
        <w:t>G</w:t>
      </w:r>
      <w:r>
        <w:rPr>
          <w:rFonts w:ascii="宋体" w:hAnsi="宋体" w:hint="eastAsia"/>
          <w:sz w:val="21"/>
          <w:szCs w:val="21"/>
        </w:rPr>
        <w:t>的议案》；</w:t>
      </w:r>
      <w:r>
        <w:rPr>
          <w:rFonts w:ascii="宋体" w:hAnsi="宋体" w:hint="eastAsia"/>
          <w:sz w:val="21"/>
          <w:szCs w:val="21"/>
        </w:rPr>
        <w:t>9.</w:t>
      </w:r>
      <w:r>
        <w:rPr>
          <w:rFonts w:ascii="宋体" w:hAnsi="宋体" w:hint="eastAsia"/>
          <w:sz w:val="21"/>
          <w:szCs w:val="21"/>
        </w:rPr>
        <w:t>《关于红土创新盐田港仓储物流封闭式基础设施证券投资基金产品</w:t>
      </w:r>
      <w:r>
        <w:rPr>
          <w:rFonts w:ascii="宋体" w:hAnsi="宋体" w:hint="eastAsia"/>
          <w:sz w:val="21"/>
          <w:szCs w:val="21"/>
        </w:rPr>
        <w:t>2023</w:t>
      </w:r>
      <w:r>
        <w:rPr>
          <w:rFonts w:ascii="宋体" w:hAnsi="宋体" w:hint="eastAsia"/>
          <w:sz w:val="21"/>
          <w:szCs w:val="21"/>
        </w:rPr>
        <w:t>年第一次扩募引入战略投资者</w:t>
      </w:r>
      <w:r>
        <w:rPr>
          <w:rFonts w:ascii="宋体" w:hAnsi="宋体" w:hint="eastAsia"/>
          <w:sz w:val="21"/>
          <w:szCs w:val="21"/>
        </w:rPr>
        <w:t>H</w:t>
      </w:r>
      <w:r>
        <w:rPr>
          <w:rFonts w:ascii="宋体" w:hAnsi="宋体" w:hint="eastAsia"/>
          <w:sz w:val="21"/>
          <w:szCs w:val="21"/>
        </w:rPr>
        <w:t>的议案》；</w:t>
      </w:r>
      <w:r>
        <w:rPr>
          <w:rFonts w:ascii="宋体" w:hAnsi="宋体" w:hint="eastAsia"/>
          <w:sz w:val="21"/>
          <w:szCs w:val="21"/>
        </w:rPr>
        <w:t>10.</w:t>
      </w:r>
      <w:r>
        <w:rPr>
          <w:rFonts w:ascii="宋体" w:hAnsi="宋体" w:hint="eastAsia"/>
          <w:sz w:val="21"/>
          <w:szCs w:val="21"/>
        </w:rPr>
        <w:t>《</w:t>
      </w:r>
      <w:r>
        <w:rPr>
          <w:rFonts w:ascii="宋体" w:hAnsi="宋体" w:hint="eastAsia"/>
          <w:sz w:val="21"/>
          <w:szCs w:val="21"/>
        </w:rPr>
        <w:t>关于红土创新盐田港仓储物流封闭式基础设施证券投资基金产品</w:t>
      </w:r>
      <w:r>
        <w:rPr>
          <w:rFonts w:ascii="宋体" w:hAnsi="宋体" w:hint="eastAsia"/>
          <w:sz w:val="21"/>
          <w:szCs w:val="21"/>
        </w:rPr>
        <w:t>2023</w:t>
      </w:r>
      <w:r>
        <w:rPr>
          <w:rFonts w:ascii="宋体" w:hAnsi="宋体" w:hint="eastAsia"/>
          <w:sz w:val="21"/>
          <w:szCs w:val="21"/>
        </w:rPr>
        <w:t>年第一次扩募引入战略投资者</w:t>
      </w:r>
      <w:r>
        <w:rPr>
          <w:rFonts w:ascii="宋体" w:hAnsi="宋体" w:hint="eastAsia"/>
          <w:sz w:val="21"/>
          <w:szCs w:val="21"/>
        </w:rPr>
        <w:t>I</w:t>
      </w:r>
      <w:r>
        <w:rPr>
          <w:rFonts w:ascii="宋体" w:hAnsi="宋体" w:hint="eastAsia"/>
          <w:sz w:val="21"/>
          <w:szCs w:val="21"/>
        </w:rPr>
        <w:t>的议案》。</w:t>
      </w:r>
    </w:p>
    <w:p w:rsidR="00471678" w:rsidRDefault="00A80442">
      <w:pPr>
        <w:pStyle w:val="4"/>
        <w:spacing w:before="0" w:after="0" w:line="480" w:lineRule="auto"/>
        <w:rPr>
          <w:rFonts w:ascii="宋体" w:eastAsia="宋体" w:hAnsi="宋体" w:cs="宋体"/>
          <w:sz w:val="21"/>
          <w:szCs w:val="21"/>
        </w:rPr>
      </w:pPr>
      <w:bookmarkStart w:id="6" w:name="_Toc14429"/>
      <w:r>
        <w:rPr>
          <w:rFonts w:ascii="宋体" w:eastAsia="宋体" w:hAnsi="宋体" w:cs="宋体" w:hint="eastAsia"/>
          <w:sz w:val="21"/>
          <w:szCs w:val="21"/>
        </w:rPr>
        <w:t>（四）募集资金到账及验资情况</w:t>
      </w:r>
      <w:bookmarkEnd w:id="6"/>
    </w:p>
    <w:p w:rsidR="00471678" w:rsidRDefault="00A80442">
      <w:pPr>
        <w:spacing w:line="360" w:lineRule="auto"/>
        <w:ind w:firstLine="420"/>
        <w:rPr>
          <w:rFonts w:ascii="宋体" w:hAnsi="宋体"/>
          <w:sz w:val="21"/>
          <w:szCs w:val="21"/>
        </w:rPr>
      </w:pPr>
      <w:r>
        <w:rPr>
          <w:rFonts w:ascii="宋体" w:hAnsi="宋体" w:hint="eastAsia"/>
          <w:sz w:val="21"/>
          <w:szCs w:val="21"/>
        </w:rPr>
        <w:t>截至</w:t>
      </w:r>
      <w:r>
        <w:rPr>
          <w:rFonts w:ascii="宋体" w:hAnsi="宋体" w:hint="eastAsia"/>
          <w:sz w:val="21"/>
          <w:szCs w:val="21"/>
        </w:rPr>
        <w:t>2023</w:t>
      </w:r>
      <w:r>
        <w:rPr>
          <w:rFonts w:ascii="宋体" w:hAnsi="宋体" w:hint="eastAsia"/>
          <w:sz w:val="21"/>
          <w:szCs w:val="21"/>
        </w:rPr>
        <w:t>年</w:t>
      </w:r>
      <w:r>
        <w:rPr>
          <w:rFonts w:ascii="宋体" w:hAnsi="宋体" w:hint="eastAsia"/>
          <w:sz w:val="21"/>
          <w:szCs w:val="21"/>
        </w:rPr>
        <w:t>6</w:t>
      </w:r>
      <w:r>
        <w:rPr>
          <w:rFonts w:ascii="宋体" w:hAnsi="宋体" w:hint="eastAsia"/>
          <w:sz w:val="21"/>
          <w:szCs w:val="21"/>
        </w:rPr>
        <w:t>月</w:t>
      </w:r>
      <w:r>
        <w:rPr>
          <w:rFonts w:ascii="宋体" w:hAnsi="宋体" w:hint="eastAsia"/>
          <w:sz w:val="21"/>
          <w:szCs w:val="21"/>
        </w:rPr>
        <w:t>2</w:t>
      </w:r>
      <w:r>
        <w:rPr>
          <w:rFonts w:ascii="宋体" w:hAnsi="宋体" w:hint="eastAsia"/>
          <w:sz w:val="21"/>
          <w:szCs w:val="21"/>
        </w:rPr>
        <w:t>日止，红土创新盐田港仓储物流封闭式基础设施证券投资基金本次定向扩募发售且扣除认购费用后的募集资本人民币</w:t>
      </w:r>
      <w:r>
        <w:rPr>
          <w:rFonts w:ascii="宋体" w:hAnsi="宋体" w:hint="eastAsia"/>
          <w:sz w:val="21"/>
          <w:szCs w:val="21"/>
        </w:rPr>
        <w:t>414,799,995.60</w:t>
      </w:r>
      <w:r>
        <w:rPr>
          <w:rFonts w:ascii="宋体" w:hAnsi="宋体" w:hint="eastAsia"/>
          <w:sz w:val="21"/>
          <w:szCs w:val="21"/>
        </w:rPr>
        <w:t>元已划入开立于招商银行股份有限公司深圳分行营业部的账号为</w:t>
      </w:r>
      <w:r>
        <w:rPr>
          <w:rFonts w:ascii="宋体" w:hAnsi="宋体" w:hint="eastAsia"/>
          <w:sz w:val="21"/>
          <w:szCs w:val="21"/>
        </w:rPr>
        <w:t>755926875410123</w:t>
      </w:r>
      <w:r>
        <w:rPr>
          <w:rFonts w:ascii="宋体" w:hAnsi="宋体" w:hint="eastAsia"/>
          <w:sz w:val="21"/>
          <w:szCs w:val="21"/>
        </w:rPr>
        <w:t>的“红土创新盐田港仓储物流封闭式基础设施证券投资基金”托管专户，上述募集资本根据基金份额发售价格人民币</w:t>
      </w:r>
      <w:r>
        <w:rPr>
          <w:rFonts w:ascii="宋体" w:hAnsi="宋体" w:hint="eastAsia"/>
          <w:sz w:val="21"/>
          <w:szCs w:val="21"/>
        </w:rPr>
        <w:t>2.700</w:t>
      </w:r>
      <w:r>
        <w:rPr>
          <w:rFonts w:ascii="宋体" w:hAnsi="宋体" w:hint="eastAsia"/>
          <w:sz w:val="21"/>
          <w:szCs w:val="21"/>
        </w:rPr>
        <w:t>元</w:t>
      </w:r>
      <w:r>
        <w:rPr>
          <w:rFonts w:ascii="宋体" w:hAnsi="宋体" w:hint="eastAsia"/>
          <w:sz w:val="21"/>
          <w:szCs w:val="21"/>
        </w:rPr>
        <w:t>/</w:t>
      </w:r>
      <w:r>
        <w:rPr>
          <w:rFonts w:ascii="宋体" w:hAnsi="宋体" w:hint="eastAsia"/>
          <w:sz w:val="21"/>
          <w:szCs w:val="21"/>
        </w:rPr>
        <w:t>份折合为</w:t>
      </w:r>
      <w:r>
        <w:rPr>
          <w:rFonts w:ascii="宋体" w:hAnsi="宋体" w:hint="eastAsia"/>
          <w:sz w:val="21"/>
          <w:szCs w:val="21"/>
        </w:rPr>
        <w:t>153,629,6</w:t>
      </w:r>
      <w:r>
        <w:rPr>
          <w:rFonts w:ascii="宋体" w:hAnsi="宋体" w:hint="eastAsia"/>
          <w:sz w:val="21"/>
          <w:szCs w:val="21"/>
        </w:rPr>
        <w:t>28.00</w:t>
      </w:r>
      <w:r>
        <w:rPr>
          <w:rFonts w:ascii="宋体" w:hAnsi="宋体" w:hint="eastAsia"/>
          <w:sz w:val="21"/>
          <w:szCs w:val="21"/>
        </w:rPr>
        <w:t>份基金份额。上述募集资本的实收情况业经普华永道中天会计师事务所</w:t>
      </w:r>
      <w:r>
        <w:rPr>
          <w:rFonts w:ascii="宋体" w:hAnsi="宋体" w:hint="eastAsia"/>
          <w:sz w:val="21"/>
          <w:szCs w:val="21"/>
        </w:rPr>
        <w:t>(</w:t>
      </w:r>
      <w:r>
        <w:rPr>
          <w:rFonts w:ascii="宋体" w:hAnsi="宋体" w:hint="eastAsia"/>
          <w:sz w:val="21"/>
          <w:szCs w:val="21"/>
        </w:rPr>
        <w:t>特殊普通合伙</w:t>
      </w:r>
      <w:r>
        <w:rPr>
          <w:rFonts w:ascii="宋体" w:hAnsi="宋体" w:hint="eastAsia"/>
          <w:sz w:val="21"/>
          <w:szCs w:val="21"/>
        </w:rPr>
        <w:t>)</w:t>
      </w:r>
      <w:r>
        <w:rPr>
          <w:rFonts w:ascii="宋体" w:hAnsi="宋体" w:hint="eastAsia"/>
          <w:sz w:val="21"/>
          <w:szCs w:val="21"/>
        </w:rPr>
        <w:t>审验，并于</w:t>
      </w:r>
      <w:r>
        <w:rPr>
          <w:rFonts w:ascii="宋体" w:hAnsi="宋体" w:hint="eastAsia"/>
          <w:sz w:val="21"/>
          <w:szCs w:val="21"/>
        </w:rPr>
        <w:t>2023</w:t>
      </w:r>
      <w:r>
        <w:rPr>
          <w:rFonts w:ascii="宋体" w:hAnsi="宋体" w:hint="eastAsia"/>
          <w:sz w:val="21"/>
          <w:szCs w:val="21"/>
        </w:rPr>
        <w:t>年</w:t>
      </w:r>
      <w:r>
        <w:rPr>
          <w:rFonts w:ascii="宋体" w:hAnsi="宋体" w:hint="eastAsia"/>
          <w:sz w:val="21"/>
          <w:szCs w:val="21"/>
        </w:rPr>
        <w:t>6</w:t>
      </w:r>
      <w:r>
        <w:rPr>
          <w:rFonts w:ascii="宋体" w:hAnsi="宋体" w:hint="eastAsia"/>
          <w:sz w:val="21"/>
          <w:szCs w:val="21"/>
        </w:rPr>
        <w:t>月</w:t>
      </w:r>
      <w:r>
        <w:rPr>
          <w:rFonts w:ascii="宋体" w:hAnsi="宋体" w:hint="eastAsia"/>
          <w:sz w:val="21"/>
          <w:szCs w:val="21"/>
        </w:rPr>
        <w:t>2</w:t>
      </w:r>
      <w:r>
        <w:rPr>
          <w:rFonts w:ascii="宋体" w:hAnsi="宋体" w:hint="eastAsia"/>
          <w:sz w:val="21"/>
          <w:szCs w:val="21"/>
        </w:rPr>
        <w:t>日出具普华永道中天验字</w:t>
      </w:r>
      <w:r>
        <w:rPr>
          <w:rFonts w:ascii="宋体" w:hAnsi="宋体" w:hint="eastAsia"/>
          <w:sz w:val="21"/>
          <w:szCs w:val="21"/>
        </w:rPr>
        <w:t>(2023)</w:t>
      </w:r>
      <w:r>
        <w:rPr>
          <w:rFonts w:ascii="宋体" w:hAnsi="宋体" w:hint="eastAsia"/>
          <w:sz w:val="21"/>
          <w:szCs w:val="21"/>
        </w:rPr>
        <w:t>第</w:t>
      </w:r>
      <w:r>
        <w:rPr>
          <w:rFonts w:ascii="宋体" w:hAnsi="宋体" w:hint="eastAsia"/>
          <w:sz w:val="21"/>
          <w:szCs w:val="21"/>
        </w:rPr>
        <w:t>0314</w:t>
      </w:r>
      <w:r>
        <w:rPr>
          <w:rFonts w:ascii="宋体" w:hAnsi="宋体" w:hint="eastAsia"/>
          <w:sz w:val="21"/>
          <w:szCs w:val="21"/>
        </w:rPr>
        <w:t>号资报告。</w:t>
      </w:r>
    </w:p>
    <w:p w:rsidR="00471678" w:rsidRDefault="00A80442">
      <w:pPr>
        <w:pStyle w:val="4"/>
        <w:spacing w:before="0" w:after="0" w:line="480" w:lineRule="auto"/>
        <w:rPr>
          <w:rFonts w:ascii="宋体" w:eastAsia="宋体" w:hAnsi="宋体" w:cs="宋体"/>
          <w:sz w:val="21"/>
          <w:szCs w:val="21"/>
        </w:rPr>
      </w:pPr>
      <w:bookmarkStart w:id="7" w:name="_Toc30578"/>
      <w:r>
        <w:rPr>
          <w:rFonts w:ascii="宋体" w:eastAsia="宋体" w:hAnsi="宋体" w:cs="宋体" w:hint="eastAsia"/>
          <w:sz w:val="21"/>
          <w:szCs w:val="21"/>
        </w:rPr>
        <w:t>（五）基金份额登记情况</w:t>
      </w:r>
      <w:bookmarkEnd w:id="7"/>
    </w:p>
    <w:p w:rsidR="00471678" w:rsidRDefault="00A80442">
      <w:pPr>
        <w:spacing w:line="360" w:lineRule="auto"/>
        <w:ind w:firstLine="420"/>
        <w:rPr>
          <w:rFonts w:ascii="宋体" w:hAnsi="宋体"/>
          <w:sz w:val="21"/>
          <w:szCs w:val="21"/>
        </w:rPr>
      </w:pPr>
      <w:r>
        <w:rPr>
          <w:rFonts w:ascii="宋体" w:hAnsi="宋体" w:hint="eastAsia"/>
          <w:sz w:val="21"/>
          <w:szCs w:val="21"/>
        </w:rPr>
        <w:t>本基金管理人已在中国证券登记结算有限责任公司深圳分公司办理本次</w:t>
      </w:r>
      <w:r>
        <w:rPr>
          <w:rFonts w:ascii="宋体" w:hAnsi="宋体" w:hint="eastAsia"/>
          <w:sz w:val="21"/>
          <w:szCs w:val="21"/>
        </w:rPr>
        <w:t>发售</w:t>
      </w:r>
      <w:r>
        <w:rPr>
          <w:rFonts w:ascii="宋体" w:hAnsi="宋体" w:hint="eastAsia"/>
          <w:sz w:val="21"/>
          <w:szCs w:val="21"/>
        </w:rPr>
        <w:t>新增基金份额的登记等相关事宜。本次</w:t>
      </w:r>
      <w:r>
        <w:rPr>
          <w:rFonts w:ascii="宋体" w:hAnsi="宋体" w:hint="eastAsia"/>
          <w:sz w:val="21"/>
          <w:szCs w:val="21"/>
        </w:rPr>
        <w:t>发售</w:t>
      </w:r>
      <w:r>
        <w:rPr>
          <w:rFonts w:ascii="宋体" w:hAnsi="宋体" w:hint="eastAsia"/>
          <w:sz w:val="21"/>
          <w:szCs w:val="21"/>
        </w:rPr>
        <w:t>新增基金份额为有限售条件的基金份额，将于限售期届满后在深交所上市流通交易。</w:t>
      </w:r>
    </w:p>
    <w:p w:rsidR="00471678" w:rsidRDefault="00A80442">
      <w:pPr>
        <w:pStyle w:val="3"/>
        <w:spacing w:line="360" w:lineRule="auto"/>
        <w:rPr>
          <w:rFonts w:ascii="宋体" w:hAnsi="宋体" w:cs="宋体"/>
          <w:sz w:val="21"/>
          <w:szCs w:val="21"/>
        </w:rPr>
      </w:pPr>
      <w:bookmarkStart w:id="8" w:name="_Toc5011"/>
      <w:r>
        <w:rPr>
          <w:rFonts w:ascii="宋体" w:hAnsi="宋体" w:cs="宋体" w:hint="eastAsia"/>
          <w:sz w:val="21"/>
          <w:szCs w:val="21"/>
        </w:rPr>
        <w:t>二、本次</w:t>
      </w:r>
      <w:r>
        <w:rPr>
          <w:rFonts w:ascii="宋体" w:hAnsi="宋体" w:cs="宋体" w:hint="eastAsia"/>
          <w:sz w:val="21"/>
          <w:szCs w:val="21"/>
        </w:rPr>
        <w:t>发售</w:t>
      </w:r>
      <w:r>
        <w:rPr>
          <w:rFonts w:ascii="宋体" w:hAnsi="宋体" w:cs="宋体" w:hint="eastAsia"/>
          <w:sz w:val="21"/>
          <w:szCs w:val="21"/>
        </w:rPr>
        <w:t>的基本情况</w:t>
      </w:r>
      <w:bookmarkEnd w:id="8"/>
    </w:p>
    <w:p w:rsidR="00471678" w:rsidRDefault="00A80442">
      <w:pPr>
        <w:pStyle w:val="4"/>
        <w:spacing w:before="0" w:after="0" w:line="480" w:lineRule="auto"/>
        <w:rPr>
          <w:rFonts w:ascii="宋体" w:eastAsia="宋体" w:hAnsi="宋体" w:cs="宋体"/>
          <w:sz w:val="21"/>
          <w:szCs w:val="21"/>
        </w:rPr>
      </w:pPr>
      <w:bookmarkStart w:id="9" w:name="_Toc11073"/>
      <w:r>
        <w:rPr>
          <w:rFonts w:ascii="宋体" w:eastAsia="宋体" w:hAnsi="宋体" w:cs="宋体" w:hint="eastAsia"/>
          <w:sz w:val="21"/>
          <w:szCs w:val="21"/>
        </w:rPr>
        <w:t>（一）</w:t>
      </w:r>
      <w:r>
        <w:rPr>
          <w:rFonts w:ascii="宋体" w:eastAsia="宋体" w:hAnsi="宋体" w:cs="宋体" w:hint="eastAsia"/>
          <w:sz w:val="21"/>
          <w:szCs w:val="21"/>
        </w:rPr>
        <w:t>发售</w:t>
      </w:r>
      <w:r>
        <w:rPr>
          <w:rFonts w:ascii="宋体" w:eastAsia="宋体" w:hAnsi="宋体" w:cs="宋体" w:hint="eastAsia"/>
          <w:sz w:val="21"/>
          <w:szCs w:val="21"/>
        </w:rPr>
        <w:t>方式</w:t>
      </w:r>
      <w:bookmarkEnd w:id="9"/>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本基金本次扩募向特定对象发售（定向扩募）。</w:t>
      </w:r>
    </w:p>
    <w:p w:rsidR="00471678" w:rsidRDefault="00A80442">
      <w:pPr>
        <w:pStyle w:val="4"/>
        <w:spacing w:before="0" w:after="0" w:line="480" w:lineRule="auto"/>
        <w:rPr>
          <w:rFonts w:ascii="宋体" w:eastAsia="宋体" w:hAnsi="宋体" w:cs="宋体"/>
          <w:sz w:val="21"/>
          <w:szCs w:val="21"/>
        </w:rPr>
      </w:pPr>
      <w:bookmarkStart w:id="10" w:name="_Toc30584"/>
      <w:r>
        <w:rPr>
          <w:rFonts w:ascii="宋体" w:eastAsia="宋体" w:hAnsi="宋体" w:cs="宋体"/>
          <w:sz w:val="21"/>
          <w:szCs w:val="21"/>
        </w:rPr>
        <w:t>（</w:t>
      </w:r>
      <w:r>
        <w:rPr>
          <w:rFonts w:ascii="宋体" w:eastAsia="宋体" w:hAnsi="宋体" w:cs="宋体" w:hint="eastAsia"/>
          <w:sz w:val="21"/>
          <w:szCs w:val="21"/>
        </w:rPr>
        <w:t>二</w:t>
      </w:r>
      <w:r>
        <w:rPr>
          <w:rFonts w:ascii="宋体" w:eastAsia="宋体" w:hAnsi="宋体" w:cs="宋体"/>
          <w:sz w:val="21"/>
          <w:szCs w:val="21"/>
        </w:rPr>
        <w:t>）</w:t>
      </w:r>
      <w:r>
        <w:rPr>
          <w:rFonts w:ascii="宋体" w:eastAsia="宋体" w:hAnsi="宋体" w:cs="宋体" w:hint="eastAsia"/>
          <w:sz w:val="21"/>
          <w:szCs w:val="21"/>
        </w:rPr>
        <w:t>发售</w:t>
      </w:r>
      <w:r>
        <w:rPr>
          <w:rFonts w:ascii="宋体" w:eastAsia="宋体" w:hAnsi="宋体" w:cs="宋体"/>
          <w:sz w:val="21"/>
          <w:szCs w:val="21"/>
        </w:rPr>
        <w:t>价格</w:t>
      </w:r>
      <w:bookmarkEnd w:id="10"/>
    </w:p>
    <w:p w:rsidR="00471678" w:rsidRDefault="00A80442">
      <w:pPr>
        <w:spacing w:line="360" w:lineRule="auto"/>
        <w:ind w:firstLine="420"/>
        <w:rPr>
          <w:rFonts w:ascii="宋体" w:hAnsi="宋体" w:cs="宋体"/>
          <w:sz w:val="21"/>
          <w:szCs w:val="21"/>
        </w:rPr>
      </w:pPr>
      <w:r>
        <w:rPr>
          <w:rFonts w:ascii="宋体" w:hAnsi="宋体" w:cs="宋体"/>
          <w:sz w:val="21"/>
          <w:szCs w:val="21"/>
        </w:rPr>
        <w:t>本次扩募的定价基准日为基金本次扩募的发售期首日</w:t>
      </w:r>
      <w:r>
        <w:rPr>
          <w:rFonts w:ascii="宋体" w:hAnsi="宋体" w:cs="宋体" w:hint="eastAsia"/>
          <w:sz w:val="21"/>
          <w:szCs w:val="21"/>
        </w:rPr>
        <w:t>（</w:t>
      </w:r>
      <w:r>
        <w:rPr>
          <w:rFonts w:ascii="宋体" w:hAnsi="宋体" w:cs="宋体" w:hint="eastAsia"/>
          <w:sz w:val="21"/>
          <w:szCs w:val="21"/>
        </w:rPr>
        <w:t>2023</w:t>
      </w:r>
      <w:r>
        <w:rPr>
          <w:rFonts w:ascii="宋体" w:hAnsi="宋体" w:cs="宋体" w:hint="eastAsia"/>
          <w:sz w:val="21"/>
          <w:szCs w:val="21"/>
        </w:rPr>
        <w:t>年</w:t>
      </w:r>
      <w:r>
        <w:rPr>
          <w:rFonts w:ascii="宋体" w:hAnsi="宋体" w:cs="宋体" w:hint="eastAsia"/>
          <w:sz w:val="21"/>
          <w:szCs w:val="21"/>
        </w:rPr>
        <w:t>5</w:t>
      </w:r>
      <w:r>
        <w:rPr>
          <w:rFonts w:ascii="宋体" w:hAnsi="宋体" w:cs="宋体" w:hint="eastAsia"/>
          <w:sz w:val="21"/>
          <w:szCs w:val="21"/>
        </w:rPr>
        <w:t>月</w:t>
      </w:r>
      <w:r>
        <w:rPr>
          <w:rFonts w:ascii="宋体" w:hAnsi="宋体" w:cs="宋体" w:hint="eastAsia"/>
          <w:sz w:val="21"/>
          <w:szCs w:val="21"/>
        </w:rPr>
        <w:t>24</w:t>
      </w:r>
      <w:r>
        <w:rPr>
          <w:rFonts w:ascii="宋体" w:hAnsi="宋体" w:cs="宋体" w:hint="eastAsia"/>
          <w:sz w:val="21"/>
          <w:szCs w:val="21"/>
        </w:rPr>
        <w:t>日）</w:t>
      </w:r>
      <w:r>
        <w:rPr>
          <w:rFonts w:ascii="宋体" w:hAnsi="宋体" w:cs="宋体"/>
          <w:sz w:val="21"/>
          <w:szCs w:val="21"/>
        </w:rPr>
        <w:t>。本次扩募的发售价格不低于定价基准日前</w:t>
      </w:r>
      <w:r>
        <w:rPr>
          <w:rFonts w:ascii="宋体" w:hAnsi="宋体" w:cs="宋体"/>
          <w:sz w:val="21"/>
          <w:szCs w:val="21"/>
        </w:rPr>
        <w:t>20</w:t>
      </w:r>
      <w:r>
        <w:rPr>
          <w:rFonts w:ascii="宋体" w:hAnsi="宋体" w:cs="宋体"/>
          <w:sz w:val="21"/>
          <w:szCs w:val="21"/>
        </w:rPr>
        <w:t>个交易日基础设施基金交易均价的</w:t>
      </w:r>
      <w:r>
        <w:rPr>
          <w:rFonts w:ascii="宋体" w:hAnsi="宋体" w:cs="宋体"/>
          <w:sz w:val="21"/>
          <w:szCs w:val="21"/>
        </w:rPr>
        <w:t>90%</w:t>
      </w:r>
      <w:r>
        <w:rPr>
          <w:rFonts w:ascii="宋体" w:hAnsi="宋体" w:cs="宋体" w:hint="eastAsia"/>
          <w:sz w:val="21"/>
          <w:szCs w:val="21"/>
        </w:rPr>
        <w:t>，即不低于</w:t>
      </w:r>
      <w:r>
        <w:rPr>
          <w:rFonts w:ascii="宋体" w:hAnsi="宋体" w:cs="宋体" w:hint="eastAsia"/>
          <w:sz w:val="21"/>
          <w:szCs w:val="21"/>
        </w:rPr>
        <w:t>2.579</w:t>
      </w:r>
      <w:r>
        <w:rPr>
          <w:rFonts w:ascii="宋体" w:hAnsi="宋体" w:cs="宋体" w:hint="eastAsia"/>
          <w:sz w:val="21"/>
          <w:szCs w:val="21"/>
        </w:rPr>
        <w:t>元</w:t>
      </w:r>
      <w:r>
        <w:rPr>
          <w:rFonts w:ascii="宋体" w:hAnsi="宋体" w:cs="宋体" w:hint="eastAsia"/>
          <w:sz w:val="21"/>
          <w:szCs w:val="21"/>
        </w:rPr>
        <w:t>/</w:t>
      </w:r>
      <w:r>
        <w:rPr>
          <w:rFonts w:ascii="宋体" w:hAnsi="宋体" w:cs="宋体" w:hint="eastAsia"/>
          <w:sz w:val="21"/>
          <w:szCs w:val="21"/>
        </w:rPr>
        <w:t>份</w:t>
      </w:r>
      <w:r>
        <w:rPr>
          <w:rFonts w:ascii="宋体" w:hAnsi="宋体" w:cs="宋体"/>
          <w:sz w:val="21"/>
          <w:szCs w:val="21"/>
        </w:rPr>
        <w:t>。</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根据</w:t>
      </w:r>
      <w:r>
        <w:rPr>
          <w:rFonts w:ascii="宋体" w:hAnsi="宋体" w:cs="宋体"/>
          <w:sz w:val="21"/>
          <w:szCs w:val="21"/>
        </w:rPr>
        <w:t>本次定向扩募</w:t>
      </w:r>
      <w:r>
        <w:rPr>
          <w:rFonts w:ascii="宋体" w:hAnsi="宋体" w:cs="宋体" w:hint="eastAsia"/>
          <w:sz w:val="21"/>
          <w:szCs w:val="21"/>
        </w:rPr>
        <w:t>的全部有效报价情况，按照“认购价格优先、认购金额优先、认购时间优先”的原则，最终确定本次扩募的</w:t>
      </w:r>
      <w:r>
        <w:rPr>
          <w:rFonts w:ascii="宋体" w:hAnsi="宋体" w:cs="宋体" w:hint="eastAsia"/>
          <w:sz w:val="21"/>
          <w:szCs w:val="21"/>
        </w:rPr>
        <w:t>发售</w:t>
      </w:r>
      <w:r>
        <w:rPr>
          <w:rFonts w:ascii="宋体" w:hAnsi="宋体" w:cs="宋体" w:hint="eastAsia"/>
          <w:sz w:val="21"/>
          <w:szCs w:val="21"/>
        </w:rPr>
        <w:t>价格为</w:t>
      </w:r>
      <w:r>
        <w:rPr>
          <w:rFonts w:ascii="宋体" w:hAnsi="宋体" w:cs="宋体" w:hint="eastAsia"/>
          <w:sz w:val="21"/>
          <w:szCs w:val="21"/>
        </w:rPr>
        <w:t>2.700</w:t>
      </w:r>
      <w:r>
        <w:rPr>
          <w:rFonts w:ascii="宋体" w:hAnsi="宋体" w:cs="宋体" w:hint="eastAsia"/>
          <w:sz w:val="21"/>
          <w:szCs w:val="21"/>
        </w:rPr>
        <w:t>元</w:t>
      </w:r>
      <w:r>
        <w:rPr>
          <w:rFonts w:ascii="宋体" w:hAnsi="宋体" w:cs="宋体" w:hint="eastAsia"/>
          <w:sz w:val="21"/>
          <w:szCs w:val="21"/>
        </w:rPr>
        <w:t>/</w:t>
      </w:r>
      <w:r>
        <w:rPr>
          <w:rFonts w:ascii="宋体" w:hAnsi="宋体" w:cs="宋体" w:hint="eastAsia"/>
          <w:sz w:val="21"/>
          <w:szCs w:val="21"/>
        </w:rPr>
        <w:t>份，</w:t>
      </w:r>
      <w:r>
        <w:rPr>
          <w:rFonts w:ascii="宋体" w:hAnsi="宋体" w:cs="宋体"/>
          <w:sz w:val="21"/>
          <w:szCs w:val="21"/>
        </w:rPr>
        <w:t>不低于定价基准日前</w:t>
      </w:r>
      <w:r>
        <w:rPr>
          <w:rFonts w:ascii="宋体" w:hAnsi="宋体" w:cs="宋体"/>
          <w:sz w:val="21"/>
          <w:szCs w:val="21"/>
        </w:rPr>
        <w:t>20</w:t>
      </w:r>
      <w:r>
        <w:rPr>
          <w:rFonts w:ascii="宋体" w:hAnsi="宋体" w:cs="宋体"/>
          <w:sz w:val="21"/>
          <w:szCs w:val="21"/>
        </w:rPr>
        <w:t>个交易日基础设施基金交易均价的</w:t>
      </w:r>
      <w:r>
        <w:rPr>
          <w:rFonts w:ascii="宋体" w:hAnsi="宋体" w:cs="宋体"/>
          <w:sz w:val="21"/>
          <w:szCs w:val="21"/>
        </w:rPr>
        <w:t>90%</w:t>
      </w:r>
      <w:r>
        <w:rPr>
          <w:rFonts w:ascii="宋体" w:hAnsi="宋体" w:cs="宋体"/>
          <w:sz w:val="21"/>
          <w:szCs w:val="21"/>
        </w:rPr>
        <w:t>。</w:t>
      </w:r>
    </w:p>
    <w:p w:rsidR="00471678" w:rsidRDefault="00A80442">
      <w:pPr>
        <w:pStyle w:val="4"/>
        <w:spacing w:before="0" w:after="0" w:line="480" w:lineRule="auto"/>
        <w:rPr>
          <w:rFonts w:ascii="宋体" w:eastAsia="宋体" w:hAnsi="宋体" w:cs="宋体"/>
          <w:sz w:val="21"/>
          <w:szCs w:val="21"/>
        </w:rPr>
      </w:pPr>
      <w:bookmarkStart w:id="11" w:name="_Toc4796"/>
      <w:r>
        <w:rPr>
          <w:rFonts w:ascii="宋体" w:eastAsia="宋体" w:hAnsi="宋体" w:cs="宋体" w:hint="eastAsia"/>
          <w:sz w:val="21"/>
          <w:szCs w:val="21"/>
        </w:rPr>
        <w:t>（三）</w:t>
      </w:r>
      <w:r>
        <w:rPr>
          <w:rFonts w:ascii="宋体" w:eastAsia="宋体" w:hAnsi="宋体" w:cs="宋体" w:hint="eastAsia"/>
          <w:sz w:val="21"/>
          <w:szCs w:val="21"/>
        </w:rPr>
        <w:t>发售</w:t>
      </w:r>
      <w:r>
        <w:rPr>
          <w:rFonts w:ascii="宋体" w:eastAsia="宋体" w:hAnsi="宋体" w:cs="宋体" w:hint="eastAsia"/>
          <w:sz w:val="21"/>
          <w:szCs w:val="21"/>
        </w:rPr>
        <w:t>金额及份额</w:t>
      </w:r>
      <w:bookmarkEnd w:id="11"/>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根据投资者认购情况，本次扩募发售募集资金总额为</w:t>
      </w:r>
      <w:r>
        <w:rPr>
          <w:rFonts w:ascii="宋体" w:hAnsi="宋体" w:cs="宋体" w:hint="eastAsia"/>
          <w:sz w:val="21"/>
          <w:szCs w:val="21"/>
        </w:rPr>
        <w:t>414,799,995.6</w:t>
      </w:r>
      <w:r>
        <w:rPr>
          <w:rFonts w:ascii="宋体" w:hAnsi="宋体" w:cs="宋体" w:hint="eastAsia"/>
          <w:sz w:val="21"/>
          <w:szCs w:val="21"/>
        </w:rPr>
        <w:t>元</w:t>
      </w:r>
      <w:r>
        <w:rPr>
          <w:rFonts w:ascii="宋体" w:hAnsi="宋体" w:cs="宋体" w:hint="eastAsia"/>
          <w:sz w:val="21"/>
          <w:szCs w:val="21"/>
        </w:rPr>
        <w:t>（不含募集期间利息）</w:t>
      </w:r>
      <w:r>
        <w:rPr>
          <w:rFonts w:ascii="宋体" w:hAnsi="宋体" w:cs="宋体" w:hint="eastAsia"/>
          <w:sz w:val="21"/>
          <w:szCs w:val="21"/>
        </w:rPr>
        <w:t>，扩募发售基金份额</w:t>
      </w:r>
      <w:r>
        <w:rPr>
          <w:rFonts w:ascii="宋体" w:hAnsi="宋体" w:cs="宋体" w:hint="eastAsia"/>
          <w:sz w:val="21"/>
          <w:szCs w:val="21"/>
        </w:rPr>
        <w:t>共计</w:t>
      </w:r>
      <w:r>
        <w:rPr>
          <w:rFonts w:ascii="宋体" w:hAnsi="宋体" w:cs="宋体" w:hint="eastAsia"/>
          <w:sz w:val="21"/>
          <w:szCs w:val="21"/>
        </w:rPr>
        <w:t>153,629,628</w:t>
      </w:r>
      <w:r>
        <w:rPr>
          <w:rFonts w:ascii="宋体" w:hAnsi="宋体" w:cs="宋体" w:hint="eastAsia"/>
          <w:sz w:val="21"/>
          <w:szCs w:val="21"/>
        </w:rPr>
        <w:t>份，符合基金持有人大会议案中发售金额不超过</w:t>
      </w:r>
      <w:r>
        <w:rPr>
          <w:rFonts w:ascii="宋体" w:hAnsi="宋体" w:cs="宋体" w:hint="eastAsia"/>
          <w:sz w:val="21"/>
          <w:szCs w:val="21"/>
        </w:rPr>
        <w:t>4.148</w:t>
      </w:r>
      <w:r>
        <w:rPr>
          <w:rFonts w:ascii="宋体" w:hAnsi="宋体" w:cs="宋体" w:hint="eastAsia"/>
          <w:sz w:val="21"/>
          <w:szCs w:val="21"/>
        </w:rPr>
        <w:t>亿元（含）、发售份额上限为</w:t>
      </w:r>
      <w:r>
        <w:rPr>
          <w:rFonts w:ascii="宋体" w:hAnsi="宋体" w:cs="宋体" w:hint="eastAsia"/>
          <w:sz w:val="21"/>
          <w:szCs w:val="21"/>
        </w:rPr>
        <w:t>1.6</w:t>
      </w:r>
      <w:r>
        <w:rPr>
          <w:rFonts w:ascii="宋体" w:hAnsi="宋体" w:cs="宋体" w:hint="eastAsia"/>
          <w:sz w:val="21"/>
          <w:szCs w:val="21"/>
        </w:rPr>
        <w:t>亿份（含）的要求。</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有效认购款项在募集期间产生的利息</w:t>
      </w:r>
      <w:r>
        <w:rPr>
          <w:rFonts w:ascii="宋体" w:hAnsi="宋体" w:cs="宋体" w:hint="eastAsia"/>
          <w:sz w:val="21"/>
          <w:szCs w:val="21"/>
        </w:rPr>
        <w:t>47,168.51</w:t>
      </w:r>
      <w:r>
        <w:rPr>
          <w:rFonts w:ascii="宋体" w:hAnsi="宋体" w:cs="宋体" w:hint="eastAsia"/>
          <w:sz w:val="21"/>
          <w:szCs w:val="21"/>
        </w:rPr>
        <w:t>元</w:t>
      </w:r>
      <w:r>
        <w:rPr>
          <w:rFonts w:ascii="宋体" w:hAnsi="宋体" w:cs="宋体" w:hint="eastAsia"/>
          <w:sz w:val="21"/>
          <w:szCs w:val="21"/>
        </w:rPr>
        <w:t>，计入基金财产，不折算为投资人基金份额。</w:t>
      </w:r>
    </w:p>
    <w:p w:rsidR="00471678" w:rsidRDefault="00A80442">
      <w:pPr>
        <w:pStyle w:val="4"/>
        <w:spacing w:before="0" w:after="0" w:line="480" w:lineRule="auto"/>
        <w:rPr>
          <w:rFonts w:ascii="宋体" w:eastAsia="宋体" w:hAnsi="宋体" w:cs="宋体"/>
          <w:sz w:val="21"/>
          <w:szCs w:val="21"/>
        </w:rPr>
      </w:pPr>
      <w:bookmarkStart w:id="12" w:name="_Toc21543"/>
      <w:r>
        <w:rPr>
          <w:rFonts w:ascii="宋体" w:eastAsia="宋体" w:hAnsi="宋体" w:cs="宋体" w:hint="eastAsia"/>
          <w:sz w:val="21"/>
          <w:szCs w:val="21"/>
        </w:rPr>
        <w:t>（四）限售期</w:t>
      </w:r>
      <w:bookmarkEnd w:id="12"/>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根据《基础设施基金指引》《发售业务指引》《新购入基础设施项目指引》等规定的要求，本次扩募的基金份额限售期安排见下：</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、新购入基础设施项目的原始权益人或其同一控制下的关联方通过定向扩募持有的基金份额，占基金份额扩募发售总量</w:t>
      </w:r>
      <w:r>
        <w:rPr>
          <w:rFonts w:ascii="宋体" w:hAnsi="宋体" w:cs="宋体" w:hint="eastAsia"/>
          <w:sz w:val="21"/>
          <w:szCs w:val="21"/>
        </w:rPr>
        <w:t>20%</w:t>
      </w:r>
      <w:r>
        <w:rPr>
          <w:rFonts w:ascii="宋体" w:hAnsi="宋体" w:cs="宋体" w:hint="eastAsia"/>
          <w:sz w:val="21"/>
          <w:szCs w:val="21"/>
        </w:rPr>
        <w:t>的部分持有期自上市之日起不少于</w:t>
      </w:r>
      <w:r>
        <w:rPr>
          <w:rFonts w:ascii="宋体" w:hAnsi="宋体" w:cs="宋体" w:hint="eastAsia"/>
          <w:sz w:val="21"/>
          <w:szCs w:val="21"/>
        </w:rPr>
        <w:t>60</w:t>
      </w:r>
      <w:r>
        <w:rPr>
          <w:rFonts w:ascii="宋体" w:hAnsi="宋体" w:cs="宋体" w:hint="eastAsia"/>
          <w:sz w:val="21"/>
          <w:szCs w:val="21"/>
        </w:rPr>
        <w:t>个月，超过</w:t>
      </w:r>
      <w:r>
        <w:rPr>
          <w:rFonts w:ascii="宋体" w:hAnsi="宋体" w:cs="宋体" w:hint="eastAsia"/>
          <w:sz w:val="21"/>
          <w:szCs w:val="21"/>
        </w:rPr>
        <w:t>2</w:t>
      </w:r>
      <w:r>
        <w:rPr>
          <w:rFonts w:ascii="宋体" w:hAnsi="宋体" w:cs="宋体" w:hint="eastAsia"/>
          <w:sz w:val="21"/>
          <w:szCs w:val="21"/>
        </w:rPr>
        <w:t>0</w:t>
      </w:r>
      <w:r>
        <w:rPr>
          <w:rFonts w:ascii="宋体" w:hAnsi="宋体" w:cs="宋体" w:hint="eastAsia"/>
          <w:sz w:val="21"/>
          <w:szCs w:val="21"/>
        </w:rPr>
        <w:t>％部分持有期自上市之日起不少于</w:t>
      </w:r>
      <w:r>
        <w:rPr>
          <w:rFonts w:ascii="宋体" w:hAnsi="宋体" w:cs="宋体" w:hint="eastAsia"/>
          <w:sz w:val="21"/>
          <w:szCs w:val="21"/>
        </w:rPr>
        <w:t>36</w:t>
      </w:r>
      <w:r>
        <w:rPr>
          <w:rFonts w:ascii="宋体" w:hAnsi="宋体" w:cs="宋体" w:hint="eastAsia"/>
          <w:sz w:val="21"/>
          <w:szCs w:val="21"/>
        </w:rPr>
        <w:t>个月。</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、发售对象属于以下情形的，其通过定向扩募持有的基金份额自上市之日起</w:t>
      </w:r>
      <w:r>
        <w:rPr>
          <w:rFonts w:ascii="宋体" w:hAnsi="宋体" w:cs="宋体" w:hint="eastAsia"/>
          <w:sz w:val="21"/>
          <w:szCs w:val="21"/>
        </w:rPr>
        <w:t>18</w:t>
      </w:r>
      <w:r>
        <w:rPr>
          <w:rFonts w:ascii="宋体" w:hAnsi="宋体" w:cs="宋体" w:hint="eastAsia"/>
          <w:sz w:val="21"/>
          <w:szCs w:val="21"/>
        </w:rPr>
        <w:t>个月内不得转让：</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）持有份额超过</w:t>
      </w:r>
      <w:r>
        <w:rPr>
          <w:rFonts w:ascii="宋体" w:hAnsi="宋体" w:cs="宋体" w:hint="eastAsia"/>
          <w:sz w:val="21"/>
          <w:szCs w:val="21"/>
        </w:rPr>
        <w:t>20%</w:t>
      </w:r>
      <w:r>
        <w:rPr>
          <w:rFonts w:ascii="宋体" w:hAnsi="宋体" w:cs="宋体" w:hint="eastAsia"/>
          <w:sz w:val="21"/>
          <w:szCs w:val="21"/>
        </w:rPr>
        <w:t>的第一大基础设施基金持有人或者通过认购本次发售份额成为持有份额超过</w:t>
      </w:r>
      <w:r>
        <w:rPr>
          <w:rFonts w:ascii="宋体" w:hAnsi="宋体" w:cs="宋体" w:hint="eastAsia"/>
          <w:sz w:val="21"/>
          <w:szCs w:val="21"/>
        </w:rPr>
        <w:t>20%</w:t>
      </w:r>
      <w:r>
        <w:rPr>
          <w:rFonts w:ascii="宋体" w:hAnsi="宋体" w:cs="宋体" w:hint="eastAsia"/>
          <w:sz w:val="21"/>
          <w:szCs w:val="21"/>
        </w:rPr>
        <w:t>的第一大基础设施基金持有人的投资者；</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）通过本次扩募拟引入的战略投资者。</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、除上述情形外，定向扩募的基金份额，自上市之日起</w:t>
      </w:r>
      <w:r>
        <w:rPr>
          <w:rFonts w:ascii="宋体" w:hAnsi="宋体" w:cs="宋体" w:hint="eastAsia"/>
          <w:sz w:val="21"/>
          <w:szCs w:val="21"/>
        </w:rPr>
        <w:t>6</w:t>
      </w:r>
      <w:r>
        <w:rPr>
          <w:rFonts w:ascii="宋体" w:hAnsi="宋体" w:cs="宋体" w:hint="eastAsia"/>
          <w:sz w:val="21"/>
          <w:szCs w:val="21"/>
        </w:rPr>
        <w:t>个月内不得转让。</w:t>
      </w:r>
    </w:p>
    <w:p w:rsidR="00471678" w:rsidRDefault="00A80442">
      <w:pPr>
        <w:pStyle w:val="4"/>
        <w:spacing w:before="0" w:after="0" w:line="480" w:lineRule="auto"/>
        <w:rPr>
          <w:rFonts w:ascii="宋体" w:eastAsia="宋体" w:hAnsi="宋体" w:cs="宋体"/>
          <w:sz w:val="21"/>
          <w:szCs w:val="21"/>
        </w:rPr>
      </w:pPr>
      <w:bookmarkStart w:id="13" w:name="_Toc23919"/>
      <w:r>
        <w:rPr>
          <w:rFonts w:ascii="宋体" w:eastAsia="宋体" w:hAnsi="宋体" w:cs="宋体" w:hint="eastAsia"/>
          <w:sz w:val="21"/>
          <w:szCs w:val="21"/>
        </w:rPr>
        <w:t>（五）上市地点</w:t>
      </w:r>
      <w:bookmarkEnd w:id="13"/>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本次定向扩募发售的基金份额将在</w:t>
      </w:r>
      <w:r>
        <w:rPr>
          <w:rFonts w:ascii="宋体" w:hAnsi="宋体" w:hint="eastAsia"/>
          <w:sz w:val="21"/>
          <w:szCs w:val="21"/>
        </w:rPr>
        <w:t>深交所</w:t>
      </w:r>
      <w:r>
        <w:rPr>
          <w:rFonts w:ascii="宋体" w:hAnsi="宋体" w:cs="宋体" w:hint="eastAsia"/>
          <w:sz w:val="21"/>
          <w:szCs w:val="21"/>
        </w:rPr>
        <w:t>上市交易。</w:t>
      </w:r>
    </w:p>
    <w:p w:rsidR="00471678" w:rsidRDefault="00A80442">
      <w:pPr>
        <w:pStyle w:val="4"/>
        <w:spacing w:before="0" w:after="0" w:line="480" w:lineRule="auto"/>
        <w:rPr>
          <w:rFonts w:ascii="宋体" w:eastAsia="宋体" w:hAnsi="宋体" w:cs="宋体"/>
          <w:sz w:val="21"/>
          <w:szCs w:val="21"/>
        </w:rPr>
      </w:pPr>
      <w:bookmarkStart w:id="14" w:name="_Toc880"/>
      <w:r>
        <w:rPr>
          <w:rFonts w:ascii="宋体" w:eastAsia="宋体" w:hAnsi="宋体" w:cs="宋体" w:hint="eastAsia"/>
          <w:sz w:val="21"/>
          <w:szCs w:val="21"/>
        </w:rPr>
        <w:t>（六）认购报价及获配情况</w:t>
      </w:r>
      <w:bookmarkEnd w:id="14"/>
    </w:p>
    <w:p w:rsidR="00471678" w:rsidRDefault="00A80442">
      <w:pPr>
        <w:spacing w:line="360" w:lineRule="auto"/>
        <w:ind w:firstLine="420"/>
        <w:rPr>
          <w:rFonts w:ascii="宋体" w:hAnsi="宋体" w:cs="宋体"/>
          <w:b/>
          <w:bCs/>
          <w:sz w:val="21"/>
          <w:szCs w:val="21"/>
        </w:rPr>
      </w:pPr>
      <w:r>
        <w:rPr>
          <w:rFonts w:ascii="宋体" w:hAnsi="宋体" w:cs="宋体" w:hint="eastAsia"/>
          <w:b/>
          <w:bCs/>
          <w:sz w:val="21"/>
          <w:szCs w:val="21"/>
        </w:rPr>
        <w:t>1</w:t>
      </w:r>
      <w:r>
        <w:rPr>
          <w:rFonts w:ascii="宋体" w:hAnsi="宋体" w:cs="宋体" w:hint="eastAsia"/>
          <w:b/>
          <w:bCs/>
          <w:sz w:val="21"/>
          <w:szCs w:val="21"/>
        </w:rPr>
        <w:t>、认购邀请书发送情况</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本基金管理人在本次定向扩募过程中共向</w:t>
      </w:r>
      <w:r>
        <w:rPr>
          <w:rFonts w:ascii="宋体" w:hAnsi="宋体" w:cs="宋体" w:hint="eastAsia"/>
          <w:sz w:val="21"/>
          <w:szCs w:val="21"/>
        </w:rPr>
        <w:t>17</w:t>
      </w:r>
      <w:r>
        <w:rPr>
          <w:rFonts w:ascii="宋体" w:hAnsi="宋体" w:cs="宋体" w:hint="eastAsia"/>
          <w:sz w:val="21"/>
          <w:szCs w:val="21"/>
        </w:rPr>
        <w:t>家机构送达认购邀请文件。</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本基金管理人及</w:t>
      </w:r>
      <w:r>
        <w:rPr>
          <w:rFonts w:ascii="宋体" w:hAnsi="宋体" w:cs="宋体" w:hint="eastAsia"/>
          <w:sz w:val="21"/>
          <w:szCs w:val="21"/>
        </w:rPr>
        <w:t>北京市金杜（广州）律师事务所</w:t>
      </w:r>
      <w:r>
        <w:rPr>
          <w:rFonts w:ascii="宋体" w:hAnsi="宋体" w:cs="宋体" w:hint="eastAsia"/>
          <w:sz w:val="21"/>
          <w:szCs w:val="21"/>
        </w:rPr>
        <w:t>对最终认购邀请名单的投资者认购资格及合规性进行了审慎核查，认购邀请文件的发送范围符合《公开募集基础设施证券投资基金指引（试行）》、《深圳证券交易所公开募集基础设施证券投资基金（</w:t>
      </w:r>
      <w:r>
        <w:rPr>
          <w:rFonts w:ascii="宋体" w:hAnsi="宋体" w:cs="宋体" w:hint="eastAsia"/>
          <w:sz w:val="21"/>
          <w:szCs w:val="21"/>
        </w:rPr>
        <w:t>REITs</w:t>
      </w:r>
      <w:r>
        <w:rPr>
          <w:rFonts w:ascii="宋体" w:hAnsi="宋体" w:cs="宋体" w:hint="eastAsia"/>
          <w:sz w:val="21"/>
          <w:szCs w:val="21"/>
        </w:rPr>
        <w:t>）业务指引第</w:t>
      </w:r>
      <w:r>
        <w:rPr>
          <w:rFonts w:ascii="宋体" w:hAnsi="宋体" w:cs="宋体" w:hint="eastAsia"/>
          <w:sz w:val="21"/>
          <w:szCs w:val="21"/>
        </w:rPr>
        <w:t>3</w:t>
      </w:r>
      <w:r>
        <w:rPr>
          <w:rFonts w:ascii="宋体" w:hAnsi="宋体" w:cs="宋体" w:hint="eastAsia"/>
          <w:sz w:val="21"/>
          <w:szCs w:val="21"/>
        </w:rPr>
        <w:t>号——新购入基础设施项目（试行）》等法律法规的相关规定，也符合本基金管理人基金份额持有人大会审议通过的本次定向扩募的扩募方案及</w:t>
      </w:r>
      <w:r>
        <w:rPr>
          <w:rFonts w:ascii="宋体" w:hAnsi="宋体" w:cs="宋体" w:hint="eastAsia"/>
          <w:sz w:val="21"/>
          <w:szCs w:val="21"/>
        </w:rPr>
        <w:t>发售</w:t>
      </w:r>
      <w:r>
        <w:rPr>
          <w:rFonts w:ascii="宋体" w:hAnsi="宋体" w:cs="宋体" w:hint="eastAsia"/>
          <w:sz w:val="21"/>
          <w:szCs w:val="21"/>
        </w:rPr>
        <w:t>对象的相关要求。</w:t>
      </w:r>
    </w:p>
    <w:p w:rsidR="00471678" w:rsidRDefault="00A80442">
      <w:pPr>
        <w:numPr>
          <w:ilvl w:val="0"/>
          <w:numId w:val="1"/>
        </w:numPr>
        <w:spacing w:line="360" w:lineRule="auto"/>
        <w:ind w:firstLine="420"/>
        <w:rPr>
          <w:rFonts w:ascii="宋体" w:hAnsi="宋体" w:cs="宋体"/>
          <w:b/>
          <w:bCs/>
          <w:sz w:val="21"/>
          <w:szCs w:val="21"/>
        </w:rPr>
      </w:pPr>
      <w:r>
        <w:rPr>
          <w:rFonts w:ascii="宋体" w:hAnsi="宋体" w:cs="宋体" w:hint="eastAsia"/>
          <w:b/>
          <w:bCs/>
          <w:sz w:val="21"/>
          <w:szCs w:val="21"/>
        </w:rPr>
        <w:t>投资者认购报价情况</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2023</w:t>
      </w:r>
      <w:r>
        <w:rPr>
          <w:rFonts w:ascii="宋体" w:hAnsi="宋体" w:cs="宋体" w:hint="eastAsia"/>
          <w:sz w:val="21"/>
          <w:szCs w:val="21"/>
        </w:rPr>
        <w:t>年</w:t>
      </w:r>
      <w:r>
        <w:rPr>
          <w:rFonts w:ascii="宋体" w:hAnsi="宋体" w:cs="宋体" w:hint="eastAsia"/>
          <w:sz w:val="21"/>
          <w:szCs w:val="21"/>
        </w:rPr>
        <w:t>5</w:t>
      </w:r>
      <w:r>
        <w:rPr>
          <w:rFonts w:ascii="宋体" w:hAnsi="宋体" w:cs="宋体" w:hint="eastAsia"/>
          <w:sz w:val="21"/>
          <w:szCs w:val="21"/>
        </w:rPr>
        <w:t>月</w:t>
      </w:r>
      <w:r>
        <w:rPr>
          <w:rFonts w:ascii="宋体" w:hAnsi="宋体" w:cs="宋体" w:hint="eastAsia"/>
          <w:sz w:val="21"/>
          <w:szCs w:val="21"/>
        </w:rPr>
        <w:t>26</w:t>
      </w:r>
      <w:r>
        <w:rPr>
          <w:rFonts w:ascii="宋体" w:hAnsi="宋体" w:cs="宋体" w:hint="eastAsia"/>
          <w:sz w:val="21"/>
          <w:szCs w:val="21"/>
        </w:rPr>
        <w:t>日</w:t>
      </w:r>
      <w:r>
        <w:rPr>
          <w:rFonts w:ascii="宋体" w:hAnsi="宋体" w:cs="宋体" w:hint="eastAsia"/>
          <w:sz w:val="21"/>
          <w:szCs w:val="21"/>
        </w:rPr>
        <w:t>9:00-12:</w:t>
      </w:r>
      <w:r>
        <w:rPr>
          <w:rFonts w:ascii="宋体" w:hAnsi="宋体" w:cs="宋体" w:hint="eastAsia"/>
          <w:sz w:val="21"/>
          <w:szCs w:val="21"/>
        </w:rPr>
        <w:t>00,</w:t>
      </w:r>
      <w:r>
        <w:rPr>
          <w:rFonts w:ascii="宋体" w:hAnsi="宋体" w:cs="宋体" w:hint="eastAsia"/>
          <w:sz w:val="21"/>
          <w:szCs w:val="21"/>
        </w:rPr>
        <w:t>在北京市金杜（广州）</w:t>
      </w:r>
      <w:r>
        <w:rPr>
          <w:rFonts w:ascii="宋体" w:hAnsi="宋体" w:cs="宋体" w:hint="eastAsia"/>
          <w:sz w:val="21"/>
          <w:szCs w:val="21"/>
        </w:rPr>
        <w:t>律师</w:t>
      </w:r>
      <w:r>
        <w:rPr>
          <w:rFonts w:ascii="宋体" w:hAnsi="宋体" w:cs="宋体" w:hint="eastAsia"/>
          <w:sz w:val="21"/>
          <w:szCs w:val="21"/>
        </w:rPr>
        <w:t>事务所律师的全程见证下，簿记中心共收到</w:t>
      </w:r>
      <w:r>
        <w:rPr>
          <w:rFonts w:ascii="宋体" w:hAnsi="宋体" w:cs="宋体" w:hint="eastAsia"/>
          <w:sz w:val="21"/>
          <w:szCs w:val="21"/>
        </w:rPr>
        <w:t>11</w:t>
      </w:r>
      <w:r>
        <w:rPr>
          <w:rFonts w:ascii="宋体" w:hAnsi="宋体" w:cs="宋体" w:hint="eastAsia"/>
          <w:sz w:val="21"/>
          <w:szCs w:val="21"/>
        </w:rPr>
        <w:t>单有效申购报价单，参与认购的投资者均及时发送相关申购文件，除证券投资基金管理公司和合格境外机构投资者和提前确定的发售对象无需缴纳保证金外，其余投资者均按《认购邀请书》的约定及时足额缴纳保证金，全部报价均为有效认购。</w:t>
      </w:r>
    </w:p>
    <w:p w:rsidR="00471678" w:rsidRDefault="00A80442">
      <w:pPr>
        <w:spacing w:line="1" w:lineRule="exact"/>
        <w:rPr>
          <w:rFonts w:ascii="宋体" w:hAnsi="宋体" w:cs="宋体"/>
          <w:sz w:val="21"/>
          <w:szCs w:val="21"/>
        </w:rPr>
      </w:pPr>
      <w:r>
        <w:rPr>
          <w:rFonts w:ascii="宋体" w:hAnsi="宋体" w:cs="宋体" w:hint="eastAsia"/>
          <w:sz w:val="21"/>
          <w:szCs w:val="21"/>
        </w:rPr>
        <w:t>2023</w:t>
      </w:r>
      <w:r>
        <w:rPr>
          <w:rFonts w:ascii="宋体" w:hAnsi="宋体" w:cs="宋体" w:hint="eastAsia"/>
          <w:sz w:val="21"/>
          <w:szCs w:val="21"/>
        </w:rPr>
        <w:t>年</w:t>
      </w:r>
      <w:r>
        <w:rPr>
          <w:rFonts w:ascii="宋体" w:hAnsi="宋体" w:cs="宋体" w:hint="eastAsia"/>
          <w:sz w:val="21"/>
          <w:szCs w:val="21"/>
        </w:rPr>
        <w:t>5</w:t>
      </w:r>
      <w:r>
        <w:rPr>
          <w:rFonts w:ascii="宋体" w:hAnsi="宋体" w:cs="宋体" w:hint="eastAsia"/>
          <w:sz w:val="21"/>
          <w:szCs w:val="21"/>
        </w:rPr>
        <w:t>月</w:t>
      </w:r>
      <w:r>
        <w:rPr>
          <w:rFonts w:ascii="宋体" w:hAnsi="宋体" w:cs="宋体" w:hint="eastAsia"/>
          <w:sz w:val="21"/>
          <w:szCs w:val="21"/>
        </w:rPr>
        <w:t>26</w:t>
      </w:r>
      <w:r>
        <w:rPr>
          <w:rFonts w:ascii="宋体" w:hAnsi="宋体" w:cs="宋体" w:hint="eastAsia"/>
          <w:sz w:val="21"/>
          <w:szCs w:val="21"/>
        </w:rPr>
        <w:t>日</w:t>
      </w:r>
      <w:r>
        <w:rPr>
          <w:rFonts w:ascii="宋体" w:hAnsi="宋体" w:cs="宋体" w:hint="eastAsia"/>
          <w:sz w:val="21"/>
          <w:szCs w:val="21"/>
        </w:rPr>
        <w:t>9:00-12:00,</w:t>
      </w:r>
      <w:r>
        <w:rPr>
          <w:rFonts w:ascii="宋体" w:hAnsi="宋体" w:cs="宋体" w:hint="eastAsia"/>
          <w:sz w:val="21"/>
          <w:szCs w:val="21"/>
        </w:rPr>
        <w:t>在</w:t>
      </w:r>
      <w:r>
        <w:rPr>
          <w:rFonts w:ascii="宋体" w:hAnsi="宋体" w:cs="宋体" w:hint="eastAsia"/>
          <w:sz w:val="21"/>
          <w:szCs w:val="21"/>
        </w:rPr>
        <w:t>北京市金杜（广州）律师事务所</w:t>
      </w:r>
      <w:r>
        <w:rPr>
          <w:rFonts w:ascii="宋体" w:hAnsi="宋体" w:cs="宋体" w:hint="eastAsia"/>
          <w:sz w:val="21"/>
          <w:szCs w:val="21"/>
        </w:rPr>
        <w:t>律师的全程见证下，簿记中心共收到</w:t>
      </w:r>
      <w:r>
        <w:rPr>
          <w:rFonts w:ascii="宋体" w:hAnsi="宋体" w:cs="宋体" w:hint="eastAsia"/>
          <w:sz w:val="21"/>
          <w:szCs w:val="21"/>
        </w:rPr>
        <w:t>2</w:t>
      </w:r>
      <w:r>
        <w:rPr>
          <w:rFonts w:ascii="宋体" w:hAnsi="宋体" w:cs="宋体" w:hint="eastAsia"/>
          <w:sz w:val="21"/>
          <w:szCs w:val="21"/>
        </w:rPr>
        <w:t>1</w:t>
      </w:r>
      <w:r>
        <w:rPr>
          <w:rFonts w:ascii="宋体" w:hAnsi="宋体" w:cs="宋体" w:hint="eastAsia"/>
          <w:sz w:val="21"/>
          <w:szCs w:val="21"/>
        </w:rPr>
        <w:t>单有效申购报价单，参与认购的投资者均及时发送相关申购文件，除证券投资基金管理公司和合格境外机构投资者和提前确定的发售</w:t>
      </w:r>
      <w:r>
        <w:rPr>
          <w:rFonts w:ascii="宋体" w:hAnsi="宋体" w:cs="宋体" w:hint="eastAsia"/>
          <w:sz w:val="21"/>
          <w:szCs w:val="21"/>
        </w:rPr>
        <w:t>对象无需缴纳保证金外，其余投资者均按《认购邀请书》的约定及时足额缴纳保证金，全部报价均为有效认购。</w:t>
      </w:r>
    </w:p>
    <w:p w:rsidR="00471678" w:rsidRDefault="00A80442">
      <w:pPr>
        <w:numPr>
          <w:ilvl w:val="0"/>
          <w:numId w:val="1"/>
        </w:numPr>
        <w:spacing w:line="360" w:lineRule="auto"/>
        <w:ind w:firstLine="420"/>
        <w:rPr>
          <w:rFonts w:ascii="宋体" w:hAnsi="宋体" w:cs="宋体"/>
          <w:b/>
          <w:bCs/>
          <w:sz w:val="21"/>
          <w:szCs w:val="21"/>
        </w:rPr>
      </w:pPr>
      <w:r>
        <w:rPr>
          <w:rFonts w:ascii="宋体" w:hAnsi="宋体" w:cs="宋体" w:hint="eastAsia"/>
          <w:b/>
          <w:bCs/>
          <w:sz w:val="21"/>
          <w:szCs w:val="21"/>
        </w:rPr>
        <w:t>发售</w:t>
      </w:r>
      <w:r>
        <w:rPr>
          <w:rFonts w:ascii="宋体" w:hAnsi="宋体" w:cs="宋体" w:hint="eastAsia"/>
          <w:b/>
          <w:bCs/>
          <w:sz w:val="21"/>
          <w:szCs w:val="21"/>
        </w:rPr>
        <w:t>对象及最终获配情况</w:t>
      </w:r>
    </w:p>
    <w:p w:rsidR="00471678" w:rsidRDefault="00A80442">
      <w:pPr>
        <w:pStyle w:val="Bodytext1"/>
        <w:spacing w:after="100" w:line="461" w:lineRule="exact"/>
        <w:ind w:firstLine="500"/>
        <w:rPr>
          <w:b w:val="0"/>
          <w:bCs w:val="0"/>
          <w:color w:val="000000"/>
          <w:sz w:val="21"/>
          <w:szCs w:val="21"/>
          <w:lang w:eastAsia="zh-CN"/>
        </w:rPr>
      </w:pPr>
      <w:r>
        <w:rPr>
          <w:b w:val="0"/>
          <w:bCs w:val="0"/>
          <w:color w:val="000000"/>
          <w:sz w:val="21"/>
          <w:szCs w:val="21"/>
        </w:rPr>
        <w:t>根据投资者</w:t>
      </w:r>
      <w:r>
        <w:rPr>
          <w:rFonts w:hint="eastAsia"/>
          <w:b w:val="0"/>
          <w:bCs w:val="0"/>
          <w:color w:val="000000"/>
          <w:sz w:val="21"/>
          <w:szCs w:val="21"/>
          <w:lang w:eastAsia="zh-CN"/>
        </w:rPr>
        <w:t>认</w:t>
      </w:r>
      <w:r>
        <w:rPr>
          <w:b w:val="0"/>
          <w:bCs w:val="0"/>
          <w:color w:val="000000"/>
          <w:sz w:val="21"/>
          <w:szCs w:val="21"/>
        </w:rPr>
        <w:t>购报价情况，并严格按照《认购邀请书》中确定的</w:t>
      </w:r>
      <w:r>
        <w:rPr>
          <w:rFonts w:hint="eastAsia"/>
          <w:b w:val="0"/>
          <w:bCs w:val="0"/>
          <w:color w:val="000000"/>
          <w:sz w:val="21"/>
          <w:szCs w:val="21"/>
        </w:rPr>
        <w:t>发售价格、发售对象和基金份额分配数量的确定程序</w:t>
      </w:r>
      <w:r>
        <w:rPr>
          <w:rFonts w:hint="eastAsia"/>
          <w:b w:val="0"/>
          <w:bCs w:val="0"/>
          <w:color w:val="000000"/>
          <w:sz w:val="21"/>
          <w:szCs w:val="21"/>
          <w:lang w:eastAsia="zh-CN"/>
        </w:rPr>
        <w:t>和规则，确定本次发售价格为</w:t>
      </w:r>
      <w:r>
        <w:rPr>
          <w:rFonts w:hint="eastAsia"/>
          <w:b w:val="0"/>
          <w:bCs w:val="0"/>
          <w:color w:val="000000"/>
          <w:sz w:val="21"/>
          <w:szCs w:val="21"/>
          <w:lang w:val="en-US" w:eastAsia="zh-CN"/>
        </w:rPr>
        <w:t>2.700</w:t>
      </w:r>
      <w:r>
        <w:rPr>
          <w:rFonts w:hint="eastAsia"/>
          <w:b w:val="0"/>
          <w:bCs w:val="0"/>
          <w:color w:val="000000"/>
          <w:sz w:val="21"/>
          <w:szCs w:val="21"/>
          <w:lang w:eastAsia="zh-CN"/>
        </w:rPr>
        <w:t>元</w:t>
      </w:r>
      <w:r>
        <w:rPr>
          <w:rFonts w:hint="eastAsia"/>
          <w:b w:val="0"/>
          <w:bCs w:val="0"/>
          <w:color w:val="000000"/>
          <w:sz w:val="21"/>
          <w:szCs w:val="21"/>
          <w:lang w:eastAsia="zh-CN"/>
        </w:rPr>
        <w:t>/</w:t>
      </w:r>
      <w:r>
        <w:rPr>
          <w:rFonts w:hint="eastAsia"/>
          <w:b w:val="0"/>
          <w:bCs w:val="0"/>
          <w:color w:val="000000"/>
          <w:sz w:val="21"/>
          <w:szCs w:val="21"/>
          <w:lang w:eastAsia="zh-CN"/>
        </w:rPr>
        <w:t>份，发售基金份额数量为</w:t>
      </w:r>
      <w:r>
        <w:rPr>
          <w:rFonts w:hint="eastAsia"/>
          <w:b w:val="0"/>
          <w:bCs w:val="0"/>
          <w:color w:val="000000"/>
          <w:sz w:val="21"/>
          <w:szCs w:val="21"/>
          <w:lang w:val="en-US" w:eastAsia="zh-CN"/>
        </w:rPr>
        <w:t>153,629,628</w:t>
      </w:r>
      <w:r>
        <w:rPr>
          <w:rFonts w:hint="eastAsia"/>
          <w:b w:val="0"/>
          <w:bCs w:val="0"/>
          <w:color w:val="000000"/>
          <w:sz w:val="21"/>
          <w:szCs w:val="21"/>
          <w:lang w:eastAsia="zh-CN"/>
        </w:rPr>
        <w:t>份，募集资金总额为</w:t>
      </w:r>
      <w:r>
        <w:rPr>
          <w:rFonts w:hint="eastAsia"/>
          <w:b w:val="0"/>
          <w:bCs w:val="0"/>
          <w:color w:val="000000"/>
          <w:sz w:val="21"/>
          <w:szCs w:val="21"/>
          <w:lang w:val="en-US" w:eastAsia="zh-CN"/>
        </w:rPr>
        <w:t>414,799,995.60</w:t>
      </w:r>
      <w:r>
        <w:rPr>
          <w:rFonts w:hint="eastAsia"/>
          <w:b w:val="0"/>
          <w:bCs w:val="0"/>
          <w:color w:val="000000"/>
          <w:sz w:val="21"/>
          <w:szCs w:val="21"/>
          <w:lang w:eastAsia="zh-CN"/>
        </w:rPr>
        <w:t>元。</w:t>
      </w:r>
    </w:p>
    <w:p w:rsidR="00471678" w:rsidRDefault="00A80442">
      <w:pPr>
        <w:pStyle w:val="Bodytext1"/>
        <w:spacing w:after="100" w:line="461" w:lineRule="exact"/>
        <w:ind w:firstLine="500"/>
        <w:rPr>
          <w:sz w:val="21"/>
          <w:szCs w:val="21"/>
        </w:rPr>
      </w:pPr>
      <w:r>
        <w:rPr>
          <w:rFonts w:eastAsiaTheme="minorEastAsia" w:hint="eastAsia"/>
          <w:b w:val="0"/>
          <w:bCs w:val="0"/>
          <w:color w:val="000000"/>
          <w:sz w:val="21"/>
          <w:szCs w:val="21"/>
        </w:rPr>
        <w:t>其中，盐田港物流有限公司</w:t>
      </w:r>
      <w:r>
        <w:rPr>
          <w:rFonts w:eastAsiaTheme="minorEastAsia" w:hint="eastAsia"/>
          <w:b w:val="0"/>
          <w:bCs w:val="0"/>
          <w:color w:val="000000"/>
          <w:sz w:val="21"/>
          <w:szCs w:val="21"/>
          <w:lang w:eastAsia="zh-CN"/>
        </w:rPr>
        <w:t>、</w:t>
      </w:r>
      <w:r>
        <w:rPr>
          <w:rFonts w:eastAsiaTheme="minorEastAsia" w:hint="eastAsia"/>
          <w:b w:val="0"/>
          <w:bCs w:val="0"/>
          <w:color w:val="000000"/>
          <w:sz w:val="21"/>
          <w:szCs w:val="21"/>
        </w:rPr>
        <w:t>深国际控股（深圳）有限公司</w:t>
      </w:r>
      <w:r>
        <w:rPr>
          <w:rFonts w:eastAsiaTheme="minorEastAsia" w:hint="eastAsia"/>
          <w:b w:val="0"/>
          <w:bCs w:val="0"/>
          <w:color w:val="000000"/>
          <w:sz w:val="21"/>
          <w:szCs w:val="21"/>
          <w:lang w:eastAsia="zh-CN"/>
        </w:rPr>
        <w:t>、</w:t>
      </w:r>
      <w:r>
        <w:rPr>
          <w:rFonts w:eastAsiaTheme="minorEastAsia" w:hint="eastAsia"/>
          <w:b w:val="0"/>
          <w:bCs w:val="0"/>
          <w:color w:val="000000"/>
          <w:sz w:val="21"/>
          <w:szCs w:val="21"/>
        </w:rPr>
        <w:t>上海光大证券资产管理有限公司（代表“光证资管诚享</w:t>
      </w:r>
      <w:r>
        <w:rPr>
          <w:rFonts w:eastAsiaTheme="minorEastAsia" w:hint="eastAsia"/>
          <w:b w:val="0"/>
          <w:bCs w:val="0"/>
          <w:color w:val="000000"/>
          <w:sz w:val="21"/>
          <w:szCs w:val="21"/>
        </w:rPr>
        <w:t>6</w:t>
      </w:r>
      <w:r>
        <w:rPr>
          <w:rFonts w:eastAsiaTheme="minorEastAsia" w:hint="eastAsia"/>
          <w:b w:val="0"/>
          <w:bCs w:val="0"/>
          <w:color w:val="000000"/>
          <w:sz w:val="21"/>
          <w:szCs w:val="21"/>
        </w:rPr>
        <w:t>号集合资产管理计划”）</w:t>
      </w:r>
      <w:r>
        <w:rPr>
          <w:rFonts w:eastAsiaTheme="minorEastAsia" w:hint="eastAsia"/>
          <w:b w:val="0"/>
          <w:bCs w:val="0"/>
          <w:color w:val="000000"/>
          <w:sz w:val="21"/>
          <w:szCs w:val="21"/>
          <w:lang w:eastAsia="zh-CN"/>
        </w:rPr>
        <w:t>、</w:t>
      </w:r>
      <w:r>
        <w:rPr>
          <w:rFonts w:eastAsiaTheme="minorEastAsia" w:hint="eastAsia"/>
          <w:b w:val="0"/>
          <w:bCs w:val="0"/>
          <w:color w:val="000000"/>
          <w:sz w:val="21"/>
          <w:szCs w:val="21"/>
        </w:rPr>
        <w:t>华金证券股份有限公司（代表“华金证券国任保险</w:t>
      </w:r>
      <w:r>
        <w:rPr>
          <w:rFonts w:eastAsiaTheme="minorEastAsia" w:hint="eastAsia"/>
          <w:b w:val="0"/>
          <w:bCs w:val="0"/>
          <w:color w:val="000000"/>
          <w:sz w:val="21"/>
          <w:szCs w:val="21"/>
        </w:rPr>
        <w:t>5</w:t>
      </w:r>
      <w:r>
        <w:rPr>
          <w:rFonts w:eastAsiaTheme="minorEastAsia" w:hint="eastAsia"/>
          <w:b w:val="0"/>
          <w:bCs w:val="0"/>
          <w:color w:val="000000"/>
          <w:sz w:val="21"/>
          <w:szCs w:val="21"/>
        </w:rPr>
        <w:t>号基础设施基金策略</w:t>
      </w:r>
      <w:r>
        <w:rPr>
          <w:rFonts w:eastAsiaTheme="minorEastAsia" w:hint="eastAsia"/>
          <w:b w:val="0"/>
          <w:bCs w:val="0"/>
          <w:color w:val="000000"/>
          <w:sz w:val="21"/>
          <w:szCs w:val="21"/>
        </w:rPr>
        <w:t>FOF</w:t>
      </w:r>
      <w:r>
        <w:rPr>
          <w:rFonts w:eastAsiaTheme="minorEastAsia" w:hint="eastAsia"/>
          <w:b w:val="0"/>
          <w:bCs w:val="0"/>
          <w:color w:val="000000"/>
          <w:sz w:val="21"/>
          <w:szCs w:val="21"/>
        </w:rPr>
        <w:t>单一资产管理计划”）</w:t>
      </w:r>
      <w:r>
        <w:rPr>
          <w:rFonts w:eastAsiaTheme="minorEastAsia" w:hint="eastAsia"/>
          <w:b w:val="0"/>
          <w:bCs w:val="0"/>
          <w:color w:val="000000"/>
          <w:sz w:val="21"/>
          <w:szCs w:val="21"/>
          <w:lang w:eastAsia="zh-CN"/>
        </w:rPr>
        <w:t>、</w:t>
      </w:r>
      <w:r>
        <w:rPr>
          <w:rFonts w:eastAsiaTheme="minorEastAsia" w:hint="eastAsia"/>
          <w:b w:val="0"/>
          <w:bCs w:val="0"/>
          <w:color w:val="000000"/>
          <w:sz w:val="21"/>
          <w:szCs w:val="21"/>
        </w:rPr>
        <w:t>国泰君安证券股份有限公司</w:t>
      </w:r>
      <w:r>
        <w:rPr>
          <w:rFonts w:eastAsiaTheme="minorEastAsia" w:hint="eastAsia"/>
          <w:b w:val="0"/>
          <w:bCs w:val="0"/>
          <w:color w:val="000000"/>
          <w:sz w:val="21"/>
          <w:szCs w:val="21"/>
          <w:lang w:eastAsia="zh-CN"/>
        </w:rPr>
        <w:t>、</w:t>
      </w:r>
      <w:r>
        <w:rPr>
          <w:rFonts w:eastAsiaTheme="minorEastAsia" w:hint="eastAsia"/>
          <w:b w:val="0"/>
          <w:bCs w:val="0"/>
          <w:color w:val="000000"/>
          <w:sz w:val="21"/>
          <w:szCs w:val="21"/>
        </w:rPr>
        <w:t>华鑫证券有限责任公司（代表“华鑫证券鑫源</w:t>
      </w:r>
      <w:r>
        <w:rPr>
          <w:rFonts w:eastAsiaTheme="minorEastAsia" w:hint="eastAsia"/>
          <w:b w:val="0"/>
          <w:bCs w:val="0"/>
          <w:color w:val="000000"/>
          <w:sz w:val="21"/>
          <w:szCs w:val="21"/>
        </w:rPr>
        <w:t>7</w:t>
      </w:r>
      <w:r>
        <w:rPr>
          <w:rFonts w:eastAsiaTheme="minorEastAsia" w:hint="eastAsia"/>
          <w:b w:val="0"/>
          <w:bCs w:val="0"/>
          <w:color w:val="000000"/>
          <w:sz w:val="21"/>
          <w:szCs w:val="21"/>
        </w:rPr>
        <w:t>号单一资产管理计划”）</w:t>
      </w:r>
      <w:r>
        <w:rPr>
          <w:rFonts w:eastAsiaTheme="minorEastAsia" w:hint="eastAsia"/>
          <w:b w:val="0"/>
          <w:bCs w:val="0"/>
          <w:color w:val="000000"/>
          <w:sz w:val="21"/>
          <w:szCs w:val="21"/>
          <w:lang w:eastAsia="zh-CN"/>
        </w:rPr>
        <w:t>、</w:t>
      </w:r>
      <w:r>
        <w:rPr>
          <w:rFonts w:eastAsiaTheme="minorEastAsia" w:hint="eastAsia"/>
          <w:b w:val="0"/>
          <w:bCs w:val="0"/>
          <w:color w:val="000000"/>
          <w:sz w:val="21"/>
          <w:szCs w:val="21"/>
        </w:rPr>
        <w:t>华鑫国际信托有限公司</w:t>
      </w:r>
      <w:r>
        <w:rPr>
          <w:rFonts w:eastAsiaTheme="minorEastAsia" w:hint="eastAsia"/>
          <w:b w:val="0"/>
          <w:bCs w:val="0"/>
          <w:color w:val="000000"/>
          <w:sz w:val="21"/>
          <w:szCs w:val="21"/>
        </w:rPr>
        <w:t>(</w:t>
      </w:r>
      <w:r>
        <w:rPr>
          <w:rFonts w:eastAsiaTheme="minorEastAsia" w:hint="eastAsia"/>
          <w:b w:val="0"/>
          <w:bCs w:val="0"/>
          <w:color w:val="000000"/>
          <w:sz w:val="21"/>
          <w:szCs w:val="21"/>
        </w:rPr>
        <w:t>代表“华鑫信托</w:t>
      </w:r>
      <w:r>
        <w:rPr>
          <w:rFonts w:eastAsiaTheme="minorEastAsia" w:hint="eastAsia"/>
          <w:b w:val="0"/>
          <w:bCs w:val="0"/>
          <w:color w:val="000000"/>
          <w:sz w:val="21"/>
          <w:szCs w:val="21"/>
        </w:rPr>
        <w:t>-</w:t>
      </w:r>
      <w:r>
        <w:rPr>
          <w:rFonts w:eastAsiaTheme="minorEastAsia" w:hint="eastAsia"/>
          <w:b w:val="0"/>
          <w:bCs w:val="0"/>
          <w:color w:val="000000"/>
          <w:sz w:val="21"/>
          <w:szCs w:val="21"/>
        </w:rPr>
        <w:t>华盈</w:t>
      </w:r>
      <w:r>
        <w:rPr>
          <w:rFonts w:eastAsiaTheme="minorEastAsia" w:hint="eastAsia"/>
          <w:b w:val="0"/>
          <w:bCs w:val="0"/>
          <w:color w:val="000000"/>
          <w:sz w:val="21"/>
          <w:szCs w:val="21"/>
        </w:rPr>
        <w:t>17</w:t>
      </w:r>
      <w:r>
        <w:rPr>
          <w:rFonts w:eastAsiaTheme="minorEastAsia" w:hint="eastAsia"/>
          <w:b w:val="0"/>
          <w:bCs w:val="0"/>
          <w:color w:val="000000"/>
          <w:sz w:val="21"/>
          <w:szCs w:val="21"/>
        </w:rPr>
        <w:t>号</w:t>
      </w:r>
      <w:r>
        <w:rPr>
          <w:rFonts w:eastAsiaTheme="minorEastAsia" w:hint="eastAsia"/>
          <w:b w:val="0"/>
          <w:bCs w:val="0"/>
          <w:color w:val="000000"/>
          <w:sz w:val="21"/>
          <w:szCs w:val="21"/>
        </w:rPr>
        <w:t>(</w:t>
      </w:r>
      <w:r>
        <w:rPr>
          <w:rFonts w:eastAsiaTheme="minorEastAsia" w:hint="eastAsia"/>
          <w:b w:val="0"/>
          <w:bCs w:val="0"/>
          <w:color w:val="000000"/>
          <w:sz w:val="21"/>
          <w:szCs w:val="21"/>
        </w:rPr>
        <w:t>混合配置</w:t>
      </w:r>
      <w:r>
        <w:rPr>
          <w:rFonts w:eastAsiaTheme="minorEastAsia" w:hint="eastAsia"/>
          <w:b w:val="0"/>
          <w:bCs w:val="0"/>
          <w:color w:val="000000"/>
          <w:sz w:val="21"/>
          <w:szCs w:val="21"/>
        </w:rPr>
        <w:t>)</w:t>
      </w:r>
      <w:r>
        <w:rPr>
          <w:rFonts w:eastAsiaTheme="minorEastAsia" w:hint="eastAsia"/>
          <w:b w:val="0"/>
          <w:bCs w:val="0"/>
          <w:color w:val="000000"/>
          <w:sz w:val="21"/>
          <w:szCs w:val="21"/>
        </w:rPr>
        <w:t>集合资金信托计划”</w:t>
      </w:r>
      <w:r>
        <w:rPr>
          <w:rFonts w:eastAsiaTheme="minorEastAsia" w:hint="eastAsia"/>
          <w:b w:val="0"/>
          <w:bCs w:val="0"/>
          <w:color w:val="000000"/>
          <w:sz w:val="21"/>
          <w:szCs w:val="21"/>
        </w:rPr>
        <w:t>)</w:t>
      </w:r>
      <w:r>
        <w:rPr>
          <w:rFonts w:eastAsiaTheme="minorEastAsia" w:hint="eastAsia"/>
          <w:b w:val="0"/>
          <w:bCs w:val="0"/>
          <w:color w:val="000000"/>
          <w:sz w:val="21"/>
          <w:szCs w:val="21"/>
          <w:lang w:eastAsia="zh-CN"/>
        </w:rPr>
        <w:t>、</w:t>
      </w:r>
      <w:r>
        <w:rPr>
          <w:rFonts w:eastAsiaTheme="minorEastAsia" w:hint="eastAsia"/>
          <w:b w:val="0"/>
          <w:bCs w:val="0"/>
          <w:color w:val="000000"/>
          <w:sz w:val="21"/>
          <w:szCs w:val="21"/>
        </w:rPr>
        <w:t>中航基金管理有限公司（代表“中航基金</w:t>
      </w:r>
      <w:r>
        <w:rPr>
          <w:rFonts w:eastAsiaTheme="minorEastAsia" w:hint="eastAsia"/>
          <w:b w:val="0"/>
          <w:bCs w:val="0"/>
          <w:color w:val="000000"/>
          <w:sz w:val="21"/>
          <w:szCs w:val="21"/>
        </w:rPr>
        <w:t>REITs</w:t>
      </w:r>
      <w:r>
        <w:rPr>
          <w:rFonts w:eastAsiaTheme="minorEastAsia" w:hint="eastAsia"/>
          <w:b w:val="0"/>
          <w:bCs w:val="0"/>
          <w:color w:val="000000"/>
          <w:sz w:val="21"/>
          <w:szCs w:val="21"/>
        </w:rPr>
        <w:t>京彩</w:t>
      </w:r>
      <w:r>
        <w:rPr>
          <w:rFonts w:eastAsiaTheme="minorEastAsia" w:hint="eastAsia"/>
          <w:b w:val="0"/>
          <w:bCs w:val="0"/>
          <w:color w:val="000000"/>
          <w:sz w:val="21"/>
          <w:szCs w:val="21"/>
        </w:rPr>
        <w:t>1</w:t>
      </w:r>
      <w:r>
        <w:rPr>
          <w:rFonts w:eastAsiaTheme="minorEastAsia" w:hint="eastAsia"/>
          <w:b w:val="0"/>
          <w:bCs w:val="0"/>
          <w:color w:val="000000"/>
          <w:sz w:val="21"/>
          <w:szCs w:val="21"/>
        </w:rPr>
        <w:t>号集合资产管理计划”）</w:t>
      </w:r>
      <w:r>
        <w:rPr>
          <w:rFonts w:eastAsiaTheme="minorEastAsia" w:hint="eastAsia"/>
          <w:b w:val="0"/>
          <w:bCs w:val="0"/>
          <w:color w:val="000000"/>
          <w:sz w:val="21"/>
          <w:szCs w:val="21"/>
          <w:lang w:eastAsia="zh-CN"/>
        </w:rPr>
        <w:t>、</w:t>
      </w:r>
      <w:r>
        <w:rPr>
          <w:rFonts w:eastAsiaTheme="minorEastAsia" w:hint="eastAsia"/>
          <w:b w:val="0"/>
          <w:bCs w:val="0"/>
          <w:color w:val="000000"/>
          <w:sz w:val="21"/>
          <w:szCs w:val="21"/>
        </w:rPr>
        <w:t>中诚信托有限责任公司（代表“中诚信托</w:t>
      </w:r>
      <w:r>
        <w:rPr>
          <w:rFonts w:eastAsiaTheme="minorEastAsia" w:hint="eastAsia"/>
          <w:b w:val="0"/>
          <w:bCs w:val="0"/>
          <w:color w:val="000000"/>
          <w:sz w:val="21"/>
          <w:szCs w:val="21"/>
        </w:rPr>
        <w:t>-</w:t>
      </w:r>
      <w:r>
        <w:rPr>
          <w:rFonts w:eastAsiaTheme="minorEastAsia" w:hint="eastAsia"/>
          <w:b w:val="0"/>
          <w:bCs w:val="0"/>
          <w:color w:val="000000"/>
          <w:sz w:val="21"/>
          <w:szCs w:val="21"/>
        </w:rPr>
        <w:t>嘉信</w:t>
      </w:r>
      <w:r>
        <w:rPr>
          <w:rFonts w:eastAsiaTheme="minorEastAsia" w:hint="eastAsia"/>
          <w:b w:val="0"/>
          <w:bCs w:val="0"/>
          <w:color w:val="000000"/>
          <w:sz w:val="21"/>
          <w:szCs w:val="21"/>
        </w:rPr>
        <w:t>7</w:t>
      </w:r>
      <w:r>
        <w:rPr>
          <w:rFonts w:eastAsiaTheme="minorEastAsia" w:hint="eastAsia"/>
          <w:b w:val="0"/>
          <w:bCs w:val="0"/>
          <w:color w:val="000000"/>
          <w:sz w:val="21"/>
          <w:szCs w:val="21"/>
        </w:rPr>
        <w:t>号集合资金信托计划”）</w:t>
      </w:r>
      <w:r>
        <w:rPr>
          <w:rFonts w:eastAsiaTheme="minorEastAsia" w:hint="eastAsia"/>
          <w:b w:val="0"/>
          <w:bCs w:val="0"/>
          <w:color w:val="000000"/>
          <w:sz w:val="21"/>
          <w:szCs w:val="21"/>
          <w:lang w:eastAsia="zh-CN"/>
        </w:rPr>
        <w:t>、</w:t>
      </w:r>
      <w:r>
        <w:rPr>
          <w:rFonts w:eastAsiaTheme="minorEastAsia" w:hint="eastAsia"/>
          <w:b w:val="0"/>
          <w:bCs w:val="0"/>
          <w:color w:val="000000"/>
          <w:sz w:val="21"/>
          <w:szCs w:val="21"/>
        </w:rPr>
        <w:t>中国中金财富证券有限公司</w:t>
      </w:r>
      <w:r>
        <w:rPr>
          <w:rFonts w:eastAsiaTheme="minorEastAsia" w:hint="eastAsia"/>
          <w:b w:val="0"/>
          <w:bCs w:val="0"/>
          <w:color w:val="000000"/>
          <w:sz w:val="21"/>
          <w:szCs w:val="21"/>
          <w:lang w:val="en-US" w:eastAsia="zh-CN"/>
        </w:rPr>
        <w:t>十家投资人</w:t>
      </w:r>
      <w:r>
        <w:rPr>
          <w:rFonts w:eastAsiaTheme="minorEastAsia"/>
          <w:b w:val="0"/>
          <w:bCs w:val="0"/>
          <w:color w:val="000000"/>
          <w:sz w:val="21"/>
          <w:szCs w:val="21"/>
          <w:lang w:eastAsia="zh-CN"/>
        </w:rPr>
        <w:t>作为战</w:t>
      </w:r>
      <w:r>
        <w:rPr>
          <w:b w:val="0"/>
          <w:bCs w:val="0"/>
          <w:color w:val="000000"/>
          <w:sz w:val="21"/>
          <w:szCs w:val="21"/>
          <w:lang w:eastAsia="zh-CN"/>
        </w:rPr>
        <w:t>略投资者</w:t>
      </w:r>
      <w:r>
        <w:rPr>
          <w:b w:val="0"/>
          <w:bCs w:val="0"/>
          <w:color w:val="000000"/>
          <w:sz w:val="21"/>
          <w:szCs w:val="21"/>
        </w:rPr>
        <w:t>不参与竞价，</w:t>
      </w:r>
      <w:r>
        <w:rPr>
          <w:rFonts w:hint="eastAsia"/>
          <w:b w:val="0"/>
          <w:bCs w:val="0"/>
          <w:color w:val="000000"/>
          <w:sz w:val="21"/>
          <w:szCs w:val="21"/>
        </w:rPr>
        <w:t>按照</w:t>
      </w:r>
      <w:r>
        <w:rPr>
          <w:b w:val="0"/>
          <w:bCs w:val="0"/>
          <w:color w:val="000000"/>
          <w:sz w:val="21"/>
          <w:szCs w:val="21"/>
        </w:rPr>
        <w:t>基金管理人依法确定的发售价格</w:t>
      </w:r>
      <w:r>
        <w:rPr>
          <w:rFonts w:hint="eastAsia"/>
          <w:b w:val="0"/>
          <w:bCs w:val="0"/>
          <w:color w:val="000000"/>
          <w:sz w:val="21"/>
          <w:szCs w:val="21"/>
        </w:rPr>
        <w:t>，</w:t>
      </w:r>
      <w:r>
        <w:rPr>
          <w:b w:val="0"/>
          <w:bCs w:val="0"/>
          <w:color w:val="000000"/>
          <w:sz w:val="21"/>
          <w:szCs w:val="21"/>
        </w:rPr>
        <w:t>与其他发售对象以相同认购价格</w:t>
      </w:r>
      <w:r>
        <w:rPr>
          <w:rFonts w:hint="eastAsia"/>
          <w:b w:val="0"/>
          <w:bCs w:val="0"/>
          <w:color w:val="000000"/>
          <w:sz w:val="21"/>
          <w:szCs w:val="21"/>
        </w:rPr>
        <w:t>，分别</w:t>
      </w:r>
      <w:r>
        <w:rPr>
          <w:b w:val="0"/>
          <w:bCs w:val="0"/>
          <w:color w:val="000000"/>
          <w:sz w:val="21"/>
          <w:szCs w:val="21"/>
        </w:rPr>
        <w:t>认购本次扩募份额</w:t>
      </w:r>
      <w:r>
        <w:rPr>
          <w:rFonts w:hint="eastAsia"/>
          <w:b w:val="0"/>
          <w:bCs w:val="0"/>
          <w:color w:val="000000"/>
          <w:sz w:val="21"/>
          <w:szCs w:val="21"/>
        </w:rPr>
        <w:t>数量的</w:t>
      </w:r>
      <w:r>
        <w:rPr>
          <w:rFonts w:hint="eastAsia"/>
          <w:b w:val="0"/>
          <w:bCs w:val="0"/>
          <w:color w:val="000000"/>
          <w:sz w:val="21"/>
          <w:szCs w:val="21"/>
          <w:lang w:val="en-US" w:eastAsia="zh-CN"/>
        </w:rPr>
        <w:t>51%</w:t>
      </w:r>
      <w:r>
        <w:rPr>
          <w:rFonts w:hint="eastAsia"/>
          <w:b w:val="0"/>
          <w:bCs w:val="0"/>
          <w:color w:val="000000"/>
          <w:sz w:val="21"/>
          <w:szCs w:val="21"/>
          <w:lang w:val="en-US" w:eastAsia="zh-CN"/>
        </w:rPr>
        <w:t>、</w:t>
      </w:r>
      <w:r>
        <w:rPr>
          <w:rFonts w:hint="eastAsia"/>
          <w:b w:val="0"/>
          <w:bCs w:val="0"/>
          <w:color w:val="000000"/>
          <w:sz w:val="21"/>
          <w:szCs w:val="21"/>
          <w:lang w:val="en-US" w:eastAsia="zh-CN"/>
        </w:rPr>
        <w:t>3%</w:t>
      </w:r>
      <w:r>
        <w:rPr>
          <w:rFonts w:hint="eastAsia"/>
          <w:b w:val="0"/>
          <w:bCs w:val="0"/>
          <w:color w:val="000000"/>
          <w:sz w:val="21"/>
          <w:szCs w:val="21"/>
          <w:lang w:val="en-US" w:eastAsia="zh-CN"/>
        </w:rPr>
        <w:t>、</w:t>
      </w:r>
      <w:r>
        <w:rPr>
          <w:rFonts w:hint="eastAsia"/>
          <w:b w:val="0"/>
          <w:bCs w:val="0"/>
          <w:color w:val="000000"/>
          <w:sz w:val="21"/>
          <w:szCs w:val="21"/>
          <w:lang w:val="en-US" w:eastAsia="zh-CN"/>
        </w:rPr>
        <w:t>2.7%</w:t>
      </w:r>
      <w:r>
        <w:rPr>
          <w:rFonts w:hint="eastAsia"/>
          <w:b w:val="0"/>
          <w:bCs w:val="0"/>
          <w:color w:val="000000"/>
          <w:sz w:val="21"/>
          <w:szCs w:val="21"/>
          <w:lang w:val="en-US" w:eastAsia="zh-CN"/>
        </w:rPr>
        <w:t>、</w:t>
      </w:r>
      <w:r>
        <w:rPr>
          <w:rFonts w:hint="eastAsia"/>
          <w:b w:val="0"/>
          <w:bCs w:val="0"/>
          <w:color w:val="000000"/>
          <w:sz w:val="21"/>
          <w:szCs w:val="21"/>
          <w:lang w:val="en-US" w:eastAsia="zh-CN"/>
        </w:rPr>
        <w:t>2.7%</w:t>
      </w:r>
      <w:r>
        <w:rPr>
          <w:rFonts w:hint="eastAsia"/>
          <w:b w:val="0"/>
          <w:bCs w:val="0"/>
          <w:color w:val="000000"/>
          <w:sz w:val="21"/>
          <w:szCs w:val="21"/>
          <w:lang w:val="en-US" w:eastAsia="zh-CN"/>
        </w:rPr>
        <w:t>、</w:t>
      </w:r>
      <w:r>
        <w:rPr>
          <w:rFonts w:hint="eastAsia"/>
          <w:b w:val="0"/>
          <w:bCs w:val="0"/>
          <w:color w:val="000000"/>
          <w:sz w:val="21"/>
          <w:szCs w:val="21"/>
          <w:lang w:val="en-US" w:eastAsia="zh-CN"/>
        </w:rPr>
        <w:t>2.7%</w:t>
      </w:r>
      <w:r>
        <w:rPr>
          <w:rFonts w:hint="eastAsia"/>
          <w:b w:val="0"/>
          <w:bCs w:val="0"/>
          <w:color w:val="000000"/>
          <w:sz w:val="21"/>
          <w:szCs w:val="21"/>
          <w:lang w:val="en-US" w:eastAsia="zh-CN"/>
        </w:rPr>
        <w:t>、</w:t>
      </w:r>
      <w:r>
        <w:rPr>
          <w:rFonts w:hint="eastAsia"/>
          <w:b w:val="0"/>
          <w:bCs w:val="0"/>
          <w:color w:val="000000"/>
          <w:sz w:val="21"/>
          <w:szCs w:val="21"/>
          <w:lang w:val="en-US" w:eastAsia="zh-CN"/>
        </w:rPr>
        <w:t>2.7%</w:t>
      </w:r>
      <w:r>
        <w:rPr>
          <w:rFonts w:hint="eastAsia"/>
          <w:b w:val="0"/>
          <w:bCs w:val="0"/>
          <w:color w:val="000000"/>
          <w:sz w:val="21"/>
          <w:szCs w:val="21"/>
          <w:lang w:val="en-US" w:eastAsia="zh-CN"/>
        </w:rPr>
        <w:t>、</w:t>
      </w:r>
      <w:r>
        <w:rPr>
          <w:rFonts w:hint="eastAsia"/>
          <w:b w:val="0"/>
          <w:bCs w:val="0"/>
          <w:color w:val="000000"/>
          <w:sz w:val="21"/>
          <w:szCs w:val="21"/>
          <w:lang w:val="en-US" w:eastAsia="zh-CN"/>
        </w:rPr>
        <w:t>2.7%</w:t>
      </w:r>
      <w:r>
        <w:rPr>
          <w:rFonts w:hint="eastAsia"/>
          <w:b w:val="0"/>
          <w:bCs w:val="0"/>
          <w:color w:val="000000"/>
          <w:sz w:val="21"/>
          <w:szCs w:val="21"/>
          <w:lang w:val="en-US" w:eastAsia="zh-CN"/>
        </w:rPr>
        <w:t>、</w:t>
      </w:r>
      <w:r>
        <w:rPr>
          <w:rFonts w:hint="eastAsia"/>
          <w:b w:val="0"/>
          <w:bCs w:val="0"/>
          <w:color w:val="000000"/>
          <w:sz w:val="21"/>
          <w:szCs w:val="21"/>
          <w:lang w:val="en-US" w:eastAsia="zh-CN"/>
        </w:rPr>
        <w:t>2.7%</w:t>
      </w:r>
      <w:r>
        <w:rPr>
          <w:rFonts w:hint="eastAsia"/>
          <w:b w:val="0"/>
          <w:bCs w:val="0"/>
          <w:color w:val="000000"/>
          <w:sz w:val="21"/>
          <w:szCs w:val="21"/>
          <w:lang w:val="en-US" w:eastAsia="zh-CN"/>
        </w:rPr>
        <w:t>、</w:t>
      </w:r>
      <w:r>
        <w:rPr>
          <w:rFonts w:hint="eastAsia"/>
          <w:b w:val="0"/>
          <w:bCs w:val="0"/>
          <w:color w:val="000000"/>
          <w:sz w:val="21"/>
          <w:szCs w:val="21"/>
          <w:lang w:val="en-US" w:eastAsia="zh-CN"/>
        </w:rPr>
        <w:t>2.7%</w:t>
      </w:r>
      <w:r>
        <w:rPr>
          <w:rFonts w:hint="eastAsia"/>
          <w:b w:val="0"/>
          <w:bCs w:val="0"/>
          <w:color w:val="000000"/>
          <w:sz w:val="21"/>
          <w:szCs w:val="21"/>
          <w:lang w:val="en-US" w:eastAsia="zh-CN"/>
        </w:rPr>
        <w:t>、</w:t>
      </w:r>
      <w:r>
        <w:rPr>
          <w:rFonts w:hint="eastAsia"/>
          <w:b w:val="0"/>
          <w:bCs w:val="0"/>
          <w:color w:val="000000"/>
          <w:sz w:val="21"/>
          <w:szCs w:val="21"/>
          <w:lang w:val="en-US" w:eastAsia="zh-CN"/>
        </w:rPr>
        <w:t>2.7</w:t>
      </w:r>
      <w:r>
        <w:rPr>
          <w:rFonts w:hint="eastAsia"/>
          <w:b w:val="0"/>
          <w:bCs w:val="0"/>
          <w:color w:val="000000"/>
          <w:sz w:val="21"/>
          <w:szCs w:val="21"/>
          <w:lang w:eastAsia="zh-CN"/>
        </w:rPr>
        <w:t>%</w:t>
      </w:r>
      <w:r>
        <w:rPr>
          <w:rFonts w:hint="eastAsia"/>
          <w:b w:val="0"/>
          <w:bCs w:val="0"/>
          <w:color w:val="000000"/>
          <w:sz w:val="21"/>
          <w:szCs w:val="21"/>
          <w:lang w:eastAsia="zh-CN"/>
        </w:rPr>
        <w:t>。除前述情形外，</w:t>
      </w:r>
      <w:r>
        <w:rPr>
          <w:rFonts w:hint="eastAsia"/>
          <w:b w:val="0"/>
          <w:bCs w:val="0"/>
          <w:color w:val="000000"/>
          <w:sz w:val="21"/>
          <w:szCs w:val="21"/>
        </w:rPr>
        <w:t>按“认购价格优先、认购金额优先、认购时间优先”的原则</w:t>
      </w:r>
      <w:r>
        <w:rPr>
          <w:b w:val="0"/>
          <w:bCs w:val="0"/>
          <w:color w:val="000000"/>
          <w:sz w:val="21"/>
          <w:szCs w:val="21"/>
        </w:rPr>
        <w:t>最终确定</w:t>
      </w:r>
      <w:r>
        <w:rPr>
          <w:rFonts w:hint="eastAsia"/>
          <w:b w:val="0"/>
          <w:bCs w:val="0"/>
          <w:color w:val="000000"/>
          <w:sz w:val="21"/>
          <w:szCs w:val="21"/>
        </w:rPr>
        <w:t>其他发售对象</w:t>
      </w:r>
      <w:r>
        <w:rPr>
          <w:rFonts w:cs="Times New Roman" w:hint="eastAsia"/>
          <w:b w:val="0"/>
          <w:bCs w:val="0"/>
          <w:color w:val="000000"/>
          <w:sz w:val="21"/>
          <w:szCs w:val="21"/>
          <w:lang w:val="en-US" w:eastAsia="zh-CN"/>
        </w:rPr>
        <w:t>3</w:t>
      </w:r>
      <w:bookmarkStart w:id="15" w:name="_GoBack"/>
      <w:bookmarkEnd w:id="15"/>
      <w:r>
        <w:rPr>
          <w:b w:val="0"/>
          <w:bCs w:val="0"/>
          <w:color w:val="000000"/>
          <w:sz w:val="21"/>
          <w:szCs w:val="21"/>
        </w:rPr>
        <w:t>家</w:t>
      </w:r>
      <w:r>
        <w:rPr>
          <w:rFonts w:eastAsiaTheme="minorEastAsia" w:hint="eastAsia"/>
          <w:b w:val="0"/>
          <w:bCs w:val="0"/>
          <w:color w:val="000000"/>
          <w:sz w:val="21"/>
          <w:szCs w:val="21"/>
        </w:rPr>
        <w:t>。</w:t>
      </w:r>
      <w:r>
        <w:rPr>
          <w:rFonts w:hint="eastAsia"/>
          <w:b w:val="0"/>
          <w:bCs w:val="0"/>
          <w:color w:val="000000"/>
          <w:sz w:val="21"/>
          <w:szCs w:val="21"/>
        </w:rPr>
        <w:t>全部发售对象及其获得</w:t>
      </w:r>
      <w:r>
        <w:rPr>
          <w:b w:val="0"/>
          <w:bCs w:val="0"/>
          <w:color w:val="000000"/>
          <w:sz w:val="21"/>
          <w:szCs w:val="21"/>
        </w:rPr>
        <w:t>配售</w:t>
      </w:r>
      <w:r>
        <w:rPr>
          <w:rFonts w:hint="eastAsia"/>
          <w:b w:val="0"/>
          <w:bCs w:val="0"/>
          <w:color w:val="000000"/>
          <w:sz w:val="21"/>
          <w:szCs w:val="21"/>
        </w:rPr>
        <w:t>的具体</w:t>
      </w:r>
      <w:r>
        <w:rPr>
          <w:b w:val="0"/>
          <w:bCs w:val="0"/>
          <w:color w:val="000000"/>
          <w:sz w:val="21"/>
          <w:szCs w:val="21"/>
        </w:rPr>
        <w:t>结果如下：</w:t>
      </w:r>
    </w:p>
    <w:tbl>
      <w:tblPr>
        <w:tblW w:w="5000" w:type="pct"/>
        <w:jc w:val="center"/>
        <w:tblCellMar>
          <w:left w:w="10" w:type="dxa"/>
          <w:right w:w="10" w:type="dxa"/>
        </w:tblCellMar>
        <w:tblLook w:val="04A0"/>
      </w:tblPr>
      <w:tblGrid>
        <w:gridCol w:w="374"/>
        <w:gridCol w:w="5331"/>
        <w:gridCol w:w="1505"/>
        <w:gridCol w:w="1740"/>
        <w:gridCol w:w="816"/>
      </w:tblGrid>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left"/>
              <w:rPr>
                <w:sz w:val="21"/>
                <w:szCs w:val="21"/>
              </w:rPr>
            </w:pPr>
            <w:r>
              <w:rPr>
                <w:rFonts w:hint="eastAsia"/>
                <w:color w:val="000000"/>
                <w:sz w:val="21"/>
                <w:szCs w:val="21"/>
              </w:rPr>
              <w:t>序号</w:t>
            </w:r>
          </w:p>
        </w:tc>
        <w:tc>
          <w:tcPr>
            <w:tcW w:w="2728" w:type="pct"/>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sz w:val="21"/>
                <w:szCs w:val="21"/>
              </w:rPr>
            </w:pPr>
            <w:r>
              <w:rPr>
                <w:rFonts w:hint="eastAsia"/>
                <w:color w:val="000000"/>
                <w:sz w:val="21"/>
                <w:szCs w:val="21"/>
                <w:lang w:eastAsia="zh-CN"/>
              </w:rPr>
              <w:t>投资者名称</w:t>
            </w:r>
          </w:p>
        </w:tc>
        <w:tc>
          <w:tcPr>
            <w:tcW w:w="770" w:type="pct"/>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sz w:val="21"/>
                <w:szCs w:val="21"/>
              </w:rPr>
            </w:pPr>
            <w:r>
              <w:rPr>
                <w:rFonts w:hint="eastAsia"/>
                <w:color w:val="000000"/>
                <w:sz w:val="21"/>
                <w:szCs w:val="21"/>
              </w:rPr>
              <w:t>获配基金份额数（份）</w:t>
            </w:r>
          </w:p>
        </w:tc>
        <w:tc>
          <w:tcPr>
            <w:tcW w:w="891" w:type="pct"/>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获配金额（元）</w:t>
            </w:r>
          </w:p>
        </w:tc>
        <w:tc>
          <w:tcPr>
            <w:tcW w:w="418" w:type="pct"/>
            <w:tcBorders>
              <w:top w:val="single" w:sz="4" w:space="0" w:color="auto"/>
              <w:left w:val="single" w:sz="4" w:space="0" w:color="auto"/>
              <w:right w:val="single" w:sz="4" w:space="0" w:color="auto"/>
            </w:tcBorders>
            <w:shd w:val="clear" w:color="auto" w:fill="FFFFFF"/>
            <w:vAlign w:val="bottom"/>
          </w:tcPr>
          <w:p w:rsidR="00471678" w:rsidRDefault="00A80442">
            <w:pPr>
              <w:pStyle w:val="Other1"/>
              <w:spacing w:after="0" w:line="240" w:lineRule="auto"/>
              <w:ind w:firstLine="0"/>
              <w:jc w:val="center"/>
              <w:rPr>
                <w:color w:val="000000"/>
                <w:sz w:val="21"/>
                <w:szCs w:val="21"/>
              </w:rPr>
            </w:pPr>
            <w:r>
              <w:rPr>
                <w:rFonts w:hint="eastAsia"/>
                <w:color w:val="000000"/>
                <w:sz w:val="21"/>
                <w:szCs w:val="21"/>
                <w:lang w:eastAsia="zh-CN"/>
              </w:rPr>
              <w:t>限售</w:t>
            </w:r>
            <w:r>
              <w:rPr>
                <w:rFonts w:hint="eastAsia"/>
                <w:color w:val="000000"/>
                <w:sz w:val="21"/>
                <w:szCs w:val="21"/>
              </w:rPr>
              <w:t>期</w:t>
            </w:r>
            <w:r>
              <w:rPr>
                <w:rFonts w:hint="eastAsia"/>
                <w:color w:val="000000"/>
                <w:sz w:val="21"/>
                <w:szCs w:val="21"/>
              </w:rPr>
              <w:t xml:space="preserve"> </w:t>
            </w:r>
            <w:r>
              <w:rPr>
                <w:rFonts w:hint="eastAsia"/>
                <w:color w:val="000000"/>
                <w:sz w:val="21"/>
                <w:szCs w:val="21"/>
              </w:rPr>
              <w:t>（月）</w:t>
            </w:r>
          </w:p>
        </w:tc>
      </w:tr>
      <w:tr w:rsidR="00471678">
        <w:trPr>
          <w:trHeight w:val="624"/>
          <w:jc w:val="center"/>
        </w:trPr>
        <w:tc>
          <w:tcPr>
            <w:tcW w:w="191" w:type="pct"/>
            <w:vMerge w:val="restart"/>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sz w:val="21"/>
                <w:szCs w:val="21"/>
                <w:lang w:val="en-US" w:eastAsia="zh-CN"/>
              </w:rPr>
            </w:pPr>
            <w:r>
              <w:rPr>
                <w:rFonts w:hint="eastAsia"/>
                <w:color w:val="000000"/>
                <w:sz w:val="21"/>
                <w:szCs w:val="21"/>
                <w:lang w:val="en-US" w:eastAsia="zh-CN"/>
              </w:rPr>
              <w:t>1</w:t>
            </w:r>
          </w:p>
        </w:tc>
        <w:tc>
          <w:tcPr>
            <w:tcW w:w="2728" w:type="pct"/>
            <w:vMerge w:val="restar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sz w:val="22"/>
              </w:rPr>
              <w:t>盐田港物流有限公司</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kern w:val="0"/>
                <w:sz w:val="22"/>
              </w:rPr>
            </w:pPr>
            <w:r>
              <w:rPr>
                <w:rFonts w:ascii="宋体" w:hAnsi="宋体" w:cs="宋体" w:hint="eastAsia"/>
                <w:color w:val="000000"/>
                <w:kern w:val="0"/>
                <w:sz w:val="22"/>
                <w:lang/>
              </w:rPr>
              <w:t xml:space="preserve">30,725,926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82,960,000.20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60</w:t>
            </w:r>
          </w:p>
        </w:tc>
      </w:tr>
      <w:tr w:rsidR="00471678">
        <w:trPr>
          <w:trHeight w:val="624"/>
          <w:jc w:val="center"/>
        </w:trPr>
        <w:tc>
          <w:tcPr>
            <w:tcW w:w="191" w:type="pct"/>
            <w:vMerge/>
            <w:tcBorders>
              <w:left w:val="single" w:sz="4" w:space="0" w:color="auto"/>
            </w:tcBorders>
            <w:shd w:val="clear" w:color="auto" w:fill="FFFFFF"/>
            <w:vAlign w:val="center"/>
          </w:tcPr>
          <w:p w:rsidR="00471678" w:rsidRDefault="00471678">
            <w:pPr>
              <w:pStyle w:val="Other1"/>
              <w:spacing w:after="0" w:line="240" w:lineRule="auto"/>
              <w:ind w:firstLine="240"/>
              <w:jc w:val="left"/>
              <w:rPr>
                <w:sz w:val="21"/>
                <w:szCs w:val="21"/>
              </w:rPr>
            </w:pPr>
          </w:p>
        </w:tc>
        <w:tc>
          <w:tcPr>
            <w:tcW w:w="2728" w:type="pct"/>
            <w:vMerge/>
            <w:tcBorders>
              <w:left w:val="single" w:sz="4" w:space="0" w:color="auto"/>
            </w:tcBorders>
            <w:shd w:val="clear" w:color="auto" w:fill="FFFFFF"/>
            <w:vAlign w:val="center"/>
          </w:tcPr>
          <w:p w:rsidR="00471678" w:rsidRDefault="00471678">
            <w:pPr>
              <w:widowControl/>
              <w:jc w:val="center"/>
              <w:textAlignment w:val="center"/>
              <w:rPr>
                <w:rFonts w:ascii="宋体" w:hAnsi="宋体" w:cs="宋体"/>
                <w:sz w:val="22"/>
              </w:rPr>
            </w:pP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kern w:val="0"/>
                <w:sz w:val="22"/>
              </w:rPr>
            </w:pPr>
            <w:r>
              <w:rPr>
                <w:rFonts w:ascii="宋体" w:hAnsi="宋体" w:cs="宋体" w:hint="eastAsia"/>
                <w:color w:val="000000"/>
                <w:kern w:val="0"/>
                <w:sz w:val="22"/>
                <w:lang/>
              </w:rPr>
              <w:t xml:space="preserve">47,625,186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128,588,002.20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36</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2</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sz w:val="22"/>
              </w:rPr>
              <w:t>深国际控股（深圳）有限公司</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kern w:val="0"/>
                <w:sz w:val="22"/>
              </w:rPr>
            </w:pPr>
            <w:r>
              <w:rPr>
                <w:rFonts w:ascii="宋体" w:hAnsi="宋体" w:cs="宋体" w:hint="eastAsia"/>
                <w:color w:val="000000"/>
                <w:kern w:val="0"/>
                <w:sz w:val="22"/>
                <w:lang/>
              </w:rPr>
              <w:t xml:space="preserve">4,608,889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12,444,000.30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18</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3</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sz w:val="22"/>
              </w:rPr>
              <w:t>上海光大证券资产管理有限公司（代表“光证资管诚享</w:t>
            </w:r>
            <w:r>
              <w:rPr>
                <w:rFonts w:ascii="宋体" w:hAnsi="宋体" w:cs="宋体" w:hint="eastAsia"/>
                <w:sz w:val="22"/>
              </w:rPr>
              <w:t>6</w:t>
            </w:r>
            <w:r>
              <w:rPr>
                <w:rFonts w:ascii="宋体" w:hAnsi="宋体" w:cs="宋体" w:hint="eastAsia"/>
                <w:sz w:val="22"/>
              </w:rPr>
              <w:t>号集合资产管理计划”）</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11,199,600.00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18</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4</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sz w:val="22"/>
              </w:rPr>
              <w:t>华金证券股份有限公司（代表“华金证券国任保险</w:t>
            </w:r>
            <w:r>
              <w:rPr>
                <w:rFonts w:ascii="宋体" w:hAnsi="宋体" w:cs="宋体" w:hint="eastAsia"/>
                <w:sz w:val="22"/>
              </w:rPr>
              <w:t>5</w:t>
            </w:r>
            <w:r>
              <w:rPr>
                <w:rFonts w:ascii="宋体" w:hAnsi="宋体" w:cs="宋体" w:hint="eastAsia"/>
                <w:sz w:val="22"/>
              </w:rPr>
              <w:t>号基础设施基金策略</w:t>
            </w:r>
            <w:r>
              <w:rPr>
                <w:rFonts w:ascii="宋体" w:hAnsi="宋体" w:cs="宋体" w:hint="eastAsia"/>
                <w:sz w:val="22"/>
              </w:rPr>
              <w:t>FOF</w:t>
            </w:r>
            <w:r>
              <w:rPr>
                <w:rFonts w:ascii="宋体" w:hAnsi="宋体" w:cs="宋体" w:hint="eastAsia"/>
                <w:sz w:val="22"/>
              </w:rPr>
              <w:t>单一资产管理计划”）</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11,199,600.00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18</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5</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sz w:val="22"/>
              </w:rPr>
              <w:t>国泰君安证券股份有限公司</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11,199,600.00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18</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6</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sz w:val="22"/>
              </w:rPr>
              <w:t>华鑫证券有限责任公司（代表“华鑫证券鑫源</w:t>
            </w:r>
            <w:r>
              <w:rPr>
                <w:rFonts w:ascii="宋体" w:hAnsi="宋体" w:cs="宋体" w:hint="eastAsia"/>
                <w:sz w:val="22"/>
              </w:rPr>
              <w:t>7</w:t>
            </w:r>
            <w:r>
              <w:rPr>
                <w:rFonts w:ascii="宋体" w:hAnsi="宋体" w:cs="宋体" w:hint="eastAsia"/>
                <w:sz w:val="22"/>
              </w:rPr>
              <w:t>号单一资产管理计划”）</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11,199,600.00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18</w:t>
            </w:r>
          </w:p>
        </w:tc>
      </w:tr>
      <w:tr w:rsidR="00471678">
        <w:trPr>
          <w:trHeight w:val="624"/>
          <w:jc w:val="center"/>
        </w:trPr>
        <w:tc>
          <w:tcPr>
            <w:tcW w:w="191" w:type="pct"/>
            <w:tcBorders>
              <w:top w:val="single" w:sz="4" w:space="0" w:color="auto"/>
              <w:left w:val="single" w:sz="4" w:space="0" w:color="auto"/>
              <w:bottom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7</w:t>
            </w:r>
          </w:p>
        </w:tc>
        <w:tc>
          <w:tcPr>
            <w:tcW w:w="2728" w:type="pct"/>
            <w:tcBorders>
              <w:top w:val="single" w:sz="4" w:space="0" w:color="auto"/>
              <w:left w:val="single" w:sz="4" w:space="0" w:color="auto"/>
              <w:bottom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sz w:val="22"/>
              </w:rPr>
              <w:t>华鑫国际信托有限公司</w:t>
            </w:r>
            <w:r>
              <w:rPr>
                <w:rFonts w:ascii="宋体" w:hAnsi="宋体" w:cs="宋体" w:hint="eastAsia"/>
                <w:sz w:val="22"/>
              </w:rPr>
              <w:t>(</w:t>
            </w:r>
            <w:r>
              <w:rPr>
                <w:rFonts w:ascii="宋体" w:hAnsi="宋体" w:cs="宋体" w:hint="eastAsia"/>
                <w:sz w:val="22"/>
              </w:rPr>
              <w:t>代表“华鑫信托</w:t>
            </w:r>
            <w:r>
              <w:rPr>
                <w:rFonts w:ascii="宋体" w:hAnsi="宋体" w:cs="宋体" w:hint="eastAsia"/>
                <w:sz w:val="22"/>
              </w:rPr>
              <w:t>-</w:t>
            </w:r>
            <w:r>
              <w:rPr>
                <w:rFonts w:ascii="宋体" w:hAnsi="宋体" w:cs="宋体" w:hint="eastAsia"/>
                <w:sz w:val="22"/>
              </w:rPr>
              <w:t>华盈</w:t>
            </w:r>
            <w:r>
              <w:rPr>
                <w:rFonts w:ascii="宋体" w:hAnsi="宋体" w:cs="宋体" w:hint="eastAsia"/>
                <w:sz w:val="22"/>
              </w:rPr>
              <w:t>17</w:t>
            </w:r>
            <w:r>
              <w:rPr>
                <w:rFonts w:ascii="宋体" w:hAnsi="宋体" w:cs="宋体" w:hint="eastAsia"/>
                <w:sz w:val="22"/>
              </w:rPr>
              <w:t>号</w:t>
            </w:r>
            <w:r>
              <w:rPr>
                <w:rFonts w:ascii="宋体" w:hAnsi="宋体" w:cs="宋体" w:hint="eastAsia"/>
                <w:sz w:val="22"/>
              </w:rPr>
              <w:t>(</w:t>
            </w:r>
            <w:r>
              <w:rPr>
                <w:rFonts w:ascii="宋体" w:hAnsi="宋体" w:cs="宋体" w:hint="eastAsia"/>
                <w:sz w:val="22"/>
              </w:rPr>
              <w:t>混合配置</w:t>
            </w:r>
            <w:r>
              <w:rPr>
                <w:rFonts w:ascii="宋体" w:hAnsi="宋体" w:cs="宋体" w:hint="eastAsia"/>
                <w:sz w:val="22"/>
              </w:rPr>
              <w:t>)</w:t>
            </w:r>
            <w:r>
              <w:rPr>
                <w:rFonts w:ascii="宋体" w:hAnsi="宋体" w:cs="宋体" w:hint="eastAsia"/>
                <w:sz w:val="22"/>
              </w:rPr>
              <w:t>集合资金信托计划”</w:t>
            </w:r>
            <w:r>
              <w:rPr>
                <w:rFonts w:ascii="宋体" w:hAnsi="宋体" w:cs="宋体" w:hint="eastAsia"/>
                <w:sz w:val="22"/>
              </w:rPr>
              <w:t>)</w:t>
            </w:r>
          </w:p>
        </w:tc>
        <w:tc>
          <w:tcPr>
            <w:tcW w:w="770" w:type="pct"/>
            <w:tcBorders>
              <w:top w:val="single" w:sz="4" w:space="0" w:color="auto"/>
              <w:left w:val="single" w:sz="4" w:space="0" w:color="auto"/>
              <w:bottom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891" w:type="pct"/>
            <w:tcBorders>
              <w:top w:val="single" w:sz="4" w:space="0" w:color="auto"/>
              <w:left w:val="single" w:sz="4" w:space="0" w:color="auto"/>
              <w:bottom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11,199,600.00 </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18</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8</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sz w:val="22"/>
              </w:rPr>
              <w:t>中航基金管理有限公司（代表“中航基金</w:t>
            </w:r>
            <w:r>
              <w:rPr>
                <w:rFonts w:ascii="宋体" w:hAnsi="宋体" w:cs="宋体" w:hint="eastAsia"/>
                <w:sz w:val="22"/>
              </w:rPr>
              <w:t>REITs</w:t>
            </w:r>
            <w:r>
              <w:rPr>
                <w:rFonts w:ascii="宋体" w:hAnsi="宋体" w:cs="宋体" w:hint="eastAsia"/>
                <w:sz w:val="22"/>
              </w:rPr>
              <w:t>京彩</w:t>
            </w:r>
            <w:r>
              <w:rPr>
                <w:rFonts w:ascii="宋体" w:hAnsi="宋体" w:cs="宋体" w:hint="eastAsia"/>
                <w:sz w:val="22"/>
              </w:rPr>
              <w:t>1</w:t>
            </w:r>
            <w:r>
              <w:rPr>
                <w:rFonts w:ascii="宋体" w:hAnsi="宋体" w:cs="宋体" w:hint="eastAsia"/>
                <w:sz w:val="22"/>
              </w:rPr>
              <w:t>号集合资产管理计划”）</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11,199,600.00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18</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9</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sz w:val="22"/>
              </w:rPr>
              <w:t>中诚信托有限责任公司（代表“中诚信托</w:t>
            </w:r>
            <w:r>
              <w:rPr>
                <w:rFonts w:ascii="宋体" w:hAnsi="宋体" w:cs="宋体" w:hint="eastAsia"/>
                <w:sz w:val="22"/>
              </w:rPr>
              <w:t>-</w:t>
            </w:r>
            <w:r>
              <w:rPr>
                <w:rFonts w:ascii="宋体" w:hAnsi="宋体" w:cs="宋体" w:hint="eastAsia"/>
                <w:sz w:val="22"/>
              </w:rPr>
              <w:t>嘉信</w:t>
            </w:r>
            <w:r>
              <w:rPr>
                <w:rFonts w:ascii="宋体" w:hAnsi="宋体" w:cs="宋体" w:hint="eastAsia"/>
                <w:sz w:val="22"/>
              </w:rPr>
              <w:t>7</w:t>
            </w:r>
            <w:r>
              <w:rPr>
                <w:rFonts w:ascii="宋体" w:hAnsi="宋体" w:cs="宋体" w:hint="eastAsia"/>
                <w:sz w:val="22"/>
              </w:rPr>
              <w:t>号集合资金信托计划”）</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11,199,600.00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18</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10</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sz w:val="22"/>
              </w:rPr>
              <w:t>中国中金财富证券有限公司</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4,148,000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11,199,600.00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18</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11</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color w:val="000000"/>
                <w:sz w:val="22"/>
              </w:rPr>
              <w:t>宏源汇智投资有限公司</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14,814,814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39,999,997.80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6</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12</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color w:val="000000"/>
                <w:sz w:val="22"/>
              </w:rPr>
              <w:t>中国人民财产保险股份有限公司—传统—普通保险产品</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3,703,703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9,999,998.10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6</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13</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color w:val="000000"/>
                <w:sz w:val="22"/>
              </w:rPr>
              <w:t>中国人民人寿保险股份有限公司</w:t>
            </w:r>
            <w:r>
              <w:rPr>
                <w:rFonts w:ascii="宋体" w:hAnsi="宋体" w:cs="宋体" w:hint="eastAsia"/>
                <w:color w:val="000000"/>
                <w:sz w:val="22"/>
              </w:rPr>
              <w:t>-</w:t>
            </w:r>
            <w:r>
              <w:rPr>
                <w:rFonts w:ascii="宋体" w:hAnsi="宋体" w:cs="宋体" w:hint="eastAsia"/>
                <w:color w:val="000000"/>
                <w:sz w:val="22"/>
              </w:rPr>
              <w:t>传统</w:t>
            </w:r>
            <w:r>
              <w:rPr>
                <w:rFonts w:ascii="宋体" w:hAnsi="宋体" w:cs="宋体" w:hint="eastAsia"/>
                <w:color w:val="000000"/>
                <w:sz w:val="22"/>
              </w:rPr>
              <w:t>-</w:t>
            </w:r>
            <w:r>
              <w:rPr>
                <w:rFonts w:ascii="宋体" w:hAnsi="宋体" w:cs="宋体" w:hint="eastAsia"/>
                <w:color w:val="000000"/>
                <w:sz w:val="22"/>
              </w:rPr>
              <w:t>普通保险产品</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7,407,407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19,999,998.90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6</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14</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color w:val="000000"/>
                <w:sz w:val="22"/>
              </w:rPr>
              <w:t>中国人民健康保险股份有限公司—传统—普通保险产品</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3,703,703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9,999,998.10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6</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15</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color w:val="000000"/>
                <w:sz w:val="22"/>
              </w:rPr>
              <w:t>泰康养老保险股份有限公司一</w:t>
            </w:r>
            <w:r>
              <w:rPr>
                <w:rFonts w:ascii="宋体" w:hAnsi="宋体" w:cs="宋体" w:hint="eastAsia"/>
                <w:color w:val="000000"/>
                <w:sz w:val="22"/>
              </w:rPr>
              <w:t>自有资金</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1,964,000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5,302,800.00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6</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16</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color w:val="000000"/>
                <w:sz w:val="22"/>
              </w:rPr>
              <w:t>泰康养老保险股份有限公司万能甲专门投资组合甲</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982,000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2,651,400.00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6</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17</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color w:val="000000"/>
                <w:sz w:val="22"/>
              </w:rPr>
              <w:t>泰康人寿保险有限责任公司</w:t>
            </w:r>
            <w:r>
              <w:rPr>
                <w:rFonts w:ascii="宋体" w:hAnsi="宋体" w:cs="宋体" w:hint="eastAsia"/>
                <w:color w:val="000000"/>
                <w:sz w:val="22"/>
              </w:rPr>
              <w:t>-</w:t>
            </w:r>
            <w:r>
              <w:rPr>
                <w:rFonts w:ascii="宋体" w:hAnsi="宋体" w:cs="宋体" w:hint="eastAsia"/>
                <w:color w:val="000000"/>
                <w:sz w:val="22"/>
              </w:rPr>
              <w:t>传统</w:t>
            </w:r>
            <w:r>
              <w:rPr>
                <w:rFonts w:ascii="宋体" w:hAnsi="宋体" w:cs="宋体" w:hint="eastAsia"/>
                <w:color w:val="000000"/>
                <w:sz w:val="22"/>
              </w:rPr>
              <w:t>-</w:t>
            </w:r>
            <w:r>
              <w:rPr>
                <w:rFonts w:ascii="宋体" w:hAnsi="宋体" w:cs="宋体" w:hint="eastAsia"/>
                <w:color w:val="000000"/>
                <w:sz w:val="22"/>
              </w:rPr>
              <w:t>普通保险产品</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1,178,400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3,181,680.00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6</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18</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color w:val="000000"/>
                <w:sz w:val="22"/>
              </w:rPr>
              <w:t>泰康人寿保险有限责任公司分红型保险产品</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1,178,400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3,181,680.00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6</w:t>
            </w:r>
          </w:p>
        </w:tc>
      </w:tr>
      <w:tr w:rsidR="00471678">
        <w:trPr>
          <w:trHeight w:val="624"/>
          <w:jc w:val="center"/>
        </w:trPr>
        <w:tc>
          <w:tcPr>
            <w:tcW w:w="191" w:type="pct"/>
            <w:tcBorders>
              <w:top w:val="single" w:sz="4" w:space="0" w:color="auto"/>
              <w:left w:val="single" w:sz="4" w:space="0" w:color="auto"/>
            </w:tcBorders>
            <w:shd w:val="clear" w:color="auto" w:fill="FFFFFF"/>
            <w:vAlign w:val="center"/>
          </w:tcPr>
          <w:p w:rsidR="00471678" w:rsidRDefault="00A80442">
            <w:pPr>
              <w:jc w:val="center"/>
              <w:rPr>
                <w:rFonts w:ascii="宋体" w:hAnsi="宋体" w:cs="宋体"/>
                <w:sz w:val="22"/>
              </w:rPr>
            </w:pPr>
            <w:r>
              <w:rPr>
                <w:rFonts w:ascii="宋体" w:hAnsi="宋体" w:cs="宋体" w:hint="eastAsia"/>
                <w:sz w:val="22"/>
              </w:rPr>
              <w:t>19</w:t>
            </w:r>
          </w:p>
        </w:tc>
        <w:tc>
          <w:tcPr>
            <w:tcW w:w="2728" w:type="pct"/>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sz w:val="22"/>
              </w:rPr>
            </w:pPr>
            <w:r>
              <w:rPr>
                <w:rFonts w:ascii="宋体" w:hAnsi="宋体" w:cs="宋体" w:hint="eastAsia"/>
                <w:color w:val="000000"/>
                <w:sz w:val="22"/>
              </w:rPr>
              <w:t>泰康人寿保险有限责任公司</w:t>
            </w:r>
            <w:r>
              <w:rPr>
                <w:rFonts w:ascii="宋体" w:hAnsi="宋体" w:cs="宋体" w:hint="eastAsia"/>
                <w:color w:val="000000"/>
                <w:sz w:val="22"/>
              </w:rPr>
              <w:t>-</w:t>
            </w:r>
            <w:r>
              <w:rPr>
                <w:rFonts w:ascii="宋体" w:hAnsi="宋体" w:cs="宋体" w:hint="eastAsia"/>
                <w:color w:val="000000"/>
                <w:sz w:val="22"/>
              </w:rPr>
              <w:t>分红</w:t>
            </w:r>
            <w:r>
              <w:rPr>
                <w:rFonts w:ascii="宋体" w:hAnsi="宋体" w:cs="宋体" w:hint="eastAsia"/>
                <w:color w:val="000000"/>
                <w:sz w:val="22"/>
              </w:rPr>
              <w:t>-</w:t>
            </w:r>
            <w:r>
              <w:rPr>
                <w:rFonts w:ascii="宋体" w:hAnsi="宋体" w:cs="宋体" w:hint="eastAsia"/>
                <w:color w:val="000000"/>
                <w:sz w:val="22"/>
              </w:rPr>
              <w:t>个人分红</w:t>
            </w:r>
          </w:p>
        </w:tc>
        <w:tc>
          <w:tcPr>
            <w:tcW w:w="770"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2,553,200 </w:t>
            </w:r>
          </w:p>
        </w:tc>
        <w:tc>
          <w:tcPr>
            <w:tcW w:w="891" w:type="pct"/>
            <w:tcBorders>
              <w:top w:val="single" w:sz="4" w:space="0" w:color="auto"/>
              <w:left w:val="single" w:sz="4" w:space="0" w:color="auto"/>
            </w:tcBorders>
            <w:shd w:val="clear" w:color="auto" w:fill="FFFFFF"/>
            <w:vAlign w:val="center"/>
          </w:tcPr>
          <w:p w:rsidR="00471678" w:rsidRDefault="00A80442">
            <w:pPr>
              <w:widowControl/>
              <w:jc w:val="right"/>
              <w:textAlignment w:val="top"/>
              <w:rPr>
                <w:rFonts w:ascii="宋体" w:hAnsi="宋体" w:cs="宋体"/>
                <w:sz w:val="22"/>
              </w:rPr>
            </w:pPr>
            <w:r>
              <w:rPr>
                <w:rFonts w:ascii="宋体" w:hAnsi="宋体" w:cs="宋体" w:hint="eastAsia"/>
                <w:color w:val="000000"/>
                <w:kern w:val="0"/>
                <w:sz w:val="22"/>
                <w:lang/>
              </w:rPr>
              <w:t xml:space="preserve">6,893,640.00 </w:t>
            </w:r>
          </w:p>
        </w:tc>
        <w:tc>
          <w:tcPr>
            <w:tcW w:w="418" w:type="pct"/>
            <w:tcBorders>
              <w:top w:val="single" w:sz="4" w:space="0" w:color="auto"/>
              <w:left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kern w:val="0"/>
                <w:sz w:val="22"/>
              </w:rPr>
            </w:pPr>
            <w:r>
              <w:rPr>
                <w:rFonts w:ascii="宋体" w:hAnsi="宋体" w:cs="宋体" w:hint="eastAsia"/>
                <w:kern w:val="0"/>
                <w:sz w:val="22"/>
              </w:rPr>
              <w:t>6</w:t>
            </w:r>
          </w:p>
        </w:tc>
      </w:tr>
      <w:tr w:rsidR="00471678">
        <w:trPr>
          <w:trHeight w:val="624"/>
          <w:jc w:val="center"/>
        </w:trPr>
        <w:tc>
          <w:tcPr>
            <w:tcW w:w="2919" w:type="pct"/>
            <w:gridSpan w:val="2"/>
            <w:tcBorders>
              <w:top w:val="single" w:sz="4" w:space="0" w:color="auto"/>
              <w:left w:val="single" w:sz="4" w:space="0" w:color="auto"/>
              <w:bottom w:val="single" w:sz="4" w:space="0" w:color="auto"/>
            </w:tcBorders>
            <w:shd w:val="clear" w:color="auto" w:fill="FFFFFF"/>
            <w:vAlign w:val="center"/>
          </w:tcPr>
          <w:p w:rsidR="00471678" w:rsidRDefault="00A80442">
            <w:pPr>
              <w:pStyle w:val="Other1"/>
              <w:spacing w:after="0" w:line="240" w:lineRule="auto"/>
              <w:ind w:firstLine="0"/>
              <w:jc w:val="center"/>
              <w:rPr>
                <w:sz w:val="21"/>
                <w:szCs w:val="21"/>
              </w:rPr>
            </w:pPr>
            <w:r>
              <w:rPr>
                <w:rFonts w:hint="eastAsia"/>
                <w:color w:val="000000"/>
                <w:sz w:val="21"/>
                <w:szCs w:val="21"/>
              </w:rPr>
              <w:t>合计</w:t>
            </w:r>
          </w:p>
        </w:tc>
        <w:tc>
          <w:tcPr>
            <w:tcW w:w="770" w:type="pct"/>
            <w:tcBorders>
              <w:top w:val="single" w:sz="4" w:space="0" w:color="auto"/>
              <w:left w:val="single" w:sz="4" w:space="0" w:color="auto"/>
              <w:bottom w:val="single" w:sz="4" w:space="0" w:color="auto"/>
            </w:tcBorders>
            <w:shd w:val="clear" w:color="auto" w:fill="FFFFFF"/>
            <w:vAlign w:val="center"/>
          </w:tcPr>
          <w:p w:rsidR="00471678" w:rsidRDefault="00A80442">
            <w:pPr>
              <w:widowControl/>
              <w:jc w:val="right"/>
              <w:textAlignment w:val="top"/>
              <w:rPr>
                <w:rFonts w:ascii="宋体" w:hAnsi="宋体" w:cs="宋体"/>
                <w:color w:val="000000"/>
                <w:sz w:val="22"/>
              </w:rPr>
            </w:pPr>
            <w:r>
              <w:rPr>
                <w:rFonts w:ascii="宋体" w:hAnsi="宋体" w:cs="宋体" w:hint="eastAsia"/>
                <w:color w:val="000000"/>
                <w:kern w:val="0"/>
                <w:sz w:val="22"/>
                <w:lang/>
              </w:rPr>
              <w:t xml:space="preserve">153,629,628 </w:t>
            </w:r>
          </w:p>
        </w:tc>
        <w:tc>
          <w:tcPr>
            <w:tcW w:w="891" w:type="pct"/>
            <w:tcBorders>
              <w:top w:val="single" w:sz="4" w:space="0" w:color="auto"/>
              <w:left w:val="single" w:sz="4" w:space="0" w:color="auto"/>
              <w:bottom w:val="single" w:sz="4" w:space="0" w:color="auto"/>
            </w:tcBorders>
            <w:shd w:val="clear" w:color="auto" w:fill="FFFFFF"/>
            <w:vAlign w:val="center"/>
          </w:tcPr>
          <w:p w:rsidR="00471678" w:rsidRDefault="00A80442">
            <w:pPr>
              <w:widowControl/>
              <w:jc w:val="right"/>
              <w:textAlignment w:val="top"/>
              <w:rPr>
                <w:rFonts w:ascii="宋体" w:hAnsi="宋体" w:cs="宋体"/>
                <w:color w:val="000000"/>
                <w:sz w:val="22"/>
              </w:rPr>
            </w:pPr>
            <w:r>
              <w:rPr>
                <w:rFonts w:ascii="宋体" w:hAnsi="宋体" w:cs="宋体" w:hint="eastAsia"/>
                <w:color w:val="000000"/>
                <w:kern w:val="0"/>
                <w:sz w:val="22"/>
                <w:lang/>
              </w:rPr>
              <w:t xml:space="preserve">414,799,995.60 </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471678" w:rsidRDefault="00471678">
            <w:pPr>
              <w:rPr>
                <w:rFonts w:ascii="宋体" w:hAnsi="宋体" w:cs="宋体"/>
                <w:sz w:val="21"/>
                <w:szCs w:val="21"/>
              </w:rPr>
            </w:pPr>
          </w:p>
        </w:tc>
      </w:tr>
    </w:tbl>
    <w:p w:rsidR="00471678" w:rsidRDefault="00471678">
      <w:pPr>
        <w:spacing w:line="360" w:lineRule="auto"/>
        <w:ind w:firstLine="420"/>
        <w:rPr>
          <w:rFonts w:ascii="宋体" w:hAnsi="宋体" w:cs="宋体"/>
          <w:sz w:val="21"/>
          <w:szCs w:val="21"/>
        </w:rPr>
      </w:pPr>
    </w:p>
    <w:p w:rsidR="00471678" w:rsidRDefault="00A80442">
      <w:pPr>
        <w:pStyle w:val="3"/>
        <w:spacing w:line="360" w:lineRule="auto"/>
        <w:rPr>
          <w:rFonts w:ascii="宋体" w:hAnsi="宋体" w:cs="宋体"/>
          <w:sz w:val="21"/>
          <w:szCs w:val="21"/>
        </w:rPr>
      </w:pPr>
      <w:bookmarkStart w:id="16" w:name="_Toc3220"/>
      <w:r>
        <w:rPr>
          <w:rFonts w:ascii="宋体" w:hAnsi="宋体" w:cs="宋体" w:hint="eastAsia"/>
          <w:sz w:val="21"/>
          <w:szCs w:val="21"/>
        </w:rPr>
        <w:t>三、本次发行的相关参与机构</w:t>
      </w:r>
      <w:bookmarkEnd w:id="16"/>
    </w:p>
    <w:p w:rsidR="00471678" w:rsidRDefault="00A80442">
      <w:pPr>
        <w:pStyle w:val="4"/>
        <w:spacing w:before="0" w:after="0" w:line="480" w:lineRule="auto"/>
        <w:rPr>
          <w:rFonts w:ascii="宋体" w:eastAsia="宋体" w:hAnsi="宋体" w:cs="宋体"/>
          <w:sz w:val="21"/>
          <w:szCs w:val="21"/>
        </w:rPr>
      </w:pPr>
      <w:bookmarkStart w:id="17" w:name="_Toc32162"/>
      <w:r>
        <w:rPr>
          <w:rFonts w:ascii="宋体" w:eastAsia="宋体" w:hAnsi="宋体" w:cs="宋体" w:hint="eastAsia"/>
          <w:sz w:val="21"/>
          <w:szCs w:val="21"/>
        </w:rPr>
        <w:t>（一）基金份额发售机构</w:t>
      </w:r>
      <w:bookmarkEnd w:id="17"/>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名称：红土创新基金管理有限公司</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法定代表人：阮菲</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注册地址：深圳市前海深港合作区前湾一路</w:t>
      </w:r>
      <w:r>
        <w:rPr>
          <w:rFonts w:ascii="宋体" w:hAnsi="宋体" w:cs="宋体" w:hint="eastAsia"/>
          <w:sz w:val="21"/>
          <w:szCs w:val="21"/>
        </w:rPr>
        <w:t>1</w:t>
      </w:r>
      <w:r>
        <w:rPr>
          <w:rFonts w:ascii="宋体" w:hAnsi="宋体" w:cs="宋体" w:hint="eastAsia"/>
          <w:sz w:val="21"/>
          <w:szCs w:val="21"/>
        </w:rPr>
        <w:t>号</w:t>
      </w:r>
      <w:r>
        <w:rPr>
          <w:rFonts w:ascii="宋体" w:hAnsi="宋体" w:cs="宋体" w:hint="eastAsia"/>
          <w:sz w:val="21"/>
          <w:szCs w:val="21"/>
        </w:rPr>
        <w:t>A</w:t>
      </w:r>
      <w:r>
        <w:rPr>
          <w:rFonts w:ascii="宋体" w:hAnsi="宋体" w:cs="宋体" w:hint="eastAsia"/>
          <w:sz w:val="21"/>
          <w:szCs w:val="21"/>
        </w:rPr>
        <w:t>栋</w:t>
      </w:r>
      <w:r>
        <w:rPr>
          <w:rFonts w:ascii="宋体" w:hAnsi="宋体" w:cs="宋体" w:hint="eastAsia"/>
          <w:sz w:val="21"/>
          <w:szCs w:val="21"/>
        </w:rPr>
        <w:t>201</w:t>
      </w:r>
      <w:r>
        <w:rPr>
          <w:rFonts w:ascii="宋体" w:hAnsi="宋体" w:cs="宋体" w:hint="eastAsia"/>
          <w:sz w:val="21"/>
          <w:szCs w:val="21"/>
        </w:rPr>
        <w:t>室（入驻深圳市前海商务秘书有限公司）</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办公地址：深圳市南山区海德三道</w:t>
      </w:r>
      <w:r>
        <w:rPr>
          <w:rFonts w:ascii="宋体" w:hAnsi="宋体" w:cs="宋体" w:hint="eastAsia"/>
          <w:sz w:val="21"/>
          <w:szCs w:val="21"/>
        </w:rPr>
        <w:t>1066</w:t>
      </w:r>
      <w:r>
        <w:rPr>
          <w:rFonts w:ascii="宋体" w:hAnsi="宋体" w:cs="宋体" w:hint="eastAsia"/>
          <w:sz w:val="21"/>
          <w:szCs w:val="21"/>
        </w:rPr>
        <w:t>号深创投广场</w:t>
      </w:r>
      <w:r>
        <w:rPr>
          <w:rFonts w:ascii="宋体" w:hAnsi="宋体" w:cs="宋体" w:hint="eastAsia"/>
          <w:sz w:val="21"/>
          <w:szCs w:val="21"/>
        </w:rPr>
        <w:t>48</w:t>
      </w:r>
      <w:r>
        <w:rPr>
          <w:rFonts w:ascii="宋体" w:hAnsi="宋体" w:cs="宋体" w:hint="eastAsia"/>
          <w:sz w:val="21"/>
          <w:szCs w:val="21"/>
        </w:rPr>
        <w:t>层</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联系人：</w:t>
      </w:r>
      <w:r>
        <w:rPr>
          <w:rFonts w:ascii="宋体" w:hAnsi="宋体" w:cs="宋体" w:hint="eastAsia"/>
          <w:sz w:val="21"/>
          <w:szCs w:val="21"/>
        </w:rPr>
        <w:t>陈超、梁策、陈锦达</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联系电话：</w:t>
      </w:r>
      <w:r>
        <w:rPr>
          <w:rFonts w:ascii="宋体" w:hAnsi="宋体" w:cs="宋体" w:hint="eastAsia"/>
          <w:sz w:val="21"/>
          <w:szCs w:val="21"/>
        </w:rPr>
        <w:t>0755-33060062</w:t>
      </w:r>
      <w:r>
        <w:rPr>
          <w:rFonts w:ascii="宋体" w:hAnsi="宋体" w:cs="宋体" w:hint="eastAsia"/>
          <w:sz w:val="21"/>
          <w:szCs w:val="21"/>
        </w:rPr>
        <w:t>、</w:t>
      </w:r>
      <w:r>
        <w:rPr>
          <w:rFonts w:ascii="宋体" w:hAnsi="宋体" w:cs="宋体" w:hint="eastAsia"/>
          <w:sz w:val="21"/>
          <w:szCs w:val="21"/>
        </w:rPr>
        <w:t>0755-33011866</w:t>
      </w:r>
    </w:p>
    <w:p w:rsidR="00471678" w:rsidRDefault="00A80442">
      <w:pPr>
        <w:pStyle w:val="4"/>
        <w:numPr>
          <w:ilvl w:val="0"/>
          <w:numId w:val="2"/>
        </w:numPr>
        <w:spacing w:before="0" w:after="0" w:line="480" w:lineRule="auto"/>
        <w:rPr>
          <w:rFonts w:ascii="宋体" w:eastAsia="宋体" w:hAnsi="宋体" w:cs="宋体"/>
          <w:sz w:val="21"/>
          <w:szCs w:val="21"/>
        </w:rPr>
      </w:pPr>
      <w:bookmarkStart w:id="18" w:name="_Toc19252"/>
      <w:bookmarkStart w:id="19" w:name="_Toc113050029"/>
      <w:bookmarkStart w:id="20" w:name="_Toc690"/>
      <w:bookmarkStart w:id="21" w:name="_Toc19863"/>
      <w:bookmarkStart w:id="22" w:name="_Toc22159"/>
      <w:r>
        <w:rPr>
          <w:rFonts w:ascii="宋体" w:eastAsia="宋体" w:hAnsi="宋体" w:cs="宋体" w:hint="eastAsia"/>
          <w:sz w:val="21"/>
          <w:szCs w:val="21"/>
        </w:rPr>
        <w:t>财务顾问</w:t>
      </w:r>
      <w:bookmarkEnd w:id="18"/>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名称：国信证券股份有限公司</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注册地址：深圳市罗湖区红岭中路</w:t>
      </w:r>
      <w:r>
        <w:rPr>
          <w:rFonts w:ascii="宋体" w:hAnsi="宋体" w:cs="宋体" w:hint="eastAsia"/>
          <w:sz w:val="21"/>
          <w:szCs w:val="21"/>
        </w:rPr>
        <w:t>1012</w:t>
      </w:r>
      <w:r>
        <w:rPr>
          <w:rFonts w:ascii="宋体" w:hAnsi="宋体" w:cs="宋体" w:hint="eastAsia"/>
          <w:sz w:val="21"/>
          <w:szCs w:val="21"/>
        </w:rPr>
        <w:t>号国信证券大厦十六层至二十六层</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法定代表人：张纳沙</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联系人：杨彤、成丽丽、侯平源</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电话：</w:t>
      </w:r>
      <w:r>
        <w:rPr>
          <w:rFonts w:ascii="宋体" w:hAnsi="宋体" w:cs="宋体" w:hint="eastAsia"/>
          <w:sz w:val="21"/>
          <w:szCs w:val="21"/>
        </w:rPr>
        <w:t>010-88005364</w:t>
      </w:r>
    </w:p>
    <w:p w:rsidR="00471678" w:rsidRDefault="00A80442">
      <w:pPr>
        <w:spacing w:line="360" w:lineRule="auto"/>
        <w:ind w:firstLine="420"/>
      </w:pPr>
      <w:r>
        <w:rPr>
          <w:rFonts w:ascii="宋体" w:hAnsi="宋体" w:cs="宋体" w:hint="eastAsia"/>
          <w:sz w:val="21"/>
          <w:szCs w:val="21"/>
        </w:rPr>
        <w:t>传真：</w:t>
      </w:r>
      <w:r>
        <w:rPr>
          <w:rFonts w:ascii="宋体" w:hAnsi="宋体" w:cs="宋体" w:hint="eastAsia"/>
          <w:sz w:val="21"/>
          <w:szCs w:val="21"/>
        </w:rPr>
        <w:t>010-88005364</w:t>
      </w:r>
    </w:p>
    <w:p w:rsidR="00471678" w:rsidRDefault="00A80442">
      <w:pPr>
        <w:pStyle w:val="4"/>
        <w:spacing w:before="0" w:after="0" w:line="480" w:lineRule="auto"/>
        <w:rPr>
          <w:rFonts w:ascii="宋体" w:eastAsia="宋体" w:hAnsi="宋体" w:cs="宋体"/>
          <w:sz w:val="21"/>
          <w:szCs w:val="21"/>
        </w:rPr>
      </w:pPr>
      <w:bookmarkStart w:id="23" w:name="_Toc28090"/>
      <w:r>
        <w:rPr>
          <w:rFonts w:ascii="宋体" w:eastAsia="宋体" w:hAnsi="宋体" w:cs="宋体" w:hint="eastAsia"/>
          <w:sz w:val="21"/>
          <w:szCs w:val="21"/>
        </w:rPr>
        <w:t>（</w:t>
      </w:r>
      <w:r>
        <w:rPr>
          <w:rFonts w:ascii="宋体" w:eastAsia="宋体" w:hAnsi="宋体" w:cs="宋体" w:hint="eastAsia"/>
          <w:sz w:val="21"/>
          <w:szCs w:val="21"/>
        </w:rPr>
        <w:t>三</w:t>
      </w:r>
      <w:r>
        <w:rPr>
          <w:rFonts w:ascii="宋体" w:eastAsia="宋体" w:hAnsi="宋体" w:cs="宋体" w:hint="eastAsia"/>
          <w:sz w:val="21"/>
          <w:szCs w:val="21"/>
        </w:rPr>
        <w:t>）律师事务所</w:t>
      </w:r>
      <w:bookmarkEnd w:id="19"/>
      <w:bookmarkEnd w:id="20"/>
      <w:bookmarkEnd w:id="21"/>
      <w:bookmarkEnd w:id="22"/>
      <w:bookmarkEnd w:id="23"/>
    </w:p>
    <w:p w:rsidR="00471678" w:rsidRDefault="00A80442">
      <w:pPr>
        <w:spacing w:line="360" w:lineRule="auto"/>
        <w:ind w:firstLine="420"/>
        <w:rPr>
          <w:rFonts w:ascii="宋体" w:hAnsi="宋体" w:cs="宋体"/>
          <w:sz w:val="21"/>
          <w:szCs w:val="21"/>
        </w:rPr>
      </w:pPr>
      <w:bookmarkStart w:id="24" w:name="_Toc113050030"/>
      <w:bookmarkStart w:id="25" w:name="_Toc17226"/>
      <w:bookmarkStart w:id="26" w:name="_Toc8182"/>
      <w:bookmarkStart w:id="27" w:name="_Toc18211"/>
      <w:r>
        <w:rPr>
          <w:rFonts w:ascii="宋体" w:hAnsi="宋体" w:cs="宋体" w:hint="eastAsia"/>
          <w:sz w:val="21"/>
          <w:szCs w:val="21"/>
        </w:rPr>
        <w:t>名称：北京市金杜（广州）律师事务所</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注册地址：广州市天河区珠江新城珠江东路</w:t>
      </w:r>
      <w:r>
        <w:rPr>
          <w:rFonts w:ascii="宋体" w:hAnsi="宋体" w:cs="宋体" w:hint="eastAsia"/>
          <w:sz w:val="21"/>
          <w:szCs w:val="21"/>
        </w:rPr>
        <w:t>6</w:t>
      </w:r>
      <w:r>
        <w:rPr>
          <w:rFonts w:ascii="宋体" w:hAnsi="宋体" w:cs="宋体" w:hint="eastAsia"/>
          <w:sz w:val="21"/>
          <w:szCs w:val="21"/>
        </w:rPr>
        <w:t>号周大福金融中心</w:t>
      </w:r>
      <w:r>
        <w:rPr>
          <w:rFonts w:ascii="宋体" w:hAnsi="宋体" w:cs="宋体" w:hint="eastAsia"/>
          <w:sz w:val="21"/>
          <w:szCs w:val="21"/>
        </w:rPr>
        <w:t>25</w:t>
      </w:r>
      <w:r>
        <w:rPr>
          <w:rFonts w:ascii="宋体" w:hAnsi="宋体" w:cs="宋体" w:hint="eastAsia"/>
          <w:sz w:val="21"/>
          <w:szCs w:val="21"/>
        </w:rPr>
        <w:t>层</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办公地址：广州市天河区珠江新城珠江东路</w:t>
      </w:r>
      <w:r>
        <w:rPr>
          <w:rFonts w:ascii="宋体" w:hAnsi="宋体" w:cs="宋体" w:hint="eastAsia"/>
          <w:sz w:val="21"/>
          <w:szCs w:val="21"/>
        </w:rPr>
        <w:t>6</w:t>
      </w:r>
      <w:r>
        <w:rPr>
          <w:rFonts w:ascii="宋体" w:hAnsi="宋体" w:cs="宋体" w:hint="eastAsia"/>
          <w:sz w:val="21"/>
          <w:szCs w:val="21"/>
        </w:rPr>
        <w:t>号周大福金融中心</w:t>
      </w:r>
      <w:r>
        <w:rPr>
          <w:rFonts w:ascii="宋体" w:hAnsi="宋体" w:cs="宋体" w:hint="eastAsia"/>
          <w:sz w:val="21"/>
          <w:szCs w:val="21"/>
        </w:rPr>
        <w:t>25</w:t>
      </w:r>
      <w:r>
        <w:rPr>
          <w:rFonts w:ascii="宋体" w:hAnsi="宋体" w:cs="宋体" w:hint="eastAsia"/>
          <w:sz w:val="21"/>
          <w:szCs w:val="21"/>
        </w:rPr>
        <w:t>层</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负责人：王立新</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联系人：胡凌波、陆晓棠、黄绅</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电话：</w:t>
      </w:r>
      <w:r>
        <w:rPr>
          <w:rFonts w:ascii="宋体" w:hAnsi="宋体" w:cs="宋体" w:hint="eastAsia"/>
          <w:sz w:val="21"/>
          <w:szCs w:val="21"/>
        </w:rPr>
        <w:t>020-3819 1060</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传真：</w:t>
      </w:r>
      <w:r>
        <w:rPr>
          <w:rFonts w:ascii="宋体" w:hAnsi="宋体" w:cs="宋体" w:hint="eastAsia"/>
          <w:sz w:val="21"/>
          <w:szCs w:val="21"/>
        </w:rPr>
        <w:t xml:space="preserve">020-3891 </w:t>
      </w:r>
      <w:r>
        <w:rPr>
          <w:rFonts w:ascii="宋体" w:hAnsi="宋体" w:cs="宋体" w:hint="eastAsia"/>
          <w:sz w:val="21"/>
          <w:szCs w:val="21"/>
        </w:rPr>
        <w:t>2082</w:t>
      </w:r>
    </w:p>
    <w:p w:rsidR="00471678" w:rsidRDefault="00A80442">
      <w:pPr>
        <w:pStyle w:val="4"/>
        <w:spacing w:before="0" w:after="0" w:line="480" w:lineRule="auto"/>
        <w:rPr>
          <w:rFonts w:ascii="宋体" w:eastAsia="宋体" w:hAnsi="宋体" w:cs="宋体"/>
          <w:sz w:val="21"/>
          <w:szCs w:val="21"/>
        </w:rPr>
      </w:pPr>
      <w:bookmarkStart w:id="28" w:name="_Toc23593"/>
      <w:r>
        <w:rPr>
          <w:rFonts w:ascii="宋体" w:eastAsia="宋体" w:hAnsi="宋体" w:cs="宋体" w:hint="eastAsia"/>
          <w:sz w:val="21"/>
          <w:szCs w:val="21"/>
        </w:rPr>
        <w:t>（</w:t>
      </w:r>
      <w:r>
        <w:rPr>
          <w:rFonts w:ascii="宋体" w:eastAsia="宋体" w:hAnsi="宋体" w:cs="宋体" w:hint="eastAsia"/>
          <w:sz w:val="21"/>
          <w:szCs w:val="21"/>
        </w:rPr>
        <w:t>四</w:t>
      </w:r>
      <w:r>
        <w:rPr>
          <w:rFonts w:ascii="宋体" w:eastAsia="宋体" w:hAnsi="宋体" w:cs="宋体" w:hint="eastAsia"/>
          <w:sz w:val="21"/>
          <w:szCs w:val="21"/>
        </w:rPr>
        <w:t>）会计师事务所</w:t>
      </w:r>
      <w:bookmarkEnd w:id="24"/>
      <w:bookmarkEnd w:id="25"/>
      <w:bookmarkEnd w:id="26"/>
      <w:bookmarkEnd w:id="27"/>
      <w:bookmarkEnd w:id="28"/>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名称：普华永道中天会计师事务所（特殊普通合伙）</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注册地址：中国（上海）自由贸易试验区陆家嘴环路</w:t>
      </w:r>
      <w:r>
        <w:rPr>
          <w:rFonts w:ascii="宋体" w:hAnsi="宋体" w:cs="宋体" w:hint="eastAsia"/>
          <w:sz w:val="21"/>
          <w:szCs w:val="21"/>
        </w:rPr>
        <w:t>1318</w:t>
      </w:r>
      <w:r>
        <w:rPr>
          <w:rFonts w:ascii="宋体" w:hAnsi="宋体" w:cs="宋体" w:hint="eastAsia"/>
          <w:sz w:val="21"/>
          <w:szCs w:val="21"/>
        </w:rPr>
        <w:t>号星展银行大厦</w:t>
      </w:r>
      <w:r>
        <w:rPr>
          <w:rFonts w:ascii="宋体" w:hAnsi="宋体" w:cs="宋体" w:hint="eastAsia"/>
          <w:sz w:val="21"/>
          <w:szCs w:val="21"/>
        </w:rPr>
        <w:t>507</w:t>
      </w:r>
      <w:r>
        <w:rPr>
          <w:rFonts w:ascii="宋体" w:hAnsi="宋体" w:cs="宋体" w:hint="eastAsia"/>
          <w:sz w:val="21"/>
          <w:szCs w:val="21"/>
        </w:rPr>
        <w:t>单元</w:t>
      </w:r>
      <w:r>
        <w:rPr>
          <w:rFonts w:ascii="宋体" w:hAnsi="宋体" w:cs="宋体" w:hint="eastAsia"/>
          <w:sz w:val="21"/>
          <w:szCs w:val="21"/>
        </w:rPr>
        <w:t>01</w:t>
      </w:r>
      <w:r>
        <w:rPr>
          <w:rFonts w:ascii="宋体" w:hAnsi="宋体" w:cs="宋体" w:hint="eastAsia"/>
          <w:sz w:val="21"/>
          <w:szCs w:val="21"/>
        </w:rPr>
        <w:t>室</w:t>
      </w:r>
      <w:r>
        <w:rPr>
          <w:rFonts w:ascii="宋体" w:hAnsi="宋体" w:cs="宋体" w:hint="eastAsia"/>
          <w:sz w:val="21"/>
          <w:szCs w:val="21"/>
        </w:rPr>
        <w:t xml:space="preserve"> </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办公地址：中国上海市黄浦区湖滨路</w:t>
      </w:r>
      <w:r>
        <w:rPr>
          <w:rFonts w:ascii="宋体" w:hAnsi="宋体" w:cs="宋体" w:hint="eastAsia"/>
          <w:sz w:val="21"/>
          <w:szCs w:val="21"/>
        </w:rPr>
        <w:t>202</w:t>
      </w:r>
      <w:r>
        <w:rPr>
          <w:rFonts w:ascii="宋体" w:hAnsi="宋体" w:cs="宋体" w:hint="eastAsia"/>
          <w:sz w:val="21"/>
          <w:szCs w:val="21"/>
        </w:rPr>
        <w:t>号领展企业广场</w:t>
      </w:r>
      <w:r>
        <w:rPr>
          <w:rFonts w:ascii="宋体" w:hAnsi="宋体" w:cs="宋体" w:hint="eastAsia"/>
          <w:sz w:val="21"/>
          <w:szCs w:val="21"/>
        </w:rPr>
        <w:t>2</w:t>
      </w:r>
      <w:r>
        <w:rPr>
          <w:rFonts w:ascii="宋体" w:hAnsi="宋体" w:cs="宋体" w:hint="eastAsia"/>
          <w:sz w:val="21"/>
          <w:szCs w:val="21"/>
        </w:rPr>
        <w:t>座普华永道中心</w:t>
      </w:r>
      <w:r>
        <w:rPr>
          <w:rFonts w:ascii="宋体" w:hAnsi="宋体" w:cs="宋体" w:hint="eastAsia"/>
          <w:sz w:val="21"/>
          <w:szCs w:val="21"/>
        </w:rPr>
        <w:t>11</w:t>
      </w:r>
      <w:r>
        <w:rPr>
          <w:rFonts w:ascii="宋体" w:hAnsi="宋体" w:cs="宋体" w:hint="eastAsia"/>
          <w:sz w:val="21"/>
          <w:szCs w:val="21"/>
        </w:rPr>
        <w:t>楼</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负责人：李丹</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联系人：张振波、吴琳杰</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电话：</w:t>
      </w:r>
      <w:r>
        <w:rPr>
          <w:rFonts w:ascii="宋体" w:hAnsi="宋体" w:cs="宋体" w:hint="eastAsia"/>
          <w:sz w:val="21"/>
          <w:szCs w:val="21"/>
        </w:rPr>
        <w:t>021-23232271</w:t>
      </w:r>
      <w:r>
        <w:rPr>
          <w:rFonts w:ascii="宋体" w:hAnsi="宋体" w:cs="宋体" w:hint="eastAsia"/>
          <w:sz w:val="21"/>
          <w:szCs w:val="21"/>
        </w:rPr>
        <w:t>、</w:t>
      </w:r>
      <w:r>
        <w:rPr>
          <w:rFonts w:ascii="宋体" w:hAnsi="宋体" w:cs="宋体" w:hint="eastAsia"/>
          <w:sz w:val="21"/>
          <w:szCs w:val="21"/>
        </w:rPr>
        <w:t xml:space="preserve"> 021-23237817</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br w:type="page"/>
      </w:r>
    </w:p>
    <w:p w:rsidR="00471678" w:rsidRDefault="00A80442">
      <w:pPr>
        <w:pStyle w:val="20"/>
        <w:jc w:val="center"/>
        <w:rPr>
          <w:rFonts w:ascii="宋体" w:hAnsi="宋体"/>
        </w:rPr>
      </w:pPr>
      <w:bookmarkStart w:id="29" w:name="_Toc26568"/>
      <w:r>
        <w:rPr>
          <w:rFonts w:ascii="宋体" w:hAnsi="宋体" w:hint="eastAsia"/>
        </w:rPr>
        <w:t>第二节</w:t>
      </w:r>
      <w:r>
        <w:rPr>
          <w:rFonts w:ascii="宋体" w:hAnsi="宋体" w:hint="eastAsia"/>
        </w:rPr>
        <w:t xml:space="preserve"> </w:t>
      </w:r>
      <w:r>
        <w:rPr>
          <w:rFonts w:ascii="宋体" w:hAnsi="宋体" w:hint="eastAsia"/>
        </w:rPr>
        <w:t>发行前后相关情况对比</w:t>
      </w:r>
      <w:bookmarkEnd w:id="29"/>
    </w:p>
    <w:p w:rsidR="00471678" w:rsidRDefault="00A80442">
      <w:pPr>
        <w:pStyle w:val="3"/>
        <w:spacing w:line="360" w:lineRule="auto"/>
        <w:rPr>
          <w:rFonts w:ascii="宋体" w:hAnsi="宋体" w:cs="宋体"/>
          <w:sz w:val="21"/>
          <w:szCs w:val="21"/>
        </w:rPr>
      </w:pPr>
      <w:bookmarkStart w:id="30" w:name="_Toc30040"/>
      <w:r>
        <w:rPr>
          <w:rFonts w:ascii="宋体" w:hAnsi="宋体" w:cs="宋体" w:hint="eastAsia"/>
          <w:sz w:val="21"/>
          <w:szCs w:val="21"/>
        </w:rPr>
        <w:t>一、本次发行前后前十名基金份额持有人情况对比</w:t>
      </w:r>
      <w:bookmarkEnd w:id="30"/>
    </w:p>
    <w:p w:rsidR="00471678" w:rsidRDefault="00A80442">
      <w:pPr>
        <w:pStyle w:val="4"/>
        <w:spacing w:before="0" w:after="0" w:line="480" w:lineRule="auto"/>
        <w:rPr>
          <w:rFonts w:ascii="宋体" w:eastAsia="宋体" w:hAnsi="宋体" w:cs="宋体"/>
          <w:sz w:val="21"/>
          <w:szCs w:val="21"/>
        </w:rPr>
      </w:pPr>
      <w:bookmarkStart w:id="31" w:name="_Toc23504"/>
      <w:r>
        <w:rPr>
          <w:rFonts w:ascii="宋体" w:eastAsia="宋体" w:hAnsi="宋体" w:cs="宋体" w:hint="eastAsia"/>
          <w:sz w:val="21"/>
          <w:szCs w:val="21"/>
        </w:rPr>
        <w:t>（一）本次发行前基金前十名份额持有人情况</w:t>
      </w:r>
      <w:bookmarkEnd w:id="31"/>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截至</w:t>
      </w:r>
      <w:r>
        <w:rPr>
          <w:rFonts w:ascii="宋体" w:hAnsi="宋体" w:cs="宋体" w:hint="eastAsia"/>
          <w:sz w:val="21"/>
          <w:szCs w:val="21"/>
        </w:rPr>
        <w:t>2023</w:t>
      </w:r>
      <w:r>
        <w:rPr>
          <w:rFonts w:ascii="宋体" w:hAnsi="宋体" w:cs="宋体" w:hint="eastAsia"/>
          <w:sz w:val="21"/>
          <w:szCs w:val="21"/>
        </w:rPr>
        <w:t>年</w:t>
      </w:r>
      <w:r>
        <w:rPr>
          <w:rFonts w:ascii="宋体" w:hAnsi="宋体" w:cs="宋体" w:hint="eastAsia"/>
          <w:sz w:val="21"/>
          <w:szCs w:val="21"/>
        </w:rPr>
        <w:t>5</w:t>
      </w:r>
      <w:r>
        <w:rPr>
          <w:rFonts w:ascii="宋体" w:hAnsi="宋体" w:cs="宋体" w:hint="eastAsia"/>
          <w:sz w:val="21"/>
          <w:szCs w:val="21"/>
        </w:rPr>
        <w:t>月</w:t>
      </w:r>
      <w:r>
        <w:rPr>
          <w:rFonts w:ascii="宋体" w:hAnsi="宋体" w:cs="宋体" w:hint="eastAsia"/>
          <w:sz w:val="21"/>
          <w:szCs w:val="21"/>
        </w:rPr>
        <w:t>2</w:t>
      </w:r>
      <w:r>
        <w:rPr>
          <w:rFonts w:ascii="宋体" w:hAnsi="宋体" w:cs="宋体" w:hint="eastAsia"/>
          <w:sz w:val="21"/>
          <w:szCs w:val="21"/>
        </w:rPr>
        <w:t>3</w:t>
      </w:r>
      <w:r>
        <w:rPr>
          <w:rFonts w:ascii="宋体" w:hAnsi="宋体" w:cs="宋体" w:hint="eastAsia"/>
          <w:sz w:val="21"/>
          <w:szCs w:val="21"/>
        </w:rPr>
        <w:t>日，前十名</w:t>
      </w:r>
      <w:r>
        <w:rPr>
          <w:rFonts w:ascii="宋体" w:hAnsi="宋体" w:hint="eastAsia"/>
          <w:sz w:val="21"/>
          <w:szCs w:val="21"/>
        </w:rPr>
        <w:t>基金份额持有人的情况如下表</w:t>
      </w:r>
      <w:r>
        <w:rPr>
          <w:rFonts w:ascii="宋体" w:hAnsi="宋体" w:cs="宋体" w:hint="eastAsia"/>
          <w:sz w:val="21"/>
          <w:szCs w:val="21"/>
        </w:rPr>
        <w:t>：</w:t>
      </w:r>
    </w:p>
    <w:tbl>
      <w:tblPr>
        <w:tblW w:w="0" w:type="auto"/>
        <w:jc w:val="center"/>
        <w:tblCellMar>
          <w:left w:w="10" w:type="dxa"/>
          <w:right w:w="10" w:type="dxa"/>
        </w:tblCellMar>
        <w:tblLook w:val="04A0"/>
      </w:tblPr>
      <w:tblGrid>
        <w:gridCol w:w="315"/>
        <w:gridCol w:w="4642"/>
        <w:gridCol w:w="1661"/>
        <w:gridCol w:w="1059"/>
        <w:gridCol w:w="2089"/>
      </w:tblGrid>
      <w:tr w:rsidR="00471678">
        <w:trPr>
          <w:trHeight w:hRule="exact" w:val="700"/>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序号</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持有人名称（全称）</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持有基金份额（份）</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占总份额比例（</w:t>
            </w:r>
            <w:r>
              <w:rPr>
                <w:rFonts w:hint="eastAsia"/>
                <w:color w:val="000000"/>
                <w:sz w:val="21"/>
                <w:szCs w:val="21"/>
              </w:rPr>
              <w:t>%</w:t>
            </w:r>
            <w:r>
              <w:rPr>
                <w:rFonts w:hint="eastAsia"/>
                <w:color w:val="000000"/>
                <w:sz w:val="21"/>
                <w:szCs w:val="21"/>
              </w:rPr>
              <w:t>）</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有限售条件基金份额数量（份）</w:t>
            </w:r>
          </w:p>
        </w:tc>
      </w:tr>
      <w:tr w:rsidR="00471678">
        <w:trPr>
          <w:trHeight w:hRule="exact" w:val="403"/>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1</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深圳市盐田港资本有限公司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160,000,000.00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20.00</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lang w:val="en-US" w:eastAsia="zh-CN"/>
              </w:rPr>
              <w:t>160,000,000.00</w:t>
            </w:r>
          </w:p>
        </w:tc>
      </w:tr>
      <w:tr w:rsidR="00471678">
        <w:trPr>
          <w:trHeight w:hRule="exact" w:val="408"/>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2</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深国际控股（深圳）有限公司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112,000,000.00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14.00</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611"/>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3</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华金证券－横琴人寿保险有限公司－华金证券横琴人寿基础设施策略</w:t>
            </w:r>
            <w:r>
              <w:rPr>
                <w:rFonts w:hint="eastAsia"/>
                <w:color w:val="000000"/>
                <w:sz w:val="21"/>
                <w:szCs w:val="21"/>
                <w:lang w:val="en-US" w:eastAsia="zh-CN"/>
              </w:rPr>
              <w:t>2</w:t>
            </w:r>
            <w:r>
              <w:rPr>
                <w:rFonts w:hint="eastAsia"/>
                <w:color w:val="000000"/>
                <w:sz w:val="21"/>
                <w:szCs w:val="21"/>
                <w:lang w:val="en-US" w:eastAsia="zh-CN"/>
              </w:rPr>
              <w:t>号</w:t>
            </w:r>
            <w:r>
              <w:rPr>
                <w:rFonts w:hint="eastAsia"/>
                <w:color w:val="000000"/>
                <w:sz w:val="21"/>
                <w:szCs w:val="21"/>
                <w:lang w:val="en-US" w:eastAsia="zh-CN"/>
              </w:rPr>
              <w:t>FOF</w:t>
            </w:r>
            <w:r>
              <w:rPr>
                <w:rFonts w:hint="eastAsia"/>
                <w:color w:val="000000"/>
                <w:sz w:val="21"/>
                <w:szCs w:val="21"/>
                <w:lang w:val="en-US" w:eastAsia="zh-CN"/>
              </w:rPr>
              <w:t>单一资产管理计划</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57,442,336.00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7.18</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655"/>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4</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光大证券资管－光大银行－光证资管诚享</w:t>
            </w:r>
            <w:r>
              <w:rPr>
                <w:rFonts w:hint="eastAsia"/>
                <w:color w:val="000000"/>
                <w:sz w:val="21"/>
                <w:szCs w:val="21"/>
                <w:lang w:val="en-US" w:eastAsia="zh-CN"/>
              </w:rPr>
              <w:t>7</w:t>
            </w:r>
            <w:r>
              <w:rPr>
                <w:rFonts w:hint="eastAsia"/>
                <w:color w:val="000000"/>
                <w:sz w:val="21"/>
                <w:szCs w:val="21"/>
                <w:lang w:val="en-US" w:eastAsia="zh-CN"/>
              </w:rPr>
              <w:t>号集合资产管理计划</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44,043,416.00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5.51</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03"/>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5</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东兴证券股份有限公司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42</w:t>
            </w:r>
            <w:r>
              <w:rPr>
                <w:rFonts w:hint="eastAsia"/>
                <w:color w:val="000000"/>
                <w:sz w:val="21"/>
                <w:szCs w:val="21"/>
                <w:lang w:val="en-US" w:eastAsia="zh-CN"/>
              </w:rPr>
              <w:t>,</w:t>
            </w:r>
            <w:r>
              <w:rPr>
                <w:rFonts w:hint="eastAsia"/>
                <w:color w:val="000000"/>
                <w:sz w:val="21"/>
                <w:szCs w:val="21"/>
                <w:lang w:val="en-US" w:eastAsia="zh-CN"/>
              </w:rPr>
              <w:t>641</w:t>
            </w:r>
            <w:r>
              <w:rPr>
                <w:rFonts w:hint="eastAsia"/>
                <w:color w:val="000000"/>
                <w:sz w:val="21"/>
                <w:szCs w:val="21"/>
                <w:lang w:val="en-US" w:eastAsia="zh-CN"/>
              </w:rPr>
              <w:t>,</w:t>
            </w:r>
            <w:r>
              <w:rPr>
                <w:rFonts w:hint="eastAsia"/>
                <w:color w:val="000000"/>
                <w:sz w:val="21"/>
                <w:szCs w:val="21"/>
                <w:lang w:val="en-US" w:eastAsia="zh-CN"/>
              </w:rPr>
              <w:t>001.00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5.33</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08"/>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6</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中国东方资产管理股份有限公司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32,000,000.00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4.00</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08"/>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7</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中国银河证券股份有限公司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28,152,925.0</w:t>
            </w:r>
            <w:r>
              <w:rPr>
                <w:rFonts w:hint="eastAsia"/>
                <w:color w:val="000000"/>
                <w:sz w:val="21"/>
                <w:szCs w:val="21"/>
                <w:lang w:val="en-US" w:eastAsia="zh-CN"/>
              </w:rPr>
              <w:t>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3.52</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08"/>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8</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中国国际金融股份有限公司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26,999,129.00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3.37</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08"/>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9</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泰康人寿保险有限责任公司－分红－个人分红</w:t>
            </w:r>
            <w:r>
              <w:rPr>
                <w:rFonts w:hint="eastAsia"/>
                <w:color w:val="000000"/>
                <w:sz w:val="21"/>
                <w:szCs w:val="21"/>
                <w:lang w:val="en-US" w:eastAsia="zh-CN"/>
              </w:rPr>
              <w:t>-019L-FH002</w:t>
            </w:r>
            <w:r>
              <w:rPr>
                <w:rFonts w:hint="eastAsia"/>
                <w:color w:val="000000"/>
                <w:sz w:val="21"/>
                <w:szCs w:val="21"/>
                <w:lang w:val="en-US" w:eastAsia="zh-CN"/>
              </w:rPr>
              <w:t>深</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21,400,000.00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2.68</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643"/>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10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华金证券－国任财产保险股份有限公司－华金证券国任保险</w:t>
            </w:r>
            <w:r>
              <w:rPr>
                <w:rFonts w:hint="eastAsia"/>
                <w:color w:val="000000"/>
                <w:sz w:val="21"/>
                <w:szCs w:val="21"/>
                <w:lang w:val="en-US" w:eastAsia="zh-CN"/>
              </w:rPr>
              <w:t>5</w:t>
            </w:r>
            <w:r>
              <w:rPr>
                <w:rFonts w:hint="eastAsia"/>
                <w:color w:val="000000"/>
                <w:sz w:val="21"/>
                <w:szCs w:val="21"/>
                <w:lang w:val="en-US" w:eastAsia="zh-CN"/>
              </w:rPr>
              <w:t>号基础设施基金策略</w:t>
            </w:r>
            <w:r>
              <w:rPr>
                <w:rFonts w:hint="eastAsia"/>
                <w:color w:val="000000"/>
                <w:sz w:val="21"/>
                <w:szCs w:val="21"/>
                <w:lang w:val="en-US" w:eastAsia="zh-CN"/>
              </w:rPr>
              <w:t>FOF</w:t>
            </w:r>
            <w:r>
              <w:rPr>
                <w:rFonts w:hint="eastAsia"/>
                <w:color w:val="000000"/>
                <w:sz w:val="21"/>
                <w:szCs w:val="21"/>
                <w:lang w:val="en-US" w:eastAsia="zh-CN"/>
              </w:rPr>
              <w:t>单一资产管理计划</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18,427,781.00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2.30</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18"/>
          <w:jc w:val="center"/>
        </w:trPr>
        <w:tc>
          <w:tcPr>
            <w:tcW w:w="0" w:type="auto"/>
            <w:gridSpan w:val="2"/>
            <w:tcBorders>
              <w:top w:val="single" w:sz="4" w:space="0" w:color="auto"/>
              <w:left w:val="single" w:sz="4" w:space="0" w:color="auto"/>
              <w:bottom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合计</w:t>
            </w:r>
          </w:p>
        </w:tc>
        <w:tc>
          <w:tcPr>
            <w:tcW w:w="0" w:type="auto"/>
            <w:tcBorders>
              <w:top w:val="single" w:sz="4" w:space="0" w:color="auto"/>
              <w:left w:val="single" w:sz="4" w:space="0" w:color="auto"/>
              <w:bottom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543,106,588.00</w:t>
            </w:r>
          </w:p>
        </w:tc>
        <w:tc>
          <w:tcPr>
            <w:tcW w:w="0" w:type="auto"/>
            <w:tcBorders>
              <w:top w:val="single" w:sz="4" w:space="0" w:color="auto"/>
              <w:left w:val="single" w:sz="4" w:space="0" w:color="auto"/>
              <w:bottom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67.89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160,000,000.00</w:t>
            </w:r>
          </w:p>
        </w:tc>
      </w:tr>
    </w:tbl>
    <w:p w:rsidR="00471678" w:rsidRDefault="00A80442">
      <w:pPr>
        <w:pStyle w:val="4"/>
        <w:spacing w:before="0" w:after="0" w:line="480" w:lineRule="auto"/>
        <w:rPr>
          <w:rFonts w:ascii="宋体" w:eastAsia="宋体" w:hAnsi="宋体" w:cs="宋体"/>
          <w:sz w:val="21"/>
          <w:szCs w:val="21"/>
        </w:rPr>
      </w:pPr>
      <w:bookmarkStart w:id="32" w:name="_Toc22944"/>
      <w:r>
        <w:rPr>
          <w:rFonts w:ascii="宋体" w:eastAsia="宋体" w:hAnsi="宋体" w:cs="宋体" w:hint="eastAsia"/>
          <w:sz w:val="21"/>
          <w:szCs w:val="21"/>
        </w:rPr>
        <w:t>（二）本次发行完成后基金前十名份额持有人情况</w:t>
      </w:r>
      <w:bookmarkEnd w:id="32"/>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假设以</w:t>
      </w:r>
      <w:r>
        <w:rPr>
          <w:rFonts w:ascii="宋体" w:hAnsi="宋体" w:cs="宋体" w:hint="eastAsia"/>
          <w:sz w:val="21"/>
          <w:szCs w:val="21"/>
        </w:rPr>
        <w:t>2023</w:t>
      </w:r>
      <w:r>
        <w:rPr>
          <w:rFonts w:ascii="宋体" w:hAnsi="宋体" w:cs="宋体" w:hint="eastAsia"/>
          <w:sz w:val="21"/>
          <w:szCs w:val="21"/>
        </w:rPr>
        <w:t>年</w:t>
      </w:r>
      <w:r>
        <w:rPr>
          <w:rFonts w:ascii="宋体" w:hAnsi="宋体" w:cs="宋体" w:hint="eastAsia"/>
          <w:sz w:val="21"/>
          <w:szCs w:val="21"/>
        </w:rPr>
        <w:t>6</w:t>
      </w:r>
      <w:r>
        <w:rPr>
          <w:rFonts w:ascii="宋体" w:hAnsi="宋体" w:cs="宋体" w:hint="eastAsia"/>
          <w:sz w:val="21"/>
          <w:szCs w:val="21"/>
        </w:rPr>
        <w:t>月</w:t>
      </w:r>
      <w:r>
        <w:rPr>
          <w:rFonts w:ascii="宋体" w:hAnsi="宋体" w:cs="宋体" w:hint="eastAsia"/>
          <w:sz w:val="21"/>
          <w:szCs w:val="21"/>
        </w:rPr>
        <w:t>1</w:t>
      </w:r>
      <w:r>
        <w:rPr>
          <w:rFonts w:ascii="宋体" w:hAnsi="宋体" w:cs="宋体" w:hint="eastAsia"/>
          <w:sz w:val="21"/>
          <w:szCs w:val="21"/>
        </w:rPr>
        <w:t>日</w:t>
      </w:r>
      <w:r>
        <w:rPr>
          <w:rFonts w:ascii="宋体" w:hAnsi="宋体" w:cs="宋体" w:hint="eastAsia"/>
          <w:sz w:val="21"/>
          <w:szCs w:val="21"/>
        </w:rPr>
        <w:t>基金份额持有情况为基础，不考虑其他情况，本次扩募</w:t>
      </w:r>
      <w:r>
        <w:rPr>
          <w:rFonts w:ascii="宋体" w:hAnsi="宋体" w:cs="宋体" w:hint="eastAsia"/>
          <w:sz w:val="21"/>
          <w:szCs w:val="21"/>
        </w:rPr>
        <w:t>发售</w:t>
      </w:r>
      <w:r>
        <w:rPr>
          <w:rFonts w:ascii="宋体" w:hAnsi="宋体" w:cs="宋体" w:hint="eastAsia"/>
          <w:sz w:val="21"/>
          <w:szCs w:val="21"/>
        </w:rPr>
        <w:t>完成基金份额登记后，基金前十名基金份额持有人情况如下（最终本次</w:t>
      </w:r>
      <w:r>
        <w:rPr>
          <w:rFonts w:ascii="宋体" w:hAnsi="宋体" w:cs="宋体" w:hint="eastAsia"/>
          <w:sz w:val="21"/>
          <w:szCs w:val="21"/>
        </w:rPr>
        <w:t>发售</w:t>
      </w:r>
      <w:r>
        <w:rPr>
          <w:rFonts w:ascii="宋体" w:hAnsi="宋体" w:cs="宋体" w:hint="eastAsia"/>
          <w:sz w:val="21"/>
          <w:szCs w:val="21"/>
        </w:rPr>
        <w:t>后基金前十名基金份额持有人情况以中国证券登记结算有限责任公司的登记结果为准）：</w:t>
      </w:r>
    </w:p>
    <w:tbl>
      <w:tblPr>
        <w:tblW w:w="0" w:type="auto"/>
        <w:jc w:val="center"/>
        <w:tblCellMar>
          <w:left w:w="10" w:type="dxa"/>
          <w:right w:w="10" w:type="dxa"/>
        </w:tblCellMar>
        <w:tblLook w:val="04A0"/>
      </w:tblPr>
      <w:tblGrid>
        <w:gridCol w:w="323"/>
        <w:gridCol w:w="4568"/>
        <w:gridCol w:w="1676"/>
        <w:gridCol w:w="1058"/>
        <w:gridCol w:w="2141"/>
      </w:tblGrid>
      <w:tr w:rsidR="00471678">
        <w:trPr>
          <w:trHeight w:hRule="exact" w:val="661"/>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序号</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持有人名称（全称）</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持有基金份额（份）</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占总份额比例（</w:t>
            </w:r>
            <w:r>
              <w:rPr>
                <w:rFonts w:hint="eastAsia"/>
                <w:color w:val="000000"/>
                <w:sz w:val="21"/>
                <w:szCs w:val="21"/>
              </w:rPr>
              <w:t>%</w:t>
            </w:r>
            <w:r>
              <w:rPr>
                <w:rFonts w:hint="eastAsia"/>
                <w:color w:val="000000"/>
                <w:sz w:val="21"/>
                <w:szCs w:val="21"/>
              </w:rPr>
              <w:t>）</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rPr>
              <w:t>有限售条件基金份额数量（份）</w:t>
            </w:r>
          </w:p>
        </w:tc>
      </w:tr>
      <w:tr w:rsidR="00471678">
        <w:trPr>
          <w:trHeight w:hRule="exact" w:val="403"/>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rPr>
              <w:t>1</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深圳市盐田港资本有限公司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160,000,000.00</w:t>
            </w:r>
          </w:p>
        </w:tc>
        <w:tc>
          <w:tcPr>
            <w:tcW w:w="1058" w:type="dxa"/>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16.78</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rPr>
            </w:pPr>
            <w:r>
              <w:rPr>
                <w:rFonts w:hint="eastAsia"/>
                <w:color w:val="000000"/>
                <w:sz w:val="21"/>
                <w:szCs w:val="21"/>
                <w:lang w:val="en-US" w:eastAsia="zh-CN"/>
              </w:rPr>
              <w:t>160,000,000.00</w:t>
            </w:r>
          </w:p>
        </w:tc>
      </w:tr>
      <w:tr w:rsidR="00471678">
        <w:trPr>
          <w:trHeight w:hRule="exact" w:val="408"/>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rPr>
              <w:t>2</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深国际控股（深圳）有限公司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 xml:space="preserve">116,608,889.00 </w:t>
            </w:r>
          </w:p>
        </w:tc>
        <w:tc>
          <w:tcPr>
            <w:tcW w:w="1058" w:type="dxa"/>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12.23</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4,608,889</w:t>
            </w:r>
            <w:r>
              <w:rPr>
                <w:rFonts w:hint="eastAsia"/>
                <w:color w:val="000000"/>
                <w:sz w:val="21"/>
                <w:szCs w:val="21"/>
                <w:lang w:val="en-US" w:eastAsia="zh-CN"/>
              </w:rPr>
              <w:t>.00</w:t>
            </w:r>
          </w:p>
        </w:tc>
      </w:tr>
      <w:tr w:rsidR="00471678">
        <w:trPr>
          <w:trHeight w:hRule="exact" w:val="462"/>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rPr>
              <w:t>3</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盐田港物流有限公司</w:t>
            </w:r>
          </w:p>
        </w:tc>
        <w:tc>
          <w:tcPr>
            <w:tcW w:w="0" w:type="auto"/>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78,351,112.00</w:t>
            </w:r>
          </w:p>
        </w:tc>
        <w:tc>
          <w:tcPr>
            <w:tcW w:w="1058" w:type="dxa"/>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lang w:bidi="zh-TW"/>
              </w:rPr>
            </w:pPr>
            <w:r>
              <w:rPr>
                <w:rFonts w:ascii="宋体" w:hAnsi="宋体" w:cs="宋体" w:hint="eastAsia"/>
                <w:color w:val="000000"/>
                <w:kern w:val="0"/>
                <w:sz w:val="21"/>
                <w:szCs w:val="21"/>
                <w:lang/>
              </w:rPr>
              <w:t>8.22</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78,351,112.00</w:t>
            </w:r>
          </w:p>
        </w:tc>
      </w:tr>
      <w:tr w:rsidR="00471678">
        <w:trPr>
          <w:trHeight w:hRule="exact" w:val="665"/>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rPr>
              <w:t>4</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华金证券－横琴人寿保险有限公司－华金证券横琴人寿基础设施策略</w:t>
            </w:r>
            <w:r>
              <w:rPr>
                <w:rFonts w:hint="eastAsia"/>
                <w:color w:val="000000"/>
                <w:sz w:val="21"/>
                <w:szCs w:val="21"/>
                <w:lang w:val="en-US" w:eastAsia="zh-CN"/>
              </w:rPr>
              <w:t>2</w:t>
            </w:r>
            <w:r>
              <w:rPr>
                <w:rFonts w:hint="eastAsia"/>
                <w:color w:val="000000"/>
                <w:sz w:val="21"/>
                <w:szCs w:val="21"/>
                <w:lang w:val="en-US" w:eastAsia="zh-CN"/>
              </w:rPr>
              <w:t>号</w:t>
            </w:r>
            <w:r>
              <w:rPr>
                <w:rFonts w:hint="eastAsia"/>
                <w:color w:val="000000"/>
                <w:sz w:val="21"/>
                <w:szCs w:val="21"/>
                <w:lang w:val="en-US" w:eastAsia="zh-CN"/>
              </w:rPr>
              <w:t>FOF</w:t>
            </w:r>
            <w:r>
              <w:rPr>
                <w:rFonts w:hint="eastAsia"/>
                <w:color w:val="000000"/>
                <w:sz w:val="21"/>
                <w:szCs w:val="21"/>
                <w:lang w:val="en-US" w:eastAsia="zh-CN"/>
              </w:rPr>
              <w:t>单一资产管理计划</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57,442,336.00</w:t>
            </w:r>
          </w:p>
        </w:tc>
        <w:tc>
          <w:tcPr>
            <w:tcW w:w="1058" w:type="dxa"/>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lang w:bidi="zh-TW"/>
              </w:rPr>
            </w:pPr>
            <w:r>
              <w:rPr>
                <w:rFonts w:ascii="宋体" w:hAnsi="宋体" w:cs="宋体" w:hint="eastAsia"/>
                <w:color w:val="000000"/>
                <w:kern w:val="0"/>
                <w:sz w:val="21"/>
                <w:szCs w:val="21"/>
                <w:lang/>
              </w:rPr>
              <w:t>6.02</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705"/>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rPr>
              <w:t>5</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光大证券资管－光大银行－光证资管诚享</w:t>
            </w:r>
            <w:r>
              <w:rPr>
                <w:rFonts w:hint="eastAsia"/>
                <w:color w:val="000000"/>
                <w:sz w:val="21"/>
                <w:szCs w:val="21"/>
                <w:lang w:val="en-US" w:eastAsia="zh-CN"/>
              </w:rPr>
              <w:t>7</w:t>
            </w:r>
            <w:r>
              <w:rPr>
                <w:rFonts w:hint="eastAsia"/>
                <w:color w:val="000000"/>
                <w:sz w:val="21"/>
                <w:szCs w:val="21"/>
                <w:lang w:val="en-US" w:eastAsia="zh-CN"/>
              </w:rPr>
              <w:t>号集合资产管理计划</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44,043,416.00</w:t>
            </w:r>
          </w:p>
        </w:tc>
        <w:tc>
          <w:tcPr>
            <w:tcW w:w="1058" w:type="dxa"/>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lang w:bidi="zh-TW"/>
              </w:rPr>
            </w:pPr>
            <w:r>
              <w:rPr>
                <w:rFonts w:ascii="宋体" w:hAnsi="宋体" w:cs="宋体" w:hint="eastAsia"/>
                <w:color w:val="000000"/>
                <w:kern w:val="0"/>
                <w:sz w:val="21"/>
                <w:szCs w:val="21"/>
                <w:lang/>
              </w:rPr>
              <w:t>4.62</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08"/>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rPr>
              <w:t>6</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东兴证券股份有限公司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42</w:t>
            </w:r>
            <w:r>
              <w:rPr>
                <w:rFonts w:hint="eastAsia"/>
                <w:color w:val="000000"/>
                <w:sz w:val="21"/>
                <w:szCs w:val="21"/>
                <w:lang w:val="en-US" w:eastAsia="zh-CN"/>
              </w:rPr>
              <w:t>,</w:t>
            </w:r>
            <w:r>
              <w:rPr>
                <w:rFonts w:hint="eastAsia"/>
                <w:color w:val="000000"/>
                <w:sz w:val="21"/>
                <w:szCs w:val="21"/>
                <w:lang w:val="en-US" w:eastAsia="zh-CN"/>
              </w:rPr>
              <w:t>641</w:t>
            </w:r>
            <w:r>
              <w:rPr>
                <w:rFonts w:hint="eastAsia"/>
                <w:color w:val="000000"/>
                <w:sz w:val="21"/>
                <w:szCs w:val="21"/>
                <w:lang w:val="en-US" w:eastAsia="zh-CN"/>
              </w:rPr>
              <w:t>,0</w:t>
            </w:r>
            <w:r>
              <w:rPr>
                <w:rFonts w:hint="eastAsia"/>
                <w:color w:val="000000"/>
                <w:sz w:val="21"/>
                <w:szCs w:val="21"/>
                <w:lang w:val="en-US" w:eastAsia="zh-CN"/>
              </w:rPr>
              <w:t>01.00</w:t>
            </w:r>
          </w:p>
        </w:tc>
        <w:tc>
          <w:tcPr>
            <w:tcW w:w="1058" w:type="dxa"/>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lang w:bidi="zh-TW"/>
              </w:rPr>
            </w:pPr>
            <w:r>
              <w:rPr>
                <w:rFonts w:ascii="宋体" w:hAnsi="宋体" w:cs="宋体" w:hint="eastAsia"/>
                <w:color w:val="000000"/>
                <w:kern w:val="0"/>
                <w:sz w:val="21"/>
                <w:szCs w:val="21"/>
                <w:lang/>
              </w:rPr>
              <w:t>4.47</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08"/>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rPr>
              <w:t>7</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中国东方资产管理股份有限公司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32,000,000.00</w:t>
            </w:r>
          </w:p>
        </w:tc>
        <w:tc>
          <w:tcPr>
            <w:tcW w:w="1058" w:type="dxa"/>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lang w:bidi="zh-TW"/>
              </w:rPr>
            </w:pPr>
            <w:r>
              <w:rPr>
                <w:rFonts w:ascii="宋体" w:hAnsi="宋体" w:cs="宋体" w:hint="eastAsia"/>
                <w:color w:val="000000"/>
                <w:kern w:val="0"/>
                <w:sz w:val="21"/>
                <w:szCs w:val="21"/>
                <w:lang/>
              </w:rPr>
              <w:t>3.36</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08"/>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rPr>
              <w:t>8</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中国银河证券股份有限公司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28,152,925.0</w:t>
            </w:r>
            <w:r>
              <w:rPr>
                <w:rFonts w:hint="eastAsia"/>
                <w:color w:val="000000"/>
                <w:sz w:val="21"/>
                <w:szCs w:val="21"/>
                <w:lang w:val="en-US" w:eastAsia="zh-CN"/>
              </w:rPr>
              <w:t>0</w:t>
            </w:r>
          </w:p>
        </w:tc>
        <w:tc>
          <w:tcPr>
            <w:tcW w:w="1058" w:type="dxa"/>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lang w:bidi="zh-TW"/>
              </w:rPr>
            </w:pPr>
            <w:r>
              <w:rPr>
                <w:rFonts w:ascii="宋体" w:hAnsi="宋体" w:cs="宋体" w:hint="eastAsia"/>
                <w:color w:val="000000"/>
                <w:kern w:val="0"/>
                <w:sz w:val="21"/>
                <w:szCs w:val="21"/>
                <w:lang/>
              </w:rPr>
              <w:t>2.95</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03"/>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rPr>
              <w:t>9</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中国国际金融股份有限公司</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26,999,129.00</w:t>
            </w:r>
          </w:p>
        </w:tc>
        <w:tc>
          <w:tcPr>
            <w:tcW w:w="1058" w:type="dxa"/>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lang w:bidi="zh-TW"/>
              </w:rPr>
            </w:pPr>
            <w:r>
              <w:rPr>
                <w:rFonts w:ascii="宋体" w:hAnsi="宋体" w:cs="宋体" w:hint="eastAsia"/>
                <w:color w:val="000000"/>
                <w:kern w:val="0"/>
                <w:sz w:val="21"/>
                <w:szCs w:val="21"/>
                <w:lang/>
              </w:rPr>
              <w:t>2.83</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596"/>
          <w:jc w:val="center"/>
        </w:trPr>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rPr>
              <w:t>10</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泰康人寿保险有限责任公司－分红－个人分红</w:t>
            </w:r>
            <w:r>
              <w:rPr>
                <w:rFonts w:hint="eastAsia"/>
                <w:color w:val="000000"/>
                <w:sz w:val="21"/>
                <w:szCs w:val="21"/>
                <w:lang w:val="en-US" w:eastAsia="zh-CN"/>
              </w:rPr>
              <w:t>-019L-FH002</w:t>
            </w:r>
            <w:r>
              <w:rPr>
                <w:rFonts w:hint="eastAsia"/>
                <w:color w:val="000000"/>
                <w:sz w:val="21"/>
                <w:szCs w:val="21"/>
                <w:lang w:val="en-US" w:eastAsia="zh-CN"/>
              </w:rPr>
              <w:t>深</w:t>
            </w:r>
          </w:p>
        </w:tc>
        <w:tc>
          <w:tcPr>
            <w:tcW w:w="0" w:type="auto"/>
            <w:tcBorders>
              <w:top w:val="single" w:sz="4" w:space="0" w:color="auto"/>
              <w:lef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21,400,000.00</w:t>
            </w:r>
          </w:p>
        </w:tc>
        <w:tc>
          <w:tcPr>
            <w:tcW w:w="1058" w:type="dxa"/>
            <w:tcBorders>
              <w:top w:val="single" w:sz="4" w:space="0" w:color="auto"/>
              <w:left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lang w:bidi="zh-TW"/>
              </w:rPr>
            </w:pPr>
            <w:r>
              <w:rPr>
                <w:rFonts w:ascii="宋体" w:hAnsi="宋体" w:cs="宋体" w:hint="eastAsia"/>
                <w:color w:val="000000"/>
                <w:kern w:val="0"/>
                <w:sz w:val="21"/>
                <w:szCs w:val="21"/>
                <w:lang/>
              </w:rPr>
              <w:t>2.24</w:t>
            </w:r>
          </w:p>
        </w:tc>
        <w:tc>
          <w:tcPr>
            <w:tcW w:w="0" w:type="auto"/>
            <w:tcBorders>
              <w:top w:val="single" w:sz="4" w:space="0" w:color="auto"/>
              <w:left w:val="single" w:sz="4" w:space="0" w:color="auto"/>
              <w:right w:val="single" w:sz="4" w:space="0" w:color="auto"/>
            </w:tcBorders>
            <w:shd w:val="clear" w:color="auto" w:fill="FFFFFF"/>
            <w:vAlign w:val="center"/>
          </w:tcPr>
          <w:p w:rsidR="00471678" w:rsidRDefault="00A80442">
            <w:pPr>
              <w:pStyle w:val="Other1"/>
              <w:spacing w:after="0" w:line="240" w:lineRule="auto"/>
              <w:ind w:firstLine="0"/>
              <w:jc w:val="center"/>
              <w:rPr>
                <w:color w:val="000000"/>
                <w:sz w:val="21"/>
                <w:szCs w:val="21"/>
                <w:lang w:val="en-US" w:eastAsia="zh-CN"/>
              </w:rPr>
            </w:pPr>
            <w:r>
              <w:rPr>
                <w:rFonts w:hint="eastAsia"/>
                <w:color w:val="000000"/>
                <w:sz w:val="21"/>
                <w:szCs w:val="21"/>
                <w:lang w:val="en-US" w:eastAsia="zh-CN"/>
              </w:rPr>
              <w:t>-</w:t>
            </w:r>
          </w:p>
        </w:tc>
      </w:tr>
      <w:tr w:rsidR="00471678">
        <w:trPr>
          <w:trHeight w:hRule="exact" w:val="418"/>
          <w:jc w:val="center"/>
        </w:trPr>
        <w:tc>
          <w:tcPr>
            <w:tcW w:w="0" w:type="auto"/>
            <w:gridSpan w:val="2"/>
            <w:tcBorders>
              <w:top w:val="single" w:sz="4" w:space="0" w:color="auto"/>
              <w:left w:val="single" w:sz="4" w:space="0" w:color="auto"/>
              <w:bottom w:val="single" w:sz="4" w:space="0" w:color="auto"/>
            </w:tcBorders>
            <w:shd w:val="clear" w:color="auto" w:fill="FFFFFF"/>
            <w:vAlign w:val="center"/>
          </w:tcPr>
          <w:p w:rsidR="00471678" w:rsidRDefault="00A80442">
            <w:pPr>
              <w:pStyle w:val="Other1"/>
              <w:spacing w:after="0" w:line="240" w:lineRule="auto"/>
              <w:ind w:firstLine="0"/>
              <w:jc w:val="center"/>
              <w:rPr>
                <w:sz w:val="21"/>
                <w:szCs w:val="21"/>
              </w:rPr>
            </w:pPr>
            <w:r>
              <w:rPr>
                <w:rFonts w:hint="eastAsia"/>
                <w:color w:val="000000"/>
                <w:sz w:val="21"/>
                <w:szCs w:val="21"/>
              </w:rPr>
              <w:t>合计</w:t>
            </w:r>
          </w:p>
        </w:tc>
        <w:tc>
          <w:tcPr>
            <w:tcW w:w="0" w:type="auto"/>
            <w:tcBorders>
              <w:top w:val="single" w:sz="4" w:space="0" w:color="auto"/>
              <w:left w:val="single" w:sz="4" w:space="0" w:color="auto"/>
              <w:bottom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621,457,700.00</w:t>
            </w:r>
          </w:p>
        </w:tc>
        <w:tc>
          <w:tcPr>
            <w:tcW w:w="0" w:type="auto"/>
            <w:tcBorders>
              <w:top w:val="single" w:sz="4" w:space="0" w:color="auto"/>
              <w:left w:val="single" w:sz="4" w:space="0" w:color="auto"/>
              <w:bottom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63.72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71678" w:rsidRDefault="00A80442">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rPr>
              <w:t>242,960,001.00</w:t>
            </w:r>
          </w:p>
        </w:tc>
      </w:tr>
    </w:tbl>
    <w:p w:rsidR="00471678" w:rsidRDefault="00A80442">
      <w:pPr>
        <w:pStyle w:val="3"/>
        <w:spacing w:line="360" w:lineRule="auto"/>
        <w:rPr>
          <w:rFonts w:ascii="宋体" w:hAnsi="宋体" w:cs="宋体"/>
          <w:sz w:val="21"/>
          <w:szCs w:val="21"/>
        </w:rPr>
      </w:pPr>
      <w:bookmarkStart w:id="33" w:name="_Toc28791"/>
      <w:bookmarkStart w:id="34" w:name="bookmark100"/>
      <w:bookmarkStart w:id="35" w:name="bookmark102"/>
      <w:bookmarkStart w:id="36" w:name="bookmark103"/>
      <w:bookmarkStart w:id="37" w:name="bookmark101"/>
      <w:r>
        <w:rPr>
          <w:rFonts w:ascii="宋体" w:hAnsi="宋体" w:cs="宋体" w:hint="eastAsia"/>
          <w:sz w:val="21"/>
          <w:szCs w:val="21"/>
        </w:rPr>
        <w:t>二、本次定向扩募对基金的影响</w:t>
      </w:r>
      <w:bookmarkEnd w:id="33"/>
    </w:p>
    <w:p w:rsidR="00471678" w:rsidRDefault="00A80442">
      <w:pPr>
        <w:pStyle w:val="4"/>
        <w:spacing w:after="0" w:line="480" w:lineRule="auto"/>
        <w:ind w:firstLineChars="200" w:firstLine="422"/>
        <w:jc w:val="left"/>
        <w:rPr>
          <w:rFonts w:ascii="宋体" w:eastAsia="宋体" w:hAnsi="宋体" w:cs="宋体"/>
          <w:sz w:val="21"/>
          <w:szCs w:val="21"/>
        </w:rPr>
      </w:pPr>
      <w:bookmarkStart w:id="38" w:name="_Toc20299"/>
      <w:r>
        <w:rPr>
          <w:rFonts w:ascii="宋体" w:eastAsia="宋体" w:hAnsi="宋体" w:cs="宋体" w:hint="eastAsia"/>
          <w:sz w:val="21"/>
          <w:szCs w:val="21"/>
        </w:rPr>
        <w:t>（</w:t>
      </w:r>
      <w:r>
        <w:rPr>
          <w:rFonts w:ascii="宋体" w:eastAsia="宋体" w:hAnsi="宋体" w:cs="宋体" w:hint="eastAsia"/>
          <w:sz w:val="21"/>
          <w:szCs w:val="21"/>
        </w:rPr>
        <w:t>一</w:t>
      </w:r>
      <w:r>
        <w:rPr>
          <w:rFonts w:ascii="宋体" w:eastAsia="宋体" w:hAnsi="宋体" w:cs="宋体" w:hint="eastAsia"/>
          <w:sz w:val="21"/>
          <w:szCs w:val="21"/>
        </w:rPr>
        <w:t>）对基金份额持有人结构的影响</w:t>
      </w:r>
      <w:bookmarkEnd w:id="38"/>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定向扩募发行</w:t>
      </w:r>
      <w:r>
        <w:rPr>
          <w:rFonts w:ascii="宋体" w:hAnsi="宋体" w:cs="宋体" w:hint="eastAsia"/>
          <w:sz w:val="21"/>
          <w:szCs w:val="21"/>
        </w:rPr>
        <w:t>的新基金份额登记完成后，本基金增加</w:t>
      </w:r>
      <w:r>
        <w:rPr>
          <w:rFonts w:ascii="宋体" w:hAnsi="宋体" w:cs="宋体"/>
          <w:sz w:val="21"/>
          <w:szCs w:val="21"/>
        </w:rPr>
        <w:t>153,629,628</w:t>
      </w:r>
      <w:r>
        <w:rPr>
          <w:rFonts w:ascii="宋体" w:hAnsi="宋体" w:cs="宋体" w:hint="eastAsia"/>
          <w:sz w:val="21"/>
          <w:szCs w:val="21"/>
        </w:rPr>
        <w:t>份有限售条件份额。本次</w:t>
      </w:r>
      <w:r>
        <w:rPr>
          <w:rFonts w:ascii="宋体" w:hAnsi="宋体" w:cs="宋体" w:hint="eastAsia"/>
          <w:sz w:val="21"/>
          <w:szCs w:val="21"/>
        </w:rPr>
        <w:t>定向扩募发行</w:t>
      </w:r>
      <w:r>
        <w:rPr>
          <w:rFonts w:ascii="宋体" w:hAnsi="宋体" w:cs="宋体" w:hint="eastAsia"/>
          <w:sz w:val="21"/>
          <w:szCs w:val="21"/>
        </w:rPr>
        <w:t>完成后，机构投资者持有的比例有所提高，</w:t>
      </w:r>
      <w:r>
        <w:rPr>
          <w:rFonts w:ascii="宋体" w:hAnsi="宋体" w:cs="宋体" w:hint="eastAsia"/>
          <w:sz w:val="21"/>
          <w:szCs w:val="21"/>
        </w:rPr>
        <w:t>投资人</w:t>
      </w:r>
      <w:r>
        <w:rPr>
          <w:rFonts w:ascii="宋体" w:hAnsi="宋体" w:cs="宋体" w:hint="eastAsia"/>
          <w:sz w:val="21"/>
          <w:szCs w:val="21"/>
        </w:rPr>
        <w:t>结构更加合理。</w:t>
      </w:r>
    </w:p>
    <w:p w:rsidR="00471678" w:rsidRDefault="00A80442">
      <w:pPr>
        <w:pStyle w:val="4"/>
        <w:spacing w:after="0" w:line="480" w:lineRule="auto"/>
        <w:ind w:firstLineChars="200" w:firstLine="422"/>
        <w:jc w:val="left"/>
        <w:rPr>
          <w:rFonts w:ascii="宋体" w:eastAsia="宋体" w:hAnsi="宋体" w:cs="宋体"/>
          <w:sz w:val="21"/>
          <w:szCs w:val="21"/>
        </w:rPr>
      </w:pPr>
      <w:bookmarkStart w:id="39" w:name="_Toc3122"/>
      <w:r>
        <w:rPr>
          <w:rFonts w:ascii="宋体" w:eastAsia="宋体" w:hAnsi="宋体" w:cs="宋体" w:hint="eastAsia"/>
          <w:sz w:val="21"/>
          <w:szCs w:val="21"/>
        </w:rPr>
        <w:t>（</w:t>
      </w:r>
      <w:r>
        <w:rPr>
          <w:rFonts w:ascii="宋体" w:eastAsia="宋体" w:hAnsi="宋体" w:cs="宋体" w:hint="eastAsia"/>
          <w:sz w:val="21"/>
          <w:szCs w:val="21"/>
        </w:rPr>
        <w:t>二</w:t>
      </w:r>
      <w:r>
        <w:rPr>
          <w:rFonts w:ascii="宋体" w:eastAsia="宋体" w:hAnsi="宋体" w:cs="宋体" w:hint="eastAsia"/>
          <w:sz w:val="21"/>
          <w:szCs w:val="21"/>
        </w:rPr>
        <w:t>）对基金投资的影响</w:t>
      </w:r>
      <w:bookmarkEnd w:id="39"/>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本次</w:t>
      </w:r>
      <w:r>
        <w:rPr>
          <w:rFonts w:ascii="宋体" w:hAnsi="宋体" w:cs="宋体" w:hint="eastAsia"/>
          <w:sz w:val="21"/>
          <w:szCs w:val="21"/>
        </w:rPr>
        <w:t>定向扩募发行</w:t>
      </w:r>
      <w:r>
        <w:rPr>
          <w:rFonts w:ascii="宋体" w:hAnsi="宋体" w:cs="宋体" w:hint="eastAsia"/>
          <w:sz w:val="21"/>
          <w:szCs w:val="21"/>
        </w:rPr>
        <w:t>完成后，</w:t>
      </w:r>
      <w:r>
        <w:rPr>
          <w:rFonts w:ascii="宋体" w:hAnsi="宋体" w:cs="宋体" w:hint="eastAsia"/>
          <w:sz w:val="21"/>
          <w:szCs w:val="21"/>
        </w:rPr>
        <w:t>本基础设施基金</w:t>
      </w:r>
      <w:r>
        <w:rPr>
          <w:rFonts w:ascii="宋体" w:hAnsi="宋体" w:cs="宋体" w:hint="eastAsia"/>
          <w:sz w:val="21"/>
          <w:szCs w:val="21"/>
        </w:rPr>
        <w:t>主营业务范围</w:t>
      </w:r>
      <w:r>
        <w:rPr>
          <w:rFonts w:ascii="宋体" w:hAnsi="宋体" w:cs="宋体" w:hint="eastAsia"/>
          <w:sz w:val="21"/>
          <w:szCs w:val="21"/>
        </w:rPr>
        <w:t>未</w:t>
      </w:r>
      <w:r>
        <w:rPr>
          <w:rFonts w:ascii="宋体" w:hAnsi="宋体" w:cs="宋体" w:hint="eastAsia"/>
          <w:sz w:val="21"/>
          <w:szCs w:val="21"/>
        </w:rPr>
        <w:t>发生变化。本基金总资产和净资产将同时增加。本次发行使得本基金资本结构得到优化，也为本基金后续发展提供有效的保障。</w:t>
      </w:r>
    </w:p>
    <w:p w:rsidR="00471678" w:rsidRDefault="00A80442">
      <w:pPr>
        <w:pStyle w:val="4"/>
        <w:spacing w:after="0" w:line="480" w:lineRule="auto"/>
        <w:ind w:firstLineChars="200" w:firstLine="422"/>
        <w:jc w:val="left"/>
        <w:rPr>
          <w:rFonts w:ascii="宋体" w:eastAsia="宋体" w:hAnsi="宋体" w:cs="宋体"/>
          <w:sz w:val="21"/>
          <w:szCs w:val="21"/>
        </w:rPr>
      </w:pPr>
      <w:bookmarkStart w:id="40" w:name="_Toc16137"/>
      <w:r>
        <w:rPr>
          <w:rFonts w:ascii="宋体" w:eastAsia="宋体" w:hAnsi="宋体" w:cs="宋体" w:hint="eastAsia"/>
          <w:sz w:val="21"/>
          <w:szCs w:val="21"/>
        </w:rPr>
        <w:t>（</w:t>
      </w:r>
      <w:r>
        <w:rPr>
          <w:rFonts w:ascii="宋体" w:eastAsia="宋体" w:hAnsi="宋体" w:cs="宋体" w:hint="eastAsia"/>
          <w:sz w:val="21"/>
          <w:szCs w:val="21"/>
        </w:rPr>
        <w:t>三</w:t>
      </w:r>
      <w:r>
        <w:rPr>
          <w:rFonts w:ascii="宋体" w:eastAsia="宋体" w:hAnsi="宋体" w:cs="宋体" w:hint="eastAsia"/>
          <w:sz w:val="21"/>
          <w:szCs w:val="21"/>
        </w:rPr>
        <w:t>）对基金治理结构的影响</w:t>
      </w:r>
      <w:bookmarkEnd w:id="40"/>
    </w:p>
    <w:bookmarkEnd w:id="34"/>
    <w:bookmarkEnd w:id="35"/>
    <w:bookmarkEnd w:id="36"/>
    <w:bookmarkEnd w:id="37"/>
    <w:p w:rsidR="00471678" w:rsidRDefault="00A80442">
      <w:pPr>
        <w:spacing w:line="360" w:lineRule="auto"/>
        <w:ind w:firstLine="420"/>
        <w:rPr>
          <w:rFonts w:ascii="宋体" w:hAnsi="宋体" w:cs="宋体"/>
          <w:sz w:val="21"/>
          <w:szCs w:val="21"/>
        </w:rPr>
      </w:pPr>
      <w:r>
        <w:rPr>
          <w:rFonts w:ascii="宋体" w:hAnsi="宋体" w:cs="宋体" w:hint="eastAsia"/>
          <w:sz w:val="21"/>
          <w:szCs w:val="21"/>
        </w:rPr>
        <w:t>本次发行完成后，对</w:t>
      </w:r>
      <w:r>
        <w:rPr>
          <w:rFonts w:ascii="宋体" w:hAnsi="宋体" w:cs="宋体" w:hint="eastAsia"/>
          <w:sz w:val="21"/>
          <w:szCs w:val="21"/>
        </w:rPr>
        <w:t>基金</w:t>
      </w:r>
      <w:r>
        <w:rPr>
          <w:rFonts w:ascii="宋体" w:hAnsi="宋体" w:cs="宋体" w:hint="eastAsia"/>
          <w:sz w:val="21"/>
          <w:szCs w:val="21"/>
        </w:rPr>
        <w:t>治理</w:t>
      </w:r>
      <w:r>
        <w:rPr>
          <w:rFonts w:ascii="宋体" w:hAnsi="宋体" w:cs="宋体" w:hint="eastAsia"/>
          <w:sz w:val="21"/>
          <w:szCs w:val="21"/>
        </w:rPr>
        <w:t>未发生变化</w:t>
      </w:r>
      <w:r>
        <w:rPr>
          <w:rFonts w:ascii="宋体" w:hAnsi="宋体" w:cs="宋体" w:hint="eastAsia"/>
          <w:sz w:val="21"/>
          <w:szCs w:val="21"/>
        </w:rPr>
        <w:t>。</w:t>
      </w:r>
    </w:p>
    <w:p w:rsidR="00471678" w:rsidRDefault="00471678">
      <w:pPr>
        <w:pStyle w:val="Bodytext1"/>
        <w:spacing w:after="100" w:line="467" w:lineRule="exact"/>
        <w:ind w:firstLine="480"/>
        <w:rPr>
          <w:b w:val="0"/>
          <w:bCs w:val="0"/>
          <w:color w:val="000000"/>
          <w:sz w:val="21"/>
          <w:szCs w:val="21"/>
          <w:lang w:eastAsia="zh-CN"/>
        </w:rPr>
      </w:pPr>
    </w:p>
    <w:p w:rsidR="00471678" w:rsidRDefault="00A80442">
      <w:pPr>
        <w:rPr>
          <w:rFonts w:ascii="宋体" w:hAnsi="宋体"/>
        </w:rPr>
      </w:pPr>
      <w:r>
        <w:rPr>
          <w:rFonts w:ascii="宋体" w:hAnsi="宋体" w:hint="eastAsia"/>
        </w:rPr>
        <w:br w:type="page"/>
      </w:r>
    </w:p>
    <w:p w:rsidR="00471678" w:rsidRDefault="00A80442">
      <w:pPr>
        <w:pStyle w:val="20"/>
        <w:jc w:val="center"/>
        <w:rPr>
          <w:rFonts w:ascii="宋体" w:hAnsi="宋体"/>
        </w:rPr>
      </w:pPr>
      <w:bookmarkStart w:id="41" w:name="_Toc18642"/>
      <w:r>
        <w:rPr>
          <w:rFonts w:ascii="宋体" w:hAnsi="宋体" w:hint="eastAsia"/>
        </w:rPr>
        <w:t>第三节</w:t>
      </w:r>
      <w:r>
        <w:rPr>
          <w:rFonts w:ascii="宋体" w:hAnsi="宋体" w:hint="eastAsia"/>
        </w:rPr>
        <w:t xml:space="preserve"> </w:t>
      </w:r>
      <w:r>
        <w:rPr>
          <w:rFonts w:ascii="宋体" w:hAnsi="宋体" w:hint="eastAsia"/>
        </w:rPr>
        <w:t>律师关于本次定向扩募过程</w:t>
      </w:r>
      <w:r>
        <w:rPr>
          <w:rFonts w:ascii="宋体" w:hAnsi="宋体" w:hint="eastAsia"/>
        </w:rPr>
        <w:t>和发行对象</w:t>
      </w:r>
      <w:r>
        <w:rPr>
          <w:rFonts w:ascii="宋体" w:hAnsi="宋体" w:hint="eastAsia"/>
        </w:rPr>
        <w:t>合规性的结论意见</w:t>
      </w:r>
      <w:bookmarkEnd w:id="41"/>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北京市金杜（广州）律师事务所经办律师认为：</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（一）本次定向发售已取得必要的批准和授权，同意本次发行注册的批复仍在有效期内，基金管理人及财务顾问具备向特定对象定向发售的条件。</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（二）本次发行的《认购邀请书》《申购报价单》及《认购协议》等法律文件合法有效。</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（三）本次发行过程以及本次发行确定的发售对象、发行价格、发行数量、募集资金总额等符合《证券投资基金法》《公募基金运作办法》《基础设施基金指引》《深交所基础设施基金业务指引第</w:t>
      </w:r>
      <w:r>
        <w:rPr>
          <w:rFonts w:ascii="宋体" w:hAnsi="宋体" w:cs="宋体" w:hint="eastAsia"/>
          <w:sz w:val="21"/>
          <w:szCs w:val="21"/>
        </w:rPr>
        <w:t>1</w:t>
      </w:r>
      <w:r>
        <w:rPr>
          <w:rFonts w:ascii="宋体" w:hAnsi="宋体" w:cs="宋体" w:hint="eastAsia"/>
          <w:sz w:val="21"/>
          <w:szCs w:val="21"/>
        </w:rPr>
        <w:t>号》《深交所基础设施基金业务指引第</w:t>
      </w:r>
      <w:r>
        <w:rPr>
          <w:rFonts w:ascii="宋体" w:hAnsi="宋体" w:cs="宋体" w:hint="eastAsia"/>
          <w:sz w:val="21"/>
          <w:szCs w:val="21"/>
        </w:rPr>
        <w:t>2</w:t>
      </w:r>
      <w:r>
        <w:rPr>
          <w:rFonts w:ascii="宋体" w:hAnsi="宋体" w:cs="宋体" w:hint="eastAsia"/>
          <w:sz w:val="21"/>
          <w:szCs w:val="21"/>
        </w:rPr>
        <w:t>号》《深交所基础设施基金业务指引第</w:t>
      </w:r>
      <w:r>
        <w:rPr>
          <w:rFonts w:ascii="宋体" w:hAnsi="宋体" w:cs="宋体" w:hint="eastAsia"/>
          <w:sz w:val="21"/>
          <w:szCs w:val="21"/>
        </w:rPr>
        <w:t>3</w:t>
      </w:r>
      <w:r>
        <w:rPr>
          <w:rFonts w:ascii="宋体" w:hAnsi="宋体" w:cs="宋体" w:hint="eastAsia"/>
          <w:sz w:val="21"/>
          <w:szCs w:val="21"/>
        </w:rPr>
        <w:t>号》等相关法律法规的规定和基金份额持有人大会决议内容，发行结果公平、公正。</w:t>
      </w:r>
    </w:p>
    <w:p w:rsidR="00471678" w:rsidRDefault="00A80442">
      <w:pPr>
        <w:spacing w:line="360" w:lineRule="auto"/>
        <w:ind w:firstLine="420"/>
        <w:rPr>
          <w:rFonts w:ascii="宋体" w:hAnsi="宋体" w:cs="宋体"/>
          <w:sz w:val="21"/>
          <w:szCs w:val="21"/>
        </w:rPr>
      </w:pPr>
      <w:r>
        <w:rPr>
          <w:rFonts w:ascii="宋体" w:hAnsi="宋体" w:cs="宋体" w:hint="eastAsia"/>
          <w:sz w:val="21"/>
          <w:szCs w:val="21"/>
        </w:rPr>
        <w:t>（四）基金管理人尚需办理本次发行所涉及的新增基金份额登记托管手续，并履行信息披露义务。</w:t>
      </w:r>
    </w:p>
    <w:p w:rsidR="00471678" w:rsidRDefault="00A80442">
      <w:pPr>
        <w:pStyle w:val="Bodytext1"/>
        <w:spacing w:after="100" w:line="467" w:lineRule="exact"/>
        <w:ind w:firstLine="480"/>
        <w:rPr>
          <w:lang w:val="en-US" w:eastAsia="zh-CN"/>
        </w:rPr>
      </w:pPr>
      <w:r>
        <w:rPr>
          <w:rFonts w:hint="eastAsia"/>
          <w:lang w:val="en-US" w:eastAsia="zh-CN"/>
        </w:rPr>
        <w:br w:type="page"/>
      </w:r>
    </w:p>
    <w:p w:rsidR="00471678" w:rsidRDefault="00A80442">
      <w:pPr>
        <w:pStyle w:val="20"/>
        <w:jc w:val="center"/>
        <w:rPr>
          <w:rFonts w:ascii="宋体" w:hAnsi="宋体"/>
        </w:rPr>
      </w:pPr>
      <w:bookmarkStart w:id="42" w:name="_Toc26554"/>
      <w:r>
        <w:rPr>
          <w:rFonts w:ascii="宋体" w:hAnsi="宋体" w:hint="eastAsia"/>
        </w:rPr>
        <w:t>第四节</w:t>
      </w:r>
      <w:r>
        <w:rPr>
          <w:rFonts w:ascii="宋体" w:hAnsi="宋体" w:hint="eastAsia"/>
        </w:rPr>
        <w:t xml:space="preserve"> </w:t>
      </w:r>
      <w:r>
        <w:rPr>
          <w:rFonts w:ascii="宋体" w:hAnsi="宋体" w:hint="eastAsia"/>
        </w:rPr>
        <w:t>备查文件</w:t>
      </w:r>
      <w:bookmarkEnd w:id="42"/>
    </w:p>
    <w:p w:rsidR="00471678" w:rsidRDefault="00471678">
      <w:pPr>
        <w:pStyle w:val="Bodytext1"/>
        <w:spacing w:after="100" w:line="467" w:lineRule="exact"/>
        <w:ind w:firstLine="480"/>
        <w:jc w:val="left"/>
        <w:rPr>
          <w:b w:val="0"/>
          <w:bCs w:val="0"/>
          <w:color w:val="000000"/>
          <w:sz w:val="21"/>
          <w:szCs w:val="21"/>
        </w:rPr>
      </w:pPr>
      <w:bookmarkStart w:id="43" w:name="bookmark165"/>
    </w:p>
    <w:p w:rsidR="00471678" w:rsidRDefault="00A80442">
      <w:pPr>
        <w:pStyle w:val="Bodytext1"/>
        <w:spacing w:after="100" w:line="467" w:lineRule="exact"/>
        <w:ind w:firstLine="480"/>
        <w:jc w:val="left"/>
        <w:rPr>
          <w:b w:val="0"/>
          <w:bCs w:val="0"/>
          <w:color w:val="000000"/>
          <w:sz w:val="21"/>
          <w:szCs w:val="21"/>
        </w:rPr>
      </w:pPr>
      <w:r>
        <w:rPr>
          <w:b w:val="0"/>
          <w:bCs w:val="0"/>
          <w:color w:val="000000"/>
          <w:sz w:val="21"/>
          <w:szCs w:val="21"/>
        </w:rPr>
        <w:t>1</w:t>
      </w:r>
      <w:bookmarkEnd w:id="43"/>
      <w:r>
        <w:rPr>
          <w:b w:val="0"/>
          <w:bCs w:val="0"/>
          <w:color w:val="000000"/>
          <w:sz w:val="21"/>
          <w:szCs w:val="21"/>
        </w:rPr>
        <w:t>、</w:t>
      </w:r>
      <w:r>
        <w:rPr>
          <w:b w:val="0"/>
          <w:bCs w:val="0"/>
          <w:color w:val="000000"/>
          <w:sz w:val="21"/>
          <w:szCs w:val="21"/>
        </w:rPr>
        <w:tab/>
      </w:r>
      <w:r>
        <w:rPr>
          <w:b w:val="0"/>
          <w:bCs w:val="0"/>
          <w:color w:val="000000"/>
          <w:sz w:val="21"/>
          <w:szCs w:val="21"/>
        </w:rPr>
        <w:t>中国证监会关于本次</w:t>
      </w:r>
      <w:r>
        <w:rPr>
          <w:b w:val="0"/>
          <w:bCs w:val="0"/>
          <w:color w:val="000000"/>
          <w:sz w:val="21"/>
          <w:szCs w:val="21"/>
          <w:lang w:eastAsia="zh-CN"/>
        </w:rPr>
        <w:t>扩募</w:t>
      </w:r>
      <w:r>
        <w:rPr>
          <w:b w:val="0"/>
          <w:bCs w:val="0"/>
          <w:color w:val="000000"/>
          <w:sz w:val="21"/>
          <w:szCs w:val="21"/>
        </w:rPr>
        <w:t>的</w:t>
      </w:r>
      <w:r>
        <w:rPr>
          <w:b w:val="0"/>
          <w:bCs w:val="0"/>
          <w:color w:val="000000"/>
          <w:sz w:val="21"/>
          <w:szCs w:val="21"/>
          <w:lang w:eastAsia="zh-CN"/>
        </w:rPr>
        <w:t>变更注册批复</w:t>
      </w:r>
      <w:r>
        <w:rPr>
          <w:b w:val="0"/>
          <w:bCs w:val="0"/>
          <w:color w:val="000000"/>
          <w:sz w:val="21"/>
          <w:szCs w:val="21"/>
        </w:rPr>
        <w:t>文件</w:t>
      </w:r>
    </w:p>
    <w:p w:rsidR="00471678" w:rsidRDefault="00A80442">
      <w:pPr>
        <w:pStyle w:val="Bodytext1"/>
        <w:spacing w:after="100" w:line="467" w:lineRule="exact"/>
        <w:ind w:firstLine="480"/>
        <w:jc w:val="left"/>
        <w:rPr>
          <w:b w:val="0"/>
          <w:bCs w:val="0"/>
          <w:color w:val="000000"/>
          <w:sz w:val="21"/>
          <w:szCs w:val="21"/>
        </w:rPr>
      </w:pPr>
      <w:bookmarkStart w:id="44" w:name="bookmark166"/>
      <w:r>
        <w:rPr>
          <w:b w:val="0"/>
          <w:bCs w:val="0"/>
          <w:color w:val="000000"/>
          <w:sz w:val="21"/>
          <w:szCs w:val="21"/>
        </w:rPr>
        <w:t>2</w:t>
      </w:r>
      <w:bookmarkEnd w:id="44"/>
      <w:r>
        <w:rPr>
          <w:b w:val="0"/>
          <w:bCs w:val="0"/>
          <w:color w:val="000000"/>
          <w:sz w:val="21"/>
          <w:szCs w:val="21"/>
        </w:rPr>
        <w:t>、深交所关于本次扩募的无异议函</w:t>
      </w:r>
      <w:r>
        <w:rPr>
          <w:b w:val="0"/>
          <w:bCs w:val="0"/>
          <w:color w:val="000000"/>
          <w:sz w:val="21"/>
          <w:szCs w:val="21"/>
        </w:rPr>
        <w:tab/>
      </w:r>
    </w:p>
    <w:p w:rsidR="00471678" w:rsidRDefault="00A80442">
      <w:pPr>
        <w:pStyle w:val="Bodytext1"/>
        <w:spacing w:after="100" w:line="467" w:lineRule="exact"/>
        <w:ind w:firstLine="480"/>
        <w:jc w:val="left"/>
        <w:rPr>
          <w:b w:val="0"/>
          <w:bCs w:val="0"/>
          <w:color w:val="000000"/>
          <w:sz w:val="21"/>
          <w:szCs w:val="21"/>
        </w:rPr>
      </w:pPr>
      <w:r>
        <w:rPr>
          <w:b w:val="0"/>
          <w:bCs w:val="0"/>
          <w:color w:val="000000"/>
          <w:sz w:val="21"/>
          <w:szCs w:val="21"/>
          <w:lang w:val="en-US" w:eastAsia="zh-CN"/>
        </w:rPr>
        <w:t>3</w:t>
      </w:r>
      <w:r>
        <w:rPr>
          <w:b w:val="0"/>
          <w:bCs w:val="0"/>
          <w:color w:val="000000"/>
          <w:sz w:val="21"/>
          <w:szCs w:val="21"/>
        </w:rPr>
        <w:t>、</w:t>
      </w:r>
      <w:r>
        <w:rPr>
          <w:b w:val="0"/>
          <w:bCs w:val="0"/>
          <w:color w:val="000000"/>
          <w:sz w:val="21"/>
          <w:szCs w:val="21"/>
        </w:rPr>
        <w:tab/>
      </w:r>
      <w:r>
        <w:rPr>
          <w:b w:val="0"/>
          <w:bCs w:val="0"/>
          <w:color w:val="000000"/>
          <w:sz w:val="21"/>
          <w:szCs w:val="21"/>
        </w:rPr>
        <w:t>律师关于本次</w:t>
      </w:r>
      <w:r>
        <w:rPr>
          <w:b w:val="0"/>
          <w:bCs w:val="0"/>
          <w:color w:val="000000"/>
          <w:sz w:val="21"/>
          <w:szCs w:val="21"/>
          <w:lang w:eastAsia="zh-CN"/>
        </w:rPr>
        <w:t>定向扩募</w:t>
      </w:r>
      <w:r>
        <w:rPr>
          <w:b w:val="0"/>
          <w:bCs w:val="0"/>
          <w:color w:val="000000"/>
          <w:sz w:val="21"/>
          <w:szCs w:val="21"/>
        </w:rPr>
        <w:t>过程</w:t>
      </w:r>
      <w:r>
        <w:rPr>
          <w:b w:val="0"/>
          <w:bCs w:val="0"/>
          <w:color w:val="000000"/>
          <w:sz w:val="21"/>
          <w:szCs w:val="21"/>
          <w:lang w:eastAsia="zh-CN"/>
        </w:rPr>
        <w:t>和发行对象</w:t>
      </w:r>
      <w:r>
        <w:rPr>
          <w:b w:val="0"/>
          <w:bCs w:val="0"/>
          <w:color w:val="000000"/>
          <w:sz w:val="21"/>
          <w:szCs w:val="21"/>
        </w:rPr>
        <w:t>的法律意见书</w:t>
      </w:r>
    </w:p>
    <w:p w:rsidR="00471678" w:rsidRDefault="00A80442">
      <w:pPr>
        <w:pStyle w:val="Bodytext1"/>
        <w:spacing w:after="100" w:line="467" w:lineRule="exact"/>
        <w:ind w:firstLine="480"/>
        <w:jc w:val="left"/>
        <w:rPr>
          <w:b w:val="0"/>
          <w:bCs w:val="0"/>
          <w:color w:val="000000"/>
          <w:sz w:val="21"/>
          <w:szCs w:val="21"/>
        </w:rPr>
      </w:pPr>
      <w:r>
        <w:rPr>
          <w:b w:val="0"/>
          <w:bCs w:val="0"/>
          <w:color w:val="000000"/>
          <w:sz w:val="21"/>
          <w:szCs w:val="21"/>
          <w:lang w:val="en-US" w:eastAsia="zh-CN"/>
        </w:rPr>
        <w:t>4</w:t>
      </w:r>
      <w:r>
        <w:rPr>
          <w:b w:val="0"/>
          <w:bCs w:val="0"/>
          <w:color w:val="000000"/>
          <w:sz w:val="21"/>
          <w:szCs w:val="21"/>
        </w:rPr>
        <w:t>、</w:t>
      </w:r>
      <w:r>
        <w:rPr>
          <w:b w:val="0"/>
          <w:bCs w:val="0"/>
          <w:color w:val="000000"/>
          <w:sz w:val="21"/>
          <w:szCs w:val="21"/>
        </w:rPr>
        <w:tab/>
      </w:r>
      <w:r>
        <w:rPr>
          <w:b w:val="0"/>
          <w:bCs w:val="0"/>
          <w:color w:val="000000"/>
          <w:sz w:val="21"/>
          <w:szCs w:val="21"/>
        </w:rPr>
        <w:t>会计师事务所出具的验资报告</w:t>
      </w:r>
    </w:p>
    <w:p w:rsidR="00471678" w:rsidRDefault="00A80442">
      <w:pPr>
        <w:rPr>
          <w:rFonts w:ascii="宋体" w:hAnsi="宋体"/>
          <w:color w:val="000000"/>
          <w:sz w:val="21"/>
          <w:szCs w:val="21"/>
        </w:rPr>
      </w:pPr>
      <w:r>
        <w:rPr>
          <w:rFonts w:ascii="宋体" w:hAnsi="宋体" w:hint="eastAsia"/>
          <w:color w:val="000000"/>
          <w:sz w:val="21"/>
          <w:szCs w:val="21"/>
        </w:rPr>
        <w:br w:type="page"/>
      </w:r>
    </w:p>
    <w:p w:rsidR="00471678" w:rsidRDefault="00A80442">
      <w:pPr>
        <w:pStyle w:val="Bodytext1"/>
        <w:spacing w:after="100" w:line="466" w:lineRule="exact"/>
        <w:ind w:firstLine="0"/>
        <w:rPr>
          <w:b w:val="0"/>
          <w:bCs w:val="0"/>
          <w:color w:val="000000"/>
          <w:sz w:val="21"/>
          <w:szCs w:val="21"/>
          <w:lang w:val="en-US" w:eastAsia="zh-CN"/>
        </w:rPr>
      </w:pPr>
      <w:r>
        <w:rPr>
          <w:rFonts w:hint="eastAsia"/>
          <w:b w:val="0"/>
          <w:bCs w:val="0"/>
          <w:color w:val="000000"/>
          <w:sz w:val="21"/>
          <w:szCs w:val="21"/>
          <w:lang w:val="en-US" w:eastAsia="zh-CN"/>
        </w:rPr>
        <w:t>（本页无正文，为《</w:t>
      </w:r>
      <w:r>
        <w:rPr>
          <w:rFonts w:hint="eastAsia"/>
          <w:b w:val="0"/>
          <w:bCs w:val="0"/>
          <w:color w:val="000000"/>
          <w:sz w:val="21"/>
          <w:szCs w:val="21"/>
          <w:lang w:val="en-US" w:eastAsia="zh-CN"/>
        </w:rPr>
        <w:t>红土创新盐田港仓储物流</w:t>
      </w:r>
      <w:r>
        <w:rPr>
          <w:rFonts w:hint="eastAsia"/>
          <w:b w:val="0"/>
          <w:bCs w:val="0"/>
          <w:color w:val="000000"/>
          <w:sz w:val="21"/>
          <w:szCs w:val="21"/>
          <w:lang w:val="en-US" w:eastAsia="zh-CN"/>
        </w:rPr>
        <w:t>封闭式基础设施证券投资基金定向扩募发行情况报告书》之盖章页）</w:t>
      </w:r>
    </w:p>
    <w:p w:rsidR="00471678" w:rsidRDefault="00471678">
      <w:pPr>
        <w:pStyle w:val="Bodytext1"/>
        <w:spacing w:after="100" w:line="466" w:lineRule="exact"/>
        <w:ind w:firstLine="0"/>
        <w:rPr>
          <w:b w:val="0"/>
          <w:bCs w:val="0"/>
          <w:color w:val="000000"/>
          <w:sz w:val="21"/>
          <w:szCs w:val="21"/>
          <w:lang w:val="en-US" w:eastAsia="zh-CN"/>
        </w:rPr>
      </w:pPr>
    </w:p>
    <w:p w:rsidR="00471678" w:rsidRDefault="00471678">
      <w:pPr>
        <w:pStyle w:val="Bodytext1"/>
        <w:spacing w:after="100" w:line="466" w:lineRule="exact"/>
        <w:ind w:firstLine="0"/>
        <w:rPr>
          <w:b w:val="0"/>
          <w:bCs w:val="0"/>
          <w:color w:val="000000"/>
          <w:sz w:val="21"/>
          <w:szCs w:val="21"/>
          <w:lang w:val="en-US" w:eastAsia="zh-CN"/>
        </w:rPr>
      </w:pPr>
    </w:p>
    <w:p w:rsidR="00471678" w:rsidRDefault="00471678">
      <w:pPr>
        <w:pStyle w:val="Bodytext1"/>
        <w:spacing w:after="100" w:line="466" w:lineRule="exact"/>
        <w:ind w:firstLine="0"/>
        <w:rPr>
          <w:b w:val="0"/>
          <w:bCs w:val="0"/>
          <w:color w:val="000000"/>
          <w:sz w:val="21"/>
          <w:szCs w:val="21"/>
          <w:lang w:val="en-US" w:eastAsia="zh-CN"/>
        </w:rPr>
      </w:pPr>
    </w:p>
    <w:p w:rsidR="00471678" w:rsidRDefault="00471678">
      <w:pPr>
        <w:pStyle w:val="Bodytext1"/>
        <w:spacing w:after="100" w:line="466" w:lineRule="exact"/>
        <w:ind w:firstLine="0"/>
        <w:rPr>
          <w:b w:val="0"/>
          <w:bCs w:val="0"/>
          <w:color w:val="000000"/>
          <w:sz w:val="21"/>
          <w:szCs w:val="21"/>
          <w:lang w:val="en-US" w:eastAsia="zh-CN"/>
        </w:rPr>
      </w:pPr>
    </w:p>
    <w:p w:rsidR="00471678" w:rsidRDefault="00471678">
      <w:pPr>
        <w:pStyle w:val="Bodytext1"/>
        <w:spacing w:after="100" w:line="466" w:lineRule="exact"/>
        <w:ind w:firstLine="0"/>
        <w:rPr>
          <w:b w:val="0"/>
          <w:bCs w:val="0"/>
          <w:color w:val="000000"/>
          <w:sz w:val="21"/>
          <w:szCs w:val="21"/>
          <w:lang w:val="en-US" w:eastAsia="zh-CN"/>
        </w:rPr>
      </w:pPr>
    </w:p>
    <w:p w:rsidR="00471678" w:rsidRDefault="00471678">
      <w:pPr>
        <w:pStyle w:val="Bodytext1"/>
        <w:spacing w:after="100" w:line="466" w:lineRule="exact"/>
        <w:ind w:firstLine="0"/>
        <w:rPr>
          <w:b w:val="0"/>
          <w:bCs w:val="0"/>
          <w:color w:val="000000"/>
          <w:sz w:val="21"/>
          <w:szCs w:val="21"/>
          <w:lang w:val="en-US" w:eastAsia="zh-CN"/>
        </w:rPr>
      </w:pPr>
    </w:p>
    <w:p w:rsidR="00471678" w:rsidRDefault="00471678">
      <w:pPr>
        <w:pStyle w:val="Bodytext1"/>
        <w:spacing w:after="100" w:line="466" w:lineRule="exact"/>
        <w:ind w:firstLine="0"/>
        <w:rPr>
          <w:b w:val="0"/>
          <w:bCs w:val="0"/>
          <w:color w:val="000000"/>
          <w:sz w:val="21"/>
          <w:szCs w:val="21"/>
          <w:lang w:val="en-US" w:eastAsia="zh-CN"/>
        </w:rPr>
      </w:pPr>
    </w:p>
    <w:p w:rsidR="00471678" w:rsidRDefault="00A80442">
      <w:pPr>
        <w:pStyle w:val="Bodytext1"/>
        <w:spacing w:after="100" w:line="466" w:lineRule="exact"/>
        <w:ind w:firstLine="0"/>
        <w:jc w:val="right"/>
        <w:rPr>
          <w:b w:val="0"/>
          <w:bCs w:val="0"/>
          <w:color w:val="000000"/>
          <w:sz w:val="21"/>
          <w:szCs w:val="21"/>
          <w:lang w:val="en-US" w:eastAsia="zh-CN"/>
        </w:rPr>
      </w:pPr>
      <w:r>
        <w:rPr>
          <w:rFonts w:hint="eastAsia"/>
          <w:b w:val="0"/>
          <w:bCs w:val="0"/>
          <w:color w:val="000000"/>
          <w:sz w:val="21"/>
          <w:szCs w:val="21"/>
          <w:lang w:val="en-US" w:eastAsia="zh-CN"/>
        </w:rPr>
        <w:t>红土创新基金</w:t>
      </w:r>
      <w:r>
        <w:rPr>
          <w:rFonts w:hint="eastAsia"/>
          <w:b w:val="0"/>
          <w:bCs w:val="0"/>
          <w:color w:val="000000"/>
          <w:sz w:val="21"/>
          <w:szCs w:val="21"/>
          <w:lang w:val="en-US" w:eastAsia="zh-CN"/>
        </w:rPr>
        <w:t>管理有限公司</w:t>
      </w:r>
    </w:p>
    <w:p w:rsidR="00471678" w:rsidRDefault="00A80442">
      <w:pPr>
        <w:pStyle w:val="Bodytext1"/>
        <w:wordWrap w:val="0"/>
        <w:spacing w:after="100" w:line="466" w:lineRule="exact"/>
        <w:ind w:firstLine="0"/>
        <w:jc w:val="right"/>
        <w:rPr>
          <w:b w:val="0"/>
          <w:bCs w:val="0"/>
          <w:color w:val="000000"/>
          <w:sz w:val="21"/>
          <w:szCs w:val="21"/>
          <w:lang w:val="en-US" w:eastAsia="zh-CN"/>
        </w:rPr>
      </w:pPr>
      <w:r>
        <w:rPr>
          <w:rFonts w:hint="eastAsia"/>
          <w:b w:val="0"/>
          <w:bCs w:val="0"/>
          <w:color w:val="000000"/>
          <w:sz w:val="21"/>
          <w:szCs w:val="21"/>
          <w:lang w:val="en-US" w:eastAsia="zh-CN"/>
        </w:rPr>
        <w:t xml:space="preserve">2023 </w:t>
      </w:r>
      <w:r>
        <w:rPr>
          <w:rFonts w:hint="eastAsia"/>
          <w:b w:val="0"/>
          <w:bCs w:val="0"/>
          <w:color w:val="000000"/>
          <w:sz w:val="21"/>
          <w:szCs w:val="21"/>
          <w:lang w:val="en-US" w:eastAsia="zh-CN"/>
        </w:rPr>
        <w:t>年</w:t>
      </w:r>
      <w:r>
        <w:rPr>
          <w:rFonts w:hint="eastAsia"/>
          <w:b w:val="0"/>
          <w:bCs w:val="0"/>
          <w:color w:val="000000"/>
          <w:sz w:val="21"/>
          <w:szCs w:val="21"/>
          <w:lang w:val="en-US" w:eastAsia="zh-CN"/>
        </w:rPr>
        <w:t xml:space="preserve"> </w:t>
      </w:r>
      <w:r>
        <w:rPr>
          <w:rFonts w:hint="eastAsia"/>
          <w:b w:val="0"/>
          <w:bCs w:val="0"/>
          <w:color w:val="000000"/>
          <w:sz w:val="21"/>
          <w:szCs w:val="21"/>
          <w:lang w:val="en-US" w:eastAsia="zh-CN"/>
        </w:rPr>
        <w:t>6</w:t>
      </w:r>
      <w:r>
        <w:rPr>
          <w:rFonts w:hint="eastAsia"/>
          <w:b w:val="0"/>
          <w:bCs w:val="0"/>
          <w:color w:val="000000"/>
          <w:sz w:val="21"/>
          <w:szCs w:val="21"/>
          <w:lang w:val="en-US" w:eastAsia="zh-CN"/>
        </w:rPr>
        <w:t xml:space="preserve"> </w:t>
      </w:r>
      <w:r>
        <w:rPr>
          <w:rFonts w:hint="eastAsia"/>
          <w:b w:val="0"/>
          <w:bCs w:val="0"/>
          <w:color w:val="000000"/>
          <w:sz w:val="21"/>
          <w:szCs w:val="21"/>
          <w:lang w:val="en-US" w:eastAsia="zh-CN"/>
        </w:rPr>
        <w:t>月</w:t>
      </w:r>
      <w:r>
        <w:rPr>
          <w:rFonts w:hint="eastAsia"/>
          <w:b w:val="0"/>
          <w:bCs w:val="0"/>
          <w:color w:val="000000"/>
          <w:sz w:val="21"/>
          <w:szCs w:val="21"/>
          <w:lang w:val="en-US" w:eastAsia="zh-CN"/>
        </w:rPr>
        <w:t xml:space="preserve"> </w:t>
      </w:r>
      <w:r>
        <w:rPr>
          <w:rFonts w:hint="eastAsia"/>
          <w:b w:val="0"/>
          <w:bCs w:val="0"/>
          <w:color w:val="000000"/>
          <w:sz w:val="21"/>
          <w:szCs w:val="21"/>
          <w:lang w:val="en-US" w:eastAsia="zh-CN"/>
        </w:rPr>
        <w:t>3</w:t>
      </w:r>
      <w:r>
        <w:rPr>
          <w:rFonts w:hint="eastAsia"/>
          <w:b w:val="0"/>
          <w:bCs w:val="0"/>
          <w:color w:val="000000"/>
          <w:sz w:val="21"/>
          <w:szCs w:val="21"/>
          <w:lang w:val="en-US" w:eastAsia="zh-CN"/>
        </w:rPr>
        <w:t xml:space="preserve"> </w:t>
      </w:r>
      <w:r>
        <w:rPr>
          <w:rFonts w:hint="eastAsia"/>
          <w:b w:val="0"/>
          <w:bCs w:val="0"/>
          <w:color w:val="000000"/>
          <w:sz w:val="21"/>
          <w:szCs w:val="21"/>
          <w:lang w:val="en-US" w:eastAsia="zh-CN"/>
        </w:rPr>
        <w:t>日</w:t>
      </w:r>
    </w:p>
    <w:sectPr w:rsidR="00471678" w:rsidSect="00471678">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78" w:rsidRDefault="00471678" w:rsidP="00471678">
      <w:r>
        <w:separator/>
      </w:r>
    </w:p>
  </w:endnote>
  <w:endnote w:type="continuationSeparator" w:id="0">
    <w:p w:rsidR="00471678" w:rsidRDefault="00471678" w:rsidP="00471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78" w:rsidRDefault="00471678">
    <w:pPr>
      <w:spacing w:line="1" w:lineRule="exact"/>
    </w:pPr>
    <w:r>
      <w:pict>
        <v:shapetype id="_x0000_t202" coordsize="21600,21600" o:spt="202" path="m,l,21600r21600,l21600,xe">
          <v:stroke joinstyle="miter"/>
          <v:path gradientshapeok="t" o:connecttype="rect"/>
        </v:shapetype>
        <v:shape id="Shape 43" o:spid="_x0000_s1026" type="#_x0000_t202" style="position:absolute;left:0;text-align:left;margin-left:294.95pt;margin-top:784.5pt;width:7.7pt;height:6.25pt;z-index:-251658752;mso-wrap-style:none;mso-position-horizontal-relative:page;mso-position-vertical-relative:page;mso-width-relative:page;mso-height-relative:page" o:gfxdata="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NMobpLYAAAADQEAAA8AAAAAAAAAAQAgAAAAIgAAAGRycy9kb3du&#10;cmV2LnhtbFBLAQIUABQAAAAIAIdO4kBp/asjjQEAACEDAAAOAAAAAAAAAAEAIAAAACcBAABkcnMv&#10;ZTJvRG9jLnhtbFBLBQYAAAAABgAGAFkBAAAmBQAAAAA=&#10;" filled="f" stroked="f">
          <v:textbox style="mso-fit-shape-to-text:t" inset="0,0,0,0">
            <w:txbxContent>
              <w:p w:rsidR="00471678" w:rsidRDefault="00471678">
                <w:pPr>
                  <w:pStyle w:val="Headerorfooter1"/>
                  <w:jc w:val="left"/>
                  <w:rPr>
                    <w:sz w:val="18"/>
                    <w:szCs w:val="18"/>
                  </w:rPr>
                </w:pPr>
                <w:r w:rsidRPr="00471678">
                  <w:fldChar w:fldCharType="begin"/>
                </w:r>
                <w:r w:rsidR="00A80442">
                  <w:instrText xml:space="preserve"> PAGE \* MERGEFORMAT </w:instrText>
                </w:r>
                <w:r w:rsidRPr="00471678">
                  <w:fldChar w:fldCharType="separate"/>
                </w:r>
                <w:r w:rsidR="00A80442" w:rsidRPr="00A80442">
                  <w:rPr>
                    <w:rFonts w:ascii="Times New Roman" w:eastAsia="Times New Roman" w:hAnsi="Times New Roman" w:cs="Times New Roman"/>
                    <w:i/>
                    <w:iCs/>
                    <w:noProof/>
                    <w:color w:val="000000"/>
                    <w:sz w:val="18"/>
                    <w:szCs w:val="18"/>
                  </w:rPr>
                  <w:t>1</w:t>
                </w:r>
                <w:r>
                  <w:rPr>
                    <w:rFonts w:ascii="Times New Roman" w:eastAsia="Times New Roman" w:hAnsi="Times New Roman" w:cs="Times New Roman"/>
                    <w:i/>
                    <w:iCs/>
                    <w:color w:val="000000"/>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78" w:rsidRDefault="00471678" w:rsidP="00471678">
      <w:r>
        <w:separator/>
      </w:r>
    </w:p>
  </w:footnote>
  <w:footnote w:type="continuationSeparator" w:id="0">
    <w:p w:rsidR="00471678" w:rsidRDefault="00471678" w:rsidP="00471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7F02"/>
    <w:multiLevelType w:val="singleLevel"/>
    <w:tmpl w:val="00827F02"/>
    <w:lvl w:ilvl="0">
      <w:start w:val="2"/>
      <w:numFmt w:val="decimal"/>
      <w:suff w:val="nothing"/>
      <w:lvlText w:val="%1、"/>
      <w:lvlJc w:val="left"/>
    </w:lvl>
  </w:abstractNum>
  <w:abstractNum w:abstractNumId="1">
    <w:nsid w:val="114E34A8"/>
    <w:multiLevelType w:val="singleLevel"/>
    <w:tmpl w:val="114E34A8"/>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2CDC"/>
    <w:rsid w:val="00024EBB"/>
    <w:rsid w:val="00067079"/>
    <w:rsid w:val="000E0580"/>
    <w:rsid w:val="000E4416"/>
    <w:rsid w:val="00132BDA"/>
    <w:rsid w:val="00144F64"/>
    <w:rsid w:val="00161160"/>
    <w:rsid w:val="00172A27"/>
    <w:rsid w:val="00172F1D"/>
    <w:rsid w:val="00194443"/>
    <w:rsid w:val="00202378"/>
    <w:rsid w:val="002834E1"/>
    <w:rsid w:val="002A5D6C"/>
    <w:rsid w:val="002A789F"/>
    <w:rsid w:val="00337C3C"/>
    <w:rsid w:val="003547FC"/>
    <w:rsid w:val="00363BE1"/>
    <w:rsid w:val="00376CE2"/>
    <w:rsid w:val="00471678"/>
    <w:rsid w:val="00481747"/>
    <w:rsid w:val="004857A2"/>
    <w:rsid w:val="004D44E6"/>
    <w:rsid w:val="004E08EA"/>
    <w:rsid w:val="004F38B8"/>
    <w:rsid w:val="004F6A2D"/>
    <w:rsid w:val="00504864"/>
    <w:rsid w:val="005279EE"/>
    <w:rsid w:val="00534795"/>
    <w:rsid w:val="00573C5F"/>
    <w:rsid w:val="005A7AC4"/>
    <w:rsid w:val="005D2F7C"/>
    <w:rsid w:val="005E4737"/>
    <w:rsid w:val="007C77FD"/>
    <w:rsid w:val="007F5C47"/>
    <w:rsid w:val="008138A1"/>
    <w:rsid w:val="00903C21"/>
    <w:rsid w:val="00927125"/>
    <w:rsid w:val="00964F67"/>
    <w:rsid w:val="00A80442"/>
    <w:rsid w:val="00A87371"/>
    <w:rsid w:val="00AB561C"/>
    <w:rsid w:val="00AD6180"/>
    <w:rsid w:val="00B84EBC"/>
    <w:rsid w:val="00BD4337"/>
    <w:rsid w:val="00CC2A08"/>
    <w:rsid w:val="00CC73B6"/>
    <w:rsid w:val="00CF08E1"/>
    <w:rsid w:val="00CF2744"/>
    <w:rsid w:val="00CF6C86"/>
    <w:rsid w:val="00D86E76"/>
    <w:rsid w:val="00E1706E"/>
    <w:rsid w:val="00E82F37"/>
    <w:rsid w:val="00E90741"/>
    <w:rsid w:val="00EC1AE4"/>
    <w:rsid w:val="00ED503B"/>
    <w:rsid w:val="00ED5618"/>
    <w:rsid w:val="00F0138B"/>
    <w:rsid w:val="00F248C7"/>
    <w:rsid w:val="00F360DF"/>
    <w:rsid w:val="00F42462"/>
    <w:rsid w:val="00F642E2"/>
    <w:rsid w:val="00F70356"/>
    <w:rsid w:val="00F95969"/>
    <w:rsid w:val="00FD25D5"/>
    <w:rsid w:val="01582B54"/>
    <w:rsid w:val="017D73AB"/>
    <w:rsid w:val="01F63418"/>
    <w:rsid w:val="02BC1386"/>
    <w:rsid w:val="03762C86"/>
    <w:rsid w:val="07AA604E"/>
    <w:rsid w:val="08076F22"/>
    <w:rsid w:val="0A5A652C"/>
    <w:rsid w:val="0B1407E6"/>
    <w:rsid w:val="0B6B76CF"/>
    <w:rsid w:val="0C8B281A"/>
    <w:rsid w:val="0CDE3526"/>
    <w:rsid w:val="0D0423A0"/>
    <w:rsid w:val="0D1B4E83"/>
    <w:rsid w:val="0F614E05"/>
    <w:rsid w:val="0F6D1373"/>
    <w:rsid w:val="0FBC51D3"/>
    <w:rsid w:val="0FFE0595"/>
    <w:rsid w:val="10C34757"/>
    <w:rsid w:val="128253CF"/>
    <w:rsid w:val="1451480D"/>
    <w:rsid w:val="14AD39A4"/>
    <w:rsid w:val="16BC160E"/>
    <w:rsid w:val="17E64E70"/>
    <w:rsid w:val="180D0A7F"/>
    <w:rsid w:val="18EF4595"/>
    <w:rsid w:val="19860599"/>
    <w:rsid w:val="1AE60D05"/>
    <w:rsid w:val="1E0303D2"/>
    <w:rsid w:val="1FAE51C2"/>
    <w:rsid w:val="1FCB7D91"/>
    <w:rsid w:val="202A4C4E"/>
    <w:rsid w:val="21DE0A3D"/>
    <w:rsid w:val="220E1192"/>
    <w:rsid w:val="272371EA"/>
    <w:rsid w:val="27836E4E"/>
    <w:rsid w:val="27F157AE"/>
    <w:rsid w:val="28AE2E3D"/>
    <w:rsid w:val="28E30F12"/>
    <w:rsid w:val="290D6507"/>
    <w:rsid w:val="29F6035D"/>
    <w:rsid w:val="2A8545C3"/>
    <w:rsid w:val="2C715D8E"/>
    <w:rsid w:val="2D840E96"/>
    <w:rsid w:val="2FC127A4"/>
    <w:rsid w:val="2FE2085A"/>
    <w:rsid w:val="33233A74"/>
    <w:rsid w:val="35451DDA"/>
    <w:rsid w:val="369D0B02"/>
    <w:rsid w:val="390D1DCD"/>
    <w:rsid w:val="3A371558"/>
    <w:rsid w:val="3B372066"/>
    <w:rsid w:val="3C634122"/>
    <w:rsid w:val="3C720262"/>
    <w:rsid w:val="3CB315A6"/>
    <w:rsid w:val="3D9B3BC1"/>
    <w:rsid w:val="3DAC435B"/>
    <w:rsid w:val="3F83372A"/>
    <w:rsid w:val="43176FAC"/>
    <w:rsid w:val="45375DCD"/>
    <w:rsid w:val="45464562"/>
    <w:rsid w:val="45991F5E"/>
    <w:rsid w:val="46953B3A"/>
    <w:rsid w:val="471B02CD"/>
    <w:rsid w:val="47DE212A"/>
    <w:rsid w:val="48054445"/>
    <w:rsid w:val="48E76A67"/>
    <w:rsid w:val="4C272E52"/>
    <w:rsid w:val="4C605F04"/>
    <w:rsid w:val="4E652901"/>
    <w:rsid w:val="50884DAF"/>
    <w:rsid w:val="560F356C"/>
    <w:rsid w:val="562C569D"/>
    <w:rsid w:val="57EF1B1C"/>
    <w:rsid w:val="585A12B2"/>
    <w:rsid w:val="5F320798"/>
    <w:rsid w:val="60667042"/>
    <w:rsid w:val="60B553C4"/>
    <w:rsid w:val="610020C7"/>
    <w:rsid w:val="6158769B"/>
    <w:rsid w:val="61925231"/>
    <w:rsid w:val="63652B0A"/>
    <w:rsid w:val="63B802D0"/>
    <w:rsid w:val="63F05938"/>
    <w:rsid w:val="64AD7A34"/>
    <w:rsid w:val="65EC0B79"/>
    <w:rsid w:val="65FF7D9A"/>
    <w:rsid w:val="66520822"/>
    <w:rsid w:val="66B205E6"/>
    <w:rsid w:val="67442FFB"/>
    <w:rsid w:val="67F30E96"/>
    <w:rsid w:val="680D7890"/>
    <w:rsid w:val="6AE44750"/>
    <w:rsid w:val="6D250601"/>
    <w:rsid w:val="6F336108"/>
    <w:rsid w:val="70604C3E"/>
    <w:rsid w:val="706E733A"/>
    <w:rsid w:val="72FB5C55"/>
    <w:rsid w:val="75CF6F3A"/>
    <w:rsid w:val="77055FEC"/>
    <w:rsid w:val="77A51893"/>
    <w:rsid w:val="77CD1666"/>
    <w:rsid w:val="7A1136F2"/>
    <w:rsid w:val="7A464731"/>
    <w:rsid w:val="7B9C4739"/>
    <w:rsid w:val="7DFE346D"/>
    <w:rsid w:val="7E522ADE"/>
    <w:rsid w:val="7E8C363C"/>
    <w:rsid w:val="7EDB2E1A"/>
    <w:rsid w:val="7F3948E5"/>
    <w:rsid w:val="7F5B0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toc 3"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uiPriority="99"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71678"/>
    <w:pPr>
      <w:widowControl w:val="0"/>
      <w:jc w:val="both"/>
    </w:pPr>
    <w:rPr>
      <w:rFonts w:ascii="等线" w:hAnsi="等线"/>
      <w:kern w:val="2"/>
      <w:sz w:val="24"/>
      <w:szCs w:val="22"/>
    </w:rPr>
  </w:style>
  <w:style w:type="paragraph" w:styleId="20">
    <w:name w:val="heading 2"/>
    <w:basedOn w:val="a"/>
    <w:next w:val="a"/>
    <w:unhideWhenUsed/>
    <w:qFormat/>
    <w:rsid w:val="00471678"/>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rsid w:val="00471678"/>
    <w:pPr>
      <w:keepNext/>
      <w:keepLines/>
      <w:spacing w:before="260" w:after="260" w:line="413" w:lineRule="auto"/>
      <w:outlineLvl w:val="2"/>
    </w:pPr>
    <w:rPr>
      <w:b/>
      <w:sz w:val="32"/>
    </w:rPr>
  </w:style>
  <w:style w:type="paragraph" w:styleId="4">
    <w:name w:val="heading 4"/>
    <w:basedOn w:val="a"/>
    <w:next w:val="a"/>
    <w:unhideWhenUsed/>
    <w:qFormat/>
    <w:rsid w:val="00471678"/>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rsid w:val="00471678"/>
    <w:pPr>
      <w:spacing w:beforeLines="50" w:afterLines="50" w:line="300" w:lineRule="auto"/>
      <w:ind w:firstLine="420"/>
    </w:pPr>
    <w:rPr>
      <w:rFonts w:ascii="宋体" w:hAnsi="Times New Roman"/>
      <w:szCs w:val="24"/>
    </w:rPr>
  </w:style>
  <w:style w:type="paragraph" w:styleId="a3">
    <w:name w:val="Body Text Indent"/>
    <w:basedOn w:val="a"/>
    <w:uiPriority w:val="99"/>
    <w:unhideWhenUsed/>
    <w:qFormat/>
    <w:rsid w:val="00471678"/>
    <w:pPr>
      <w:spacing w:after="120"/>
      <w:ind w:leftChars="200" w:left="420"/>
    </w:pPr>
  </w:style>
  <w:style w:type="paragraph" w:styleId="a4">
    <w:name w:val="annotation text"/>
    <w:basedOn w:val="a"/>
    <w:link w:val="Char"/>
    <w:qFormat/>
    <w:rsid w:val="00471678"/>
    <w:pPr>
      <w:jc w:val="left"/>
    </w:pPr>
  </w:style>
  <w:style w:type="paragraph" w:styleId="30">
    <w:name w:val="toc 3"/>
    <w:basedOn w:val="a"/>
    <w:next w:val="a"/>
    <w:qFormat/>
    <w:rsid w:val="00471678"/>
    <w:pPr>
      <w:ind w:leftChars="400" w:left="840"/>
    </w:pPr>
  </w:style>
  <w:style w:type="paragraph" w:styleId="a5">
    <w:name w:val="footer"/>
    <w:basedOn w:val="a"/>
    <w:link w:val="Char0"/>
    <w:qFormat/>
    <w:rsid w:val="00471678"/>
    <w:pPr>
      <w:tabs>
        <w:tab w:val="center" w:pos="4153"/>
        <w:tab w:val="right" w:pos="8306"/>
      </w:tabs>
      <w:snapToGrid w:val="0"/>
      <w:jc w:val="left"/>
    </w:pPr>
    <w:rPr>
      <w:sz w:val="18"/>
      <w:szCs w:val="18"/>
    </w:rPr>
  </w:style>
  <w:style w:type="paragraph" w:styleId="a6">
    <w:name w:val="header"/>
    <w:basedOn w:val="a"/>
    <w:link w:val="Char1"/>
    <w:qFormat/>
    <w:rsid w:val="00471678"/>
    <w:pPr>
      <w:pBdr>
        <w:bottom w:val="single" w:sz="6" w:space="1" w:color="auto"/>
      </w:pBdr>
      <w:tabs>
        <w:tab w:val="center" w:pos="4153"/>
        <w:tab w:val="right" w:pos="8306"/>
      </w:tabs>
      <w:snapToGrid w:val="0"/>
      <w:jc w:val="center"/>
    </w:pPr>
    <w:rPr>
      <w:sz w:val="18"/>
      <w:szCs w:val="18"/>
    </w:rPr>
  </w:style>
  <w:style w:type="paragraph" w:styleId="21">
    <w:name w:val="toc 2"/>
    <w:basedOn w:val="a"/>
    <w:next w:val="a"/>
    <w:qFormat/>
    <w:rsid w:val="00471678"/>
    <w:pPr>
      <w:ind w:leftChars="200" w:left="420"/>
    </w:pPr>
  </w:style>
  <w:style w:type="paragraph" w:styleId="a7">
    <w:name w:val="annotation subject"/>
    <w:basedOn w:val="a4"/>
    <w:next w:val="a4"/>
    <w:link w:val="Char2"/>
    <w:qFormat/>
    <w:rsid w:val="00471678"/>
    <w:rPr>
      <w:b/>
      <w:bCs/>
    </w:rPr>
  </w:style>
  <w:style w:type="character" w:styleId="a8">
    <w:name w:val="annotation reference"/>
    <w:basedOn w:val="a0"/>
    <w:qFormat/>
    <w:rsid w:val="00471678"/>
    <w:rPr>
      <w:sz w:val="21"/>
      <w:szCs w:val="21"/>
    </w:rPr>
  </w:style>
  <w:style w:type="paragraph" w:customStyle="1" w:styleId="Default">
    <w:name w:val="Default"/>
    <w:qFormat/>
    <w:rsid w:val="00471678"/>
    <w:pPr>
      <w:widowControl w:val="0"/>
      <w:autoSpaceDE w:val="0"/>
      <w:autoSpaceDN w:val="0"/>
      <w:adjustRightInd w:val="0"/>
    </w:pPr>
    <w:rPr>
      <w:rFonts w:ascii="宋体" w:cs="宋体"/>
      <w:color w:val="000000"/>
      <w:sz w:val="24"/>
      <w:szCs w:val="24"/>
    </w:rPr>
  </w:style>
  <w:style w:type="character" w:customStyle="1" w:styleId="da">
    <w:name w:val="da"/>
    <w:basedOn w:val="a0"/>
    <w:qFormat/>
    <w:rsid w:val="00471678"/>
  </w:style>
  <w:style w:type="paragraph" w:customStyle="1" w:styleId="Bodytext1">
    <w:name w:val="Body text|1"/>
    <w:basedOn w:val="a"/>
    <w:qFormat/>
    <w:rsid w:val="00471678"/>
    <w:pPr>
      <w:spacing w:after="690"/>
      <w:ind w:firstLine="250"/>
    </w:pPr>
    <w:rPr>
      <w:rFonts w:ascii="宋体" w:hAnsi="宋体" w:cs="宋体"/>
      <w:b/>
      <w:bCs/>
      <w:lang w:val="zh-TW" w:eastAsia="zh-TW" w:bidi="zh-TW"/>
    </w:rPr>
  </w:style>
  <w:style w:type="paragraph" w:styleId="a9">
    <w:name w:val="List Paragraph"/>
    <w:basedOn w:val="a"/>
    <w:uiPriority w:val="34"/>
    <w:qFormat/>
    <w:rsid w:val="00471678"/>
    <w:pPr>
      <w:ind w:firstLineChars="200" w:firstLine="420"/>
    </w:pPr>
  </w:style>
  <w:style w:type="paragraph" w:customStyle="1" w:styleId="Other1">
    <w:name w:val="Other|1"/>
    <w:basedOn w:val="a"/>
    <w:qFormat/>
    <w:rsid w:val="00471678"/>
    <w:pPr>
      <w:spacing w:after="240" w:line="480" w:lineRule="auto"/>
      <w:ind w:firstLine="400"/>
    </w:pPr>
    <w:rPr>
      <w:rFonts w:ascii="宋体" w:hAnsi="宋体" w:cs="宋体"/>
      <w:color w:val="6E6A69"/>
      <w:sz w:val="20"/>
      <w:szCs w:val="20"/>
      <w:lang w:val="zh-TW" w:eastAsia="zh-TW" w:bidi="zh-TW"/>
    </w:rPr>
  </w:style>
  <w:style w:type="paragraph" w:customStyle="1" w:styleId="Headerorfooter1">
    <w:name w:val="Header or footer|1"/>
    <w:basedOn w:val="a"/>
    <w:qFormat/>
    <w:rsid w:val="00471678"/>
    <w:rPr>
      <w:rFonts w:ascii="宋体" w:hAnsi="宋体" w:cs="宋体"/>
      <w:color w:val="6E6A69"/>
      <w:sz w:val="26"/>
      <w:szCs w:val="26"/>
      <w:lang w:val="zh-TW" w:eastAsia="zh-TW" w:bidi="zh-TW"/>
    </w:rPr>
  </w:style>
  <w:style w:type="paragraph" w:customStyle="1" w:styleId="Heading61">
    <w:name w:val="Heading #6|1"/>
    <w:basedOn w:val="a"/>
    <w:qFormat/>
    <w:rsid w:val="00471678"/>
    <w:pPr>
      <w:spacing w:after="100" w:line="469" w:lineRule="exact"/>
      <w:outlineLvl w:val="5"/>
    </w:pPr>
    <w:rPr>
      <w:rFonts w:ascii="宋体" w:hAnsi="宋体" w:cs="宋体"/>
      <w:b/>
      <w:bCs/>
      <w:lang w:val="zh-TW" w:eastAsia="zh-TW" w:bidi="zh-TW"/>
    </w:rPr>
  </w:style>
  <w:style w:type="paragraph" w:customStyle="1" w:styleId="Heading51">
    <w:name w:val="Heading #5|1"/>
    <w:basedOn w:val="a"/>
    <w:qFormat/>
    <w:rsid w:val="00471678"/>
    <w:pPr>
      <w:spacing w:after="280"/>
      <w:ind w:firstLine="580"/>
      <w:outlineLvl w:val="4"/>
    </w:pPr>
    <w:rPr>
      <w:rFonts w:ascii="宋体" w:hAnsi="宋体" w:cs="宋体"/>
      <w:lang w:val="zh-TW" w:eastAsia="zh-TW" w:bidi="zh-TW"/>
    </w:rPr>
  </w:style>
  <w:style w:type="paragraph" w:customStyle="1" w:styleId="Heading21">
    <w:name w:val="Heading #2|1"/>
    <w:basedOn w:val="a"/>
    <w:qFormat/>
    <w:rsid w:val="00471678"/>
    <w:pPr>
      <w:spacing w:after="160"/>
      <w:ind w:left="1760"/>
      <w:outlineLvl w:val="1"/>
    </w:pPr>
    <w:rPr>
      <w:rFonts w:ascii="宋体" w:hAnsi="宋体" w:cs="宋体"/>
      <w:color w:val="610304"/>
      <w:sz w:val="46"/>
      <w:szCs w:val="46"/>
      <w:lang w:val="zh-TW" w:eastAsia="zh-TW" w:bidi="zh-TW"/>
    </w:rPr>
  </w:style>
  <w:style w:type="paragraph" w:customStyle="1" w:styleId="WPSOffice1">
    <w:name w:val="WPSOffice手动目录 1"/>
    <w:qFormat/>
    <w:rsid w:val="00471678"/>
    <w:rPr>
      <w:rFonts w:asciiTheme="minorHAnsi" w:eastAsiaTheme="minorEastAsia" w:hAnsiTheme="minorHAnsi" w:cstheme="minorBidi"/>
    </w:rPr>
  </w:style>
  <w:style w:type="paragraph" w:customStyle="1" w:styleId="WPSOffice2">
    <w:name w:val="WPSOffice手动目录 2"/>
    <w:qFormat/>
    <w:rsid w:val="00471678"/>
    <w:pPr>
      <w:ind w:leftChars="200" w:left="200"/>
    </w:pPr>
    <w:rPr>
      <w:rFonts w:asciiTheme="minorHAnsi" w:eastAsiaTheme="minorEastAsia" w:hAnsiTheme="minorHAnsi" w:cstheme="minorBidi"/>
    </w:rPr>
  </w:style>
  <w:style w:type="paragraph" w:customStyle="1" w:styleId="WPSOffice3">
    <w:name w:val="WPSOffice手动目录 3"/>
    <w:qFormat/>
    <w:rsid w:val="00471678"/>
    <w:pPr>
      <w:ind w:leftChars="400" w:left="400"/>
    </w:pPr>
    <w:rPr>
      <w:rFonts w:asciiTheme="minorHAnsi" w:eastAsiaTheme="minorEastAsia" w:hAnsiTheme="minorHAnsi" w:cstheme="minorBidi"/>
    </w:rPr>
  </w:style>
  <w:style w:type="paragraph" w:customStyle="1" w:styleId="1">
    <w:name w:val="修订1"/>
    <w:hidden/>
    <w:uiPriority w:val="99"/>
    <w:semiHidden/>
    <w:qFormat/>
    <w:rsid w:val="00471678"/>
    <w:rPr>
      <w:rFonts w:ascii="等线" w:hAnsi="等线"/>
      <w:kern w:val="2"/>
      <w:sz w:val="24"/>
      <w:szCs w:val="22"/>
    </w:rPr>
  </w:style>
  <w:style w:type="character" w:customStyle="1" w:styleId="Char">
    <w:name w:val="批注文字 Char"/>
    <w:basedOn w:val="a0"/>
    <w:link w:val="a4"/>
    <w:qFormat/>
    <w:rsid w:val="00471678"/>
    <w:rPr>
      <w:rFonts w:ascii="等线" w:eastAsia="宋体" w:hAnsi="等线" w:cs="Times New Roman"/>
      <w:kern w:val="2"/>
      <w:sz w:val="24"/>
      <w:szCs w:val="22"/>
    </w:rPr>
  </w:style>
  <w:style w:type="character" w:customStyle="1" w:styleId="Char2">
    <w:name w:val="批注主题 Char"/>
    <w:basedOn w:val="Char"/>
    <w:link w:val="a7"/>
    <w:qFormat/>
    <w:rsid w:val="00471678"/>
    <w:rPr>
      <w:rFonts w:ascii="等线" w:eastAsia="宋体" w:hAnsi="等线" w:cs="Times New Roman"/>
      <w:b/>
      <w:bCs/>
      <w:kern w:val="2"/>
      <w:sz w:val="24"/>
      <w:szCs w:val="22"/>
    </w:rPr>
  </w:style>
  <w:style w:type="character" w:customStyle="1" w:styleId="Char1">
    <w:name w:val="页眉 Char"/>
    <w:basedOn w:val="a0"/>
    <w:link w:val="a6"/>
    <w:qFormat/>
    <w:rsid w:val="00471678"/>
    <w:rPr>
      <w:rFonts w:ascii="等线" w:eastAsia="宋体" w:hAnsi="等线" w:cs="Times New Roman"/>
      <w:kern w:val="2"/>
      <w:sz w:val="18"/>
      <w:szCs w:val="18"/>
    </w:rPr>
  </w:style>
  <w:style w:type="character" w:customStyle="1" w:styleId="Char0">
    <w:name w:val="页脚 Char"/>
    <w:basedOn w:val="a0"/>
    <w:link w:val="a5"/>
    <w:qFormat/>
    <w:rsid w:val="00471678"/>
    <w:rPr>
      <w:rFonts w:ascii="等线" w:eastAsia="宋体" w:hAnsi="等线"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8409</Characters>
  <Application>Microsoft Office Word</Application>
  <DocSecurity>4</DocSecurity>
  <Lines>70</Lines>
  <Paragraphs>19</Paragraphs>
  <ScaleCrop>false</ScaleCrop>
  <Company>CNSTOCK</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fuxiao</dc:creator>
  <cp:lastModifiedBy>ZHONGM</cp:lastModifiedBy>
  <cp:revision>2</cp:revision>
  <dcterms:created xsi:type="dcterms:W3CDTF">2023-06-02T16:02:00Z</dcterms:created>
  <dcterms:modified xsi:type="dcterms:W3CDTF">2023-06-02T16:02:00Z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7A07DD24C05549668F693481B9FEEA79</vt:lpwstr>
  </property>
</Properties>
</file>