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p>
    <w:p w:rsidR="0043656C" w:rsidRDefault="0043656C">
      <w:pPr>
        <w:widowControl w:val="0"/>
        <w:jc w:val="center"/>
        <w:rPr>
          <w:rFonts w:eastAsia="Times New Roman"/>
          <w:sz w:val="48"/>
          <w:szCs w:val="48"/>
          <w:lang w:val="en-US" w:eastAsia="zh-CN" w:bidi="ar-SA"/>
        </w:rPr>
      </w:pPr>
      <w:bookmarkStart w:id="0" w:name="t_2_0_table"/>
      <w:bookmarkEnd w:id="0"/>
      <w:r>
        <w:rPr>
          <w:rFonts w:ascii="宋体" w:hAnsi="宋体" w:cs="宋体"/>
          <w:b/>
          <w:bCs/>
          <w:sz w:val="48"/>
          <w:szCs w:val="48"/>
          <w:lang w:val="en-US" w:eastAsia="zh-CN" w:bidi="ar-SA"/>
        </w:rPr>
        <w:t>鹏华碳中和主题混合型证券投资基金开放日常申购、赎回、转换和定期定额投资业务的公告</w:t>
      </w:r>
    </w:p>
    <w:p w:rsidR="0043656C" w:rsidRDefault="0043656C">
      <w:pPr>
        <w:widowControl w:val="0"/>
        <w:jc w:val="center"/>
        <w:rPr>
          <w:rFonts w:eastAsia="Times New Roman"/>
          <w:sz w:val="30"/>
          <w:szCs w:val="30"/>
          <w:lang w:val="en-US" w:eastAsia="zh-CN" w:bidi="ar-SA"/>
        </w:rPr>
      </w:pPr>
      <w:bookmarkStart w:id="1" w:name="t_2_0_0002_a2_fm1"/>
      <w:bookmarkEnd w:id="1"/>
    </w:p>
    <w:p w:rsidR="0043656C" w:rsidRDefault="0043656C">
      <w:pPr>
        <w:widowControl w:val="0"/>
        <w:jc w:val="center"/>
        <w:rPr>
          <w:rFonts w:eastAsia="Times New Roman"/>
          <w:sz w:val="30"/>
          <w:szCs w:val="30"/>
          <w:lang w:val="en-US" w:eastAsia="zh-CN" w:bidi="ar-SA"/>
        </w:rPr>
      </w:pPr>
    </w:p>
    <w:p w:rsidR="0043656C" w:rsidRDefault="0043656C">
      <w:pPr>
        <w:widowControl w:val="0"/>
        <w:jc w:val="center"/>
        <w:rPr>
          <w:rFonts w:eastAsia="Times New Roman"/>
          <w:sz w:val="30"/>
          <w:szCs w:val="30"/>
          <w:lang w:val="en-US" w:eastAsia="zh-CN" w:bidi="ar-SA"/>
        </w:rPr>
      </w:pPr>
    </w:p>
    <w:p w:rsidR="0043656C" w:rsidRDefault="0043656C">
      <w:pPr>
        <w:widowControl w:val="0"/>
        <w:jc w:val="center"/>
        <w:rPr>
          <w:rFonts w:eastAsia="Times New Roman"/>
          <w:sz w:val="30"/>
          <w:szCs w:val="30"/>
          <w:lang w:val="en-US" w:eastAsia="zh-CN" w:bidi="ar-SA"/>
        </w:rPr>
      </w:pPr>
    </w:p>
    <w:p w:rsidR="0043656C" w:rsidRDefault="0043656C">
      <w:pPr>
        <w:widowControl w:val="0"/>
        <w:jc w:val="center"/>
        <w:rPr>
          <w:rFonts w:eastAsia="Times New Roman"/>
          <w:sz w:val="30"/>
          <w:szCs w:val="30"/>
          <w:lang w:val="en-US" w:eastAsia="zh-CN" w:bidi="ar-SA"/>
        </w:rPr>
      </w:pPr>
    </w:p>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r>
        <w:rPr>
          <w:rFonts w:eastAsia="Times New Roman"/>
          <w:lang w:val="en-US" w:eastAsia="zh-CN" w:bidi="ar-SA"/>
        </w:rPr>
        <w:t> </w:t>
      </w:r>
    </w:p>
    <w:p w:rsidR="0043656C" w:rsidRDefault="0043656C">
      <w:pPr>
        <w:widowControl w:val="0"/>
        <w:jc w:val="both"/>
        <w:rPr>
          <w:rFonts w:eastAsia="Times New Roman"/>
          <w:lang w:val="en-US" w:eastAsia="zh-CN" w:bidi="ar-SA"/>
        </w:rPr>
      </w:pPr>
      <w:r>
        <w:rPr>
          <w:rFonts w:eastAsia="Times New Roman"/>
          <w:lang w:val="en-US" w:eastAsia="zh-CN" w:bidi="ar-SA"/>
        </w:rPr>
        <w:t> </w:t>
      </w:r>
    </w:p>
    <w:p w:rsidR="0043656C" w:rsidRDefault="0043656C">
      <w:pPr>
        <w:widowControl w:val="0"/>
        <w:jc w:val="both"/>
        <w:rPr>
          <w:rFonts w:eastAsia="Times New Roman"/>
          <w:lang w:val="en-US" w:eastAsia="zh-CN" w:bidi="ar-SA"/>
        </w:rPr>
      </w:pPr>
      <w:r>
        <w:rPr>
          <w:rFonts w:eastAsia="Times New Roman"/>
          <w:lang w:val="en-US" w:eastAsia="zh-CN" w:bidi="ar-SA"/>
        </w:rPr>
        <w:t> </w:t>
      </w:r>
    </w:p>
    <w:p w:rsidR="0043656C" w:rsidRDefault="0043656C">
      <w:pPr>
        <w:widowControl w:val="0"/>
        <w:jc w:val="both"/>
        <w:rPr>
          <w:rFonts w:eastAsia="Times New Roman"/>
          <w:lang w:val="en-US" w:eastAsia="zh-CN" w:bidi="ar-SA"/>
        </w:rPr>
      </w:pPr>
    </w:p>
    <w:p w:rsidR="0043656C" w:rsidRDefault="0043656C">
      <w:pPr>
        <w:widowControl w:val="0"/>
        <w:ind w:left="2100" w:firstLine="420"/>
        <w:jc w:val="both"/>
        <w:rPr>
          <w:rFonts w:eastAsia="Times New Roman"/>
          <w:sz w:val="28"/>
          <w:szCs w:val="28"/>
          <w:lang w:val="en-US" w:eastAsia="zh-CN" w:bidi="ar-SA"/>
        </w:rPr>
      </w:pPr>
      <w:r>
        <w:rPr>
          <w:rFonts w:ascii="宋体" w:hAnsi="宋体" w:cs="宋体"/>
          <w:b/>
          <w:bCs/>
          <w:sz w:val="28"/>
          <w:szCs w:val="28"/>
          <w:lang w:val="en-US" w:eastAsia="zh-CN" w:bidi="ar-SA"/>
        </w:rPr>
        <w:t>公告送出日期：2023年06月03日</w:t>
      </w:r>
    </w:p>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p>
    <w:p w:rsidR="0043656C" w:rsidRDefault="0043656C">
      <w:pPr>
        <w:widowControl w:val="0"/>
        <w:jc w:val="both"/>
        <w:rPr>
          <w:rFonts w:eastAsia="Times New Roman"/>
          <w:lang w:val="en-US" w:eastAsia="zh-CN" w:bidi="ar-SA"/>
        </w:rPr>
      </w:pPr>
      <w:r>
        <w:rPr>
          <w:lang w:val="en-US" w:eastAsia="zh-CN" w:bidi="ar-SA"/>
        </w:rPr>
        <w:t> </w:t>
      </w:r>
    </w:p>
    <w:p w:rsidR="0043656C" w:rsidRDefault="0043656C">
      <w:pPr>
        <w:widowControl w:val="0"/>
        <w:jc w:val="both"/>
        <w:rPr>
          <w:rFonts w:eastAsia="Times New Roman"/>
          <w:lang w:val="en-US" w:eastAsia="zh-CN" w:bidi="ar-SA"/>
        </w:rPr>
      </w:pPr>
      <w:r>
        <w:rPr>
          <w:lang w:val="en-US" w:eastAsia="zh-CN" w:bidi="ar-SA"/>
        </w:rPr>
        <w:t> </w:t>
      </w:r>
    </w:p>
    <w:p w:rsidR="0043656C" w:rsidRDefault="0043656C">
      <w:pPr>
        <w:widowControl w:val="0"/>
        <w:jc w:val="both"/>
        <w:rPr>
          <w:rFonts w:eastAsia="Times New Roman"/>
          <w:lang w:val="en-US" w:eastAsia="zh-CN" w:bidi="ar-SA"/>
        </w:rPr>
      </w:pPr>
      <w:r>
        <w:rPr>
          <w:lang w:val="en-US" w:eastAsia="zh-CN" w:bidi="ar-SA"/>
        </w:rPr>
        <w:t> </w:t>
      </w:r>
    </w:p>
    <w:p w:rsidR="0043656C" w:rsidRDefault="0043656C">
      <w:pPr>
        <w:widowControl w:val="0"/>
        <w:jc w:val="both"/>
        <w:rPr>
          <w:rFonts w:eastAsia="Times New Roman"/>
          <w:lang w:val="en-US" w:eastAsia="zh-CN" w:bidi="ar-SA"/>
        </w:rPr>
      </w:pPr>
      <w:r>
        <w:rPr>
          <w:lang w:val="en-US" w:eastAsia="zh-CN" w:bidi="ar-SA"/>
        </w:rPr>
        <w:t> </w:t>
      </w:r>
    </w:p>
    <w:p w:rsidR="0043656C" w:rsidRDefault="0043656C">
      <w:pPr>
        <w:widowControl w:val="0"/>
        <w:jc w:val="both"/>
        <w:rPr>
          <w:rFonts w:eastAsia="Times New Roman"/>
          <w:lang w:val="en-US" w:eastAsia="zh-CN" w:bidi="ar-SA"/>
        </w:rPr>
      </w:pPr>
      <w:r>
        <w:rPr>
          <w:lang w:val="en-US" w:eastAsia="zh-CN" w:bidi="ar-SA"/>
        </w:rPr>
        <w:lastRenderedPageBreak/>
        <w:t> </w:t>
      </w:r>
    </w:p>
    <w:p w:rsidR="0043656C" w:rsidRDefault="0043656C">
      <w:pPr>
        <w:pStyle w:val="2"/>
        <w:keepLines/>
        <w:widowControl w:val="0"/>
        <w:spacing w:before="156" w:after="156"/>
        <w:rPr>
          <w:rFonts w:ascii="Times New Roman" w:eastAsia="Times New Roman" w:hAnsi="Times New Roman" w:cs="Times New Roman"/>
          <w:lang w:val="en-US" w:eastAsia="zh-CN" w:bidi="ar-SA"/>
        </w:rPr>
      </w:pPr>
      <w:r>
        <w:rPr>
          <w:rFonts w:ascii="宋体" w:hAnsi="宋体" w:cs="宋体"/>
          <w:i w:val="0"/>
          <w:iCs w:val="0"/>
          <w:sz w:val="24"/>
          <w:szCs w:val="24"/>
          <w:lang w:val="en-US" w:eastAsia="zh-CN" w:bidi="ar-SA"/>
        </w:rPr>
        <w:t>1</w:t>
      </w:r>
      <w:bookmarkStart w:id="2" w:name="t_2_1_table"/>
      <w:bookmarkEnd w:id="2"/>
      <w:r>
        <w:rPr>
          <w:rFonts w:ascii="宋体" w:hAnsi="宋体" w:cs="宋体"/>
          <w:i w:val="0"/>
          <w:iCs w:val="0"/>
          <w:sz w:val="24"/>
          <w:szCs w:val="24"/>
          <w:lang w:val="en-US" w:eastAsia="zh-CN" w:bidi="ar-SA"/>
        </w:rPr>
        <w:t>公告基本信息</w:t>
      </w:r>
    </w:p>
    <w:tbl>
      <w:tblPr>
        <w:tblW w:w="8647" w:type="dxa"/>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tblPr>
      <w:tblGrid>
        <w:gridCol w:w="3261"/>
        <w:gridCol w:w="2640"/>
        <w:gridCol w:w="2746"/>
      </w:tblGrid>
      <w:tr w:rsidR="0043656C" w:rsidRPr="0043656C">
        <w:tc>
          <w:tcPr>
            <w:tcW w:w="3261" w:type="dxa"/>
            <w:tcBorders>
              <w:bottom w:val="single" w:sz="6" w:space="0" w:color="auto"/>
              <w:right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r w:rsidRPr="0043656C">
              <w:rPr>
                <w:rFonts w:ascii="宋体" w:hAnsi="宋体" w:cs="宋体"/>
                <w:sz w:val="21"/>
                <w:szCs w:val="21"/>
                <w:lang w:val="en-US" w:eastAsia="zh-CN" w:bidi="ar-SA"/>
              </w:rPr>
              <w:t>基金名称</w:t>
            </w:r>
          </w:p>
        </w:tc>
        <w:tc>
          <w:tcPr>
            <w:tcW w:w="5386" w:type="dxa"/>
            <w:gridSpan w:val="2"/>
            <w:tcBorders>
              <w:left w:val="single" w:sz="6" w:space="0" w:color="auto"/>
              <w:bottom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bookmarkStart w:id="3" w:name="t_2_1_0009_a1_fm1"/>
            <w:bookmarkEnd w:id="3"/>
            <w:r w:rsidRPr="0043656C">
              <w:rPr>
                <w:rFonts w:ascii="宋体" w:hAnsi="宋体" w:cs="宋体"/>
                <w:sz w:val="21"/>
                <w:szCs w:val="21"/>
                <w:lang w:val="en-US" w:eastAsia="zh-CN" w:bidi="ar-SA"/>
              </w:rPr>
              <w:t>鹏华碳中和主题混合型证券投资基金</w:t>
            </w:r>
          </w:p>
        </w:tc>
      </w:tr>
      <w:tr w:rsidR="0043656C" w:rsidRPr="0043656C">
        <w:tc>
          <w:tcPr>
            <w:tcW w:w="3261"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r w:rsidRPr="0043656C">
              <w:rPr>
                <w:rFonts w:ascii="宋体" w:hAnsi="宋体" w:cs="宋体"/>
                <w:sz w:val="21"/>
                <w:szCs w:val="21"/>
                <w:lang w:val="en-US" w:eastAsia="zh-CN" w:bidi="ar-SA"/>
              </w:rPr>
              <w:t>基金简称</w:t>
            </w:r>
          </w:p>
        </w:tc>
        <w:tc>
          <w:tcPr>
            <w:tcW w:w="5386"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bookmarkStart w:id="4" w:name="t_2_1_0011_a1_fm1"/>
            <w:bookmarkEnd w:id="4"/>
            <w:r w:rsidRPr="0043656C">
              <w:rPr>
                <w:rFonts w:ascii="宋体" w:hAnsi="宋体" w:cs="宋体"/>
                <w:sz w:val="21"/>
                <w:szCs w:val="21"/>
                <w:lang w:val="en-US" w:eastAsia="zh-CN" w:bidi="ar-SA"/>
              </w:rPr>
              <w:t>鹏华碳中和主题混合</w:t>
            </w:r>
          </w:p>
        </w:tc>
      </w:tr>
      <w:tr w:rsidR="0043656C" w:rsidRPr="0043656C">
        <w:tc>
          <w:tcPr>
            <w:tcW w:w="3261"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r w:rsidRPr="0043656C">
              <w:rPr>
                <w:rFonts w:ascii="宋体" w:hAnsi="宋体" w:cs="宋体"/>
                <w:sz w:val="21"/>
                <w:szCs w:val="21"/>
                <w:lang w:val="en-US" w:eastAsia="zh-CN" w:bidi="ar-SA"/>
              </w:rPr>
              <w:t>基金主代码</w:t>
            </w:r>
          </w:p>
        </w:tc>
        <w:tc>
          <w:tcPr>
            <w:tcW w:w="5386"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bookmarkStart w:id="5" w:name="t_2_1_0012_a1_fm1"/>
            <w:bookmarkEnd w:id="5"/>
            <w:r w:rsidRPr="0043656C">
              <w:rPr>
                <w:rFonts w:ascii="宋体" w:hAnsi="宋体" w:cs="宋体"/>
                <w:sz w:val="21"/>
                <w:szCs w:val="21"/>
                <w:lang w:val="en-US" w:eastAsia="zh-CN" w:bidi="ar-SA"/>
              </w:rPr>
              <w:t>016530</w:t>
            </w:r>
          </w:p>
        </w:tc>
      </w:tr>
      <w:tr w:rsidR="0043656C" w:rsidRPr="0043656C">
        <w:tc>
          <w:tcPr>
            <w:tcW w:w="3261"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r w:rsidRPr="0043656C">
              <w:rPr>
                <w:rFonts w:ascii="宋体" w:hAnsi="宋体" w:cs="宋体"/>
                <w:sz w:val="21"/>
                <w:szCs w:val="21"/>
                <w:lang w:val="en-US" w:eastAsia="zh-CN" w:bidi="ar-SA"/>
              </w:rPr>
              <w:t>基金运作方式</w:t>
            </w:r>
          </w:p>
        </w:tc>
        <w:tc>
          <w:tcPr>
            <w:tcW w:w="5386"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3656C" w:rsidRPr="0043656C" w:rsidRDefault="0043656C" w:rsidP="00CE11CA">
            <w:pPr>
              <w:pStyle w:val="MsoNormal0"/>
              <w:spacing w:line="360" w:lineRule="auto"/>
              <w:rPr>
                <w:rFonts w:ascii="宋体" w:hAnsi="宋体" w:cs="宋体"/>
                <w:sz w:val="21"/>
                <w:szCs w:val="21"/>
                <w:lang w:val="en-US" w:eastAsia="zh-CN" w:bidi="ar-SA"/>
              </w:rPr>
            </w:pPr>
            <w:r w:rsidRPr="0043656C">
              <w:rPr>
                <w:rFonts w:ascii="宋体" w:hAnsi="宋体" w:cs="宋体"/>
                <w:sz w:val="21"/>
                <w:szCs w:val="21"/>
                <w:lang w:val="en-US" w:eastAsia="zh-CN" w:bidi="ar-SA"/>
              </w:rPr>
              <w:t>契约型开放式</w:t>
            </w:r>
            <w:r w:rsidRPr="0043656C">
              <w:rPr>
                <w:rFonts w:ascii="宋体" w:hAnsi="宋体" w:cs="宋体"/>
                <w:sz w:val="21"/>
                <w:szCs w:val="21"/>
                <w:lang w:bidi="ar-SA"/>
              </w:rPr>
              <w:t xml:space="preserve"> </w:t>
            </w:r>
          </w:p>
        </w:tc>
      </w:tr>
      <w:tr w:rsidR="0043656C" w:rsidRPr="0043656C">
        <w:tc>
          <w:tcPr>
            <w:tcW w:w="3261"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r w:rsidRPr="0043656C">
              <w:rPr>
                <w:rFonts w:ascii="宋体" w:hAnsi="宋体" w:cs="宋体"/>
                <w:sz w:val="21"/>
                <w:szCs w:val="21"/>
                <w:lang w:val="en-US" w:eastAsia="zh-CN" w:bidi="ar-SA"/>
              </w:rPr>
              <w:t>基金合同生效日</w:t>
            </w:r>
          </w:p>
        </w:tc>
        <w:tc>
          <w:tcPr>
            <w:tcW w:w="5386"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bookmarkStart w:id="6" w:name="t_2_1_0018_a1_fm1"/>
            <w:bookmarkEnd w:id="6"/>
            <w:r w:rsidRPr="0043656C">
              <w:rPr>
                <w:rFonts w:ascii="宋体" w:hAnsi="宋体" w:cs="宋体"/>
                <w:sz w:val="21"/>
                <w:szCs w:val="21"/>
                <w:lang w:val="en-US" w:eastAsia="zh-CN" w:bidi="ar-SA"/>
              </w:rPr>
              <w:t>2023年05月05日</w:t>
            </w:r>
          </w:p>
        </w:tc>
      </w:tr>
      <w:tr w:rsidR="0043656C" w:rsidRPr="0043656C">
        <w:tc>
          <w:tcPr>
            <w:tcW w:w="3261"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r w:rsidRPr="0043656C">
              <w:rPr>
                <w:rFonts w:ascii="宋体" w:hAnsi="宋体" w:cs="宋体"/>
                <w:sz w:val="21"/>
                <w:szCs w:val="21"/>
                <w:lang w:val="en-US" w:eastAsia="zh-CN" w:bidi="ar-SA"/>
              </w:rPr>
              <w:t>基金管理人名称</w:t>
            </w:r>
          </w:p>
        </w:tc>
        <w:tc>
          <w:tcPr>
            <w:tcW w:w="5386"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bookmarkStart w:id="7" w:name="t_2_1_0186_a1_fm1"/>
            <w:bookmarkEnd w:id="7"/>
            <w:r w:rsidRPr="0043656C">
              <w:rPr>
                <w:rFonts w:ascii="宋体" w:hAnsi="宋体" w:cs="宋体"/>
                <w:sz w:val="21"/>
                <w:szCs w:val="21"/>
                <w:lang w:val="en-US" w:eastAsia="zh-CN" w:bidi="ar-SA"/>
              </w:rPr>
              <w:t>鹏华基金管理有限公司</w:t>
            </w:r>
          </w:p>
        </w:tc>
      </w:tr>
      <w:tr w:rsidR="0043656C" w:rsidRPr="0043656C">
        <w:tc>
          <w:tcPr>
            <w:tcW w:w="3261"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r w:rsidRPr="0043656C">
              <w:rPr>
                <w:rFonts w:ascii="宋体" w:hAnsi="宋体" w:cs="宋体"/>
                <w:sz w:val="21"/>
                <w:szCs w:val="21"/>
                <w:lang w:val="en-US" w:eastAsia="zh-CN" w:bidi="ar-SA"/>
              </w:rPr>
              <w:t>基金托管人名称</w:t>
            </w:r>
          </w:p>
        </w:tc>
        <w:tc>
          <w:tcPr>
            <w:tcW w:w="5386"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bookmarkStart w:id="8" w:name="t_2_1_0213_a1_fm1"/>
            <w:bookmarkEnd w:id="8"/>
            <w:r w:rsidRPr="0043656C">
              <w:rPr>
                <w:rFonts w:ascii="宋体" w:hAnsi="宋体" w:cs="宋体"/>
                <w:sz w:val="21"/>
                <w:szCs w:val="21"/>
                <w:lang w:val="en-US" w:eastAsia="zh-CN" w:bidi="ar-SA"/>
              </w:rPr>
              <w:t>招商银行股份有限公司</w:t>
            </w:r>
          </w:p>
        </w:tc>
      </w:tr>
      <w:tr w:rsidR="0043656C" w:rsidRPr="0043656C">
        <w:tc>
          <w:tcPr>
            <w:tcW w:w="3261"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r w:rsidRPr="0043656C">
              <w:rPr>
                <w:rFonts w:ascii="宋体" w:hAnsi="宋体" w:cs="宋体"/>
                <w:sz w:val="21"/>
                <w:szCs w:val="21"/>
                <w:lang w:val="en-US" w:eastAsia="zh-CN" w:bidi="ar-SA"/>
              </w:rPr>
              <w:t>基金份额登记机构名称</w:t>
            </w:r>
          </w:p>
        </w:tc>
        <w:tc>
          <w:tcPr>
            <w:tcW w:w="5386"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bookmarkStart w:id="9" w:name="t_2_1_0310_a1_fm1"/>
            <w:bookmarkEnd w:id="9"/>
            <w:r w:rsidRPr="0043656C">
              <w:rPr>
                <w:rFonts w:ascii="宋体" w:hAnsi="宋体" w:cs="宋体"/>
                <w:sz w:val="21"/>
                <w:szCs w:val="21"/>
                <w:lang w:val="en-US" w:eastAsia="zh-CN" w:bidi="ar-SA"/>
              </w:rPr>
              <w:t>鹏华基金管理有限公司</w:t>
            </w:r>
          </w:p>
        </w:tc>
      </w:tr>
      <w:tr w:rsidR="0043656C" w:rsidRPr="0043656C">
        <w:tc>
          <w:tcPr>
            <w:tcW w:w="3261"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r w:rsidRPr="0043656C">
              <w:rPr>
                <w:rFonts w:ascii="宋体" w:hAnsi="宋体" w:cs="宋体"/>
                <w:sz w:val="21"/>
                <w:szCs w:val="21"/>
                <w:lang w:val="en-US" w:eastAsia="zh-CN" w:bidi="ar-SA"/>
              </w:rPr>
              <w:t>公告依据</w:t>
            </w:r>
          </w:p>
        </w:tc>
        <w:tc>
          <w:tcPr>
            <w:tcW w:w="5386"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bookmarkStart w:id="10" w:name="t_2_1_2631_a1_fm1"/>
            <w:bookmarkEnd w:id="10"/>
            <w:r w:rsidRPr="0043656C">
              <w:rPr>
                <w:rFonts w:ascii="宋体" w:hAnsi="宋体" w:cs="宋体"/>
                <w:sz w:val="21"/>
                <w:szCs w:val="21"/>
                <w:lang w:val="en-US" w:eastAsia="zh-CN" w:bidi="ar-SA"/>
              </w:rPr>
              <w:t>《鹏华碳中和主题混合型证券投资基金基金合同》（以下简称“基金合同”）、《鹏华碳中和主题混合型证券投资基金招募说明书》（以下简称“招募说明书”）</w:t>
            </w:r>
          </w:p>
        </w:tc>
      </w:tr>
      <w:tr w:rsidR="0043656C" w:rsidRPr="0043656C">
        <w:tc>
          <w:tcPr>
            <w:tcW w:w="3261"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r w:rsidRPr="0043656C">
              <w:rPr>
                <w:rFonts w:ascii="宋体" w:hAnsi="宋体" w:cs="宋体"/>
                <w:sz w:val="21"/>
                <w:szCs w:val="21"/>
                <w:lang w:val="en-US" w:eastAsia="zh-CN" w:bidi="ar-SA"/>
              </w:rPr>
              <w:t>申购起始日</w:t>
            </w:r>
          </w:p>
        </w:tc>
        <w:tc>
          <w:tcPr>
            <w:tcW w:w="5386"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bookmarkStart w:id="11" w:name="t_2_1_2660_a1_fm1"/>
            <w:bookmarkEnd w:id="11"/>
            <w:r w:rsidRPr="0043656C">
              <w:rPr>
                <w:rFonts w:ascii="宋体" w:hAnsi="宋体" w:cs="宋体"/>
                <w:sz w:val="21"/>
                <w:szCs w:val="21"/>
                <w:lang w:val="en-US" w:eastAsia="zh-CN" w:bidi="ar-SA"/>
              </w:rPr>
              <w:t>2023年06月05日</w:t>
            </w:r>
          </w:p>
        </w:tc>
      </w:tr>
      <w:tr w:rsidR="0043656C" w:rsidRPr="0043656C">
        <w:tc>
          <w:tcPr>
            <w:tcW w:w="3261"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r w:rsidRPr="0043656C">
              <w:rPr>
                <w:rFonts w:ascii="宋体" w:hAnsi="宋体" w:cs="宋体"/>
                <w:sz w:val="21"/>
                <w:szCs w:val="21"/>
                <w:lang w:val="en-US" w:eastAsia="zh-CN" w:bidi="ar-SA"/>
              </w:rPr>
              <w:t>赎回起始日</w:t>
            </w:r>
          </w:p>
        </w:tc>
        <w:tc>
          <w:tcPr>
            <w:tcW w:w="5386"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bookmarkStart w:id="12" w:name="t_2_1_2661_a1_fm1"/>
            <w:bookmarkEnd w:id="12"/>
            <w:r w:rsidRPr="0043656C">
              <w:rPr>
                <w:rFonts w:ascii="宋体" w:hAnsi="宋体" w:cs="宋体"/>
                <w:sz w:val="21"/>
                <w:szCs w:val="21"/>
                <w:lang w:val="en-US" w:eastAsia="zh-CN" w:bidi="ar-SA"/>
              </w:rPr>
              <w:t>2023年06月05日</w:t>
            </w:r>
          </w:p>
        </w:tc>
      </w:tr>
      <w:tr w:rsidR="0043656C" w:rsidRPr="0043656C">
        <w:tc>
          <w:tcPr>
            <w:tcW w:w="3261"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r w:rsidRPr="0043656C">
              <w:rPr>
                <w:rFonts w:ascii="宋体" w:hAnsi="宋体" w:cs="宋体"/>
                <w:sz w:val="21"/>
                <w:szCs w:val="21"/>
                <w:lang w:val="en-US" w:eastAsia="zh-CN" w:bidi="ar-SA"/>
              </w:rPr>
              <w:t>转换转出起始日</w:t>
            </w:r>
          </w:p>
        </w:tc>
        <w:tc>
          <w:tcPr>
            <w:tcW w:w="5386"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r w:rsidRPr="0043656C">
              <w:rPr>
                <w:rFonts w:ascii="宋体" w:hAnsi="宋体" w:cs="宋体"/>
                <w:sz w:val="21"/>
                <w:szCs w:val="21"/>
                <w:lang w:val="en-US" w:eastAsia="zh-CN" w:bidi="ar-SA"/>
              </w:rPr>
              <w:t>2023年06月05日</w:t>
            </w:r>
          </w:p>
        </w:tc>
      </w:tr>
      <w:tr w:rsidR="0043656C" w:rsidRPr="0043656C">
        <w:tc>
          <w:tcPr>
            <w:tcW w:w="3261"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r w:rsidRPr="0043656C">
              <w:rPr>
                <w:rFonts w:ascii="宋体" w:hAnsi="宋体" w:cs="宋体"/>
                <w:sz w:val="21"/>
                <w:szCs w:val="21"/>
                <w:lang w:val="en-US" w:eastAsia="zh-CN" w:bidi="ar-SA"/>
              </w:rPr>
              <w:t>转换转入起始日</w:t>
            </w:r>
          </w:p>
        </w:tc>
        <w:tc>
          <w:tcPr>
            <w:tcW w:w="5386"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r w:rsidRPr="0043656C">
              <w:rPr>
                <w:rFonts w:ascii="宋体" w:hAnsi="宋体" w:cs="宋体"/>
                <w:sz w:val="21"/>
                <w:szCs w:val="21"/>
                <w:lang w:val="en-US" w:eastAsia="zh-CN" w:bidi="ar-SA"/>
              </w:rPr>
              <w:t>2023年06月05日</w:t>
            </w:r>
          </w:p>
        </w:tc>
      </w:tr>
      <w:tr w:rsidR="0043656C" w:rsidRPr="0043656C">
        <w:tc>
          <w:tcPr>
            <w:tcW w:w="3261"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r w:rsidRPr="0043656C">
              <w:rPr>
                <w:rFonts w:ascii="宋体" w:hAnsi="宋体" w:cs="宋体"/>
                <w:sz w:val="21"/>
                <w:szCs w:val="21"/>
                <w:lang w:val="en-US" w:eastAsia="zh-CN" w:bidi="ar-SA"/>
              </w:rPr>
              <w:t>定期定额投资起始日</w:t>
            </w:r>
          </w:p>
        </w:tc>
        <w:tc>
          <w:tcPr>
            <w:tcW w:w="5386"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r w:rsidRPr="0043656C">
              <w:rPr>
                <w:rFonts w:ascii="宋体" w:hAnsi="宋体" w:cs="宋体"/>
                <w:sz w:val="21"/>
                <w:szCs w:val="21"/>
                <w:lang w:val="en-US" w:eastAsia="zh-CN" w:bidi="ar-SA"/>
              </w:rPr>
              <w:t>2023年06月05日</w:t>
            </w:r>
          </w:p>
        </w:tc>
      </w:tr>
      <w:tr w:rsidR="0043656C" w:rsidRPr="0043656C">
        <w:tc>
          <w:tcPr>
            <w:tcW w:w="3261"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r w:rsidRPr="0043656C">
              <w:rPr>
                <w:rFonts w:ascii="宋体" w:hAnsi="宋体" w:cs="宋体"/>
                <w:sz w:val="21"/>
                <w:szCs w:val="21"/>
                <w:lang w:val="en-US" w:eastAsia="zh-CN" w:bidi="ar-SA"/>
              </w:rPr>
              <w:t>下属基金份额类别的基金简称</w:t>
            </w:r>
          </w:p>
        </w:tc>
        <w:tc>
          <w:tcPr>
            <w:tcW w:w="2640"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r w:rsidRPr="0043656C">
              <w:rPr>
                <w:rFonts w:ascii="宋体" w:hAnsi="宋体" w:cs="宋体"/>
                <w:sz w:val="21"/>
                <w:szCs w:val="21"/>
                <w:lang w:val="en-US" w:eastAsia="zh-CN" w:bidi="ar-SA"/>
              </w:rPr>
              <w:t>鹏华碳中和主题混合A</w:t>
            </w:r>
          </w:p>
        </w:tc>
        <w:tc>
          <w:tcPr>
            <w:tcW w:w="2746" w:type="dxa"/>
            <w:tcBorders>
              <w:top w:val="single" w:sz="6" w:space="0" w:color="auto"/>
              <w:left w:val="single" w:sz="6" w:space="0" w:color="auto"/>
              <w:bottom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r w:rsidRPr="0043656C">
              <w:rPr>
                <w:rFonts w:ascii="宋体" w:hAnsi="宋体" w:cs="宋体"/>
                <w:sz w:val="21"/>
                <w:szCs w:val="21"/>
                <w:lang w:val="en-US" w:eastAsia="zh-CN" w:bidi="ar-SA"/>
              </w:rPr>
              <w:t>鹏华碳中和主题混合C</w:t>
            </w:r>
          </w:p>
        </w:tc>
      </w:tr>
      <w:tr w:rsidR="0043656C" w:rsidRPr="0043656C">
        <w:tc>
          <w:tcPr>
            <w:tcW w:w="3261"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r w:rsidRPr="0043656C">
              <w:rPr>
                <w:rFonts w:ascii="宋体" w:hAnsi="宋体" w:cs="宋体"/>
                <w:sz w:val="21"/>
                <w:szCs w:val="21"/>
                <w:lang w:val="en-US" w:eastAsia="zh-CN" w:bidi="ar-SA"/>
              </w:rPr>
              <w:t>下属基金份额类别的基金代码</w:t>
            </w:r>
          </w:p>
        </w:tc>
        <w:tc>
          <w:tcPr>
            <w:tcW w:w="2640"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hideMark/>
          </w:tcPr>
          <w:p w:rsidR="0043656C" w:rsidRPr="0043656C" w:rsidRDefault="0043656C">
            <w:pPr>
              <w:widowControl w:val="0"/>
              <w:rPr>
                <w:rFonts w:ascii="宋体" w:hAnsi="宋体"/>
                <w:sz w:val="21"/>
                <w:szCs w:val="21"/>
                <w:lang w:val="en-US" w:eastAsia="zh-CN" w:bidi="ar-SA"/>
              </w:rPr>
            </w:pPr>
            <w:r w:rsidRPr="0043656C">
              <w:rPr>
                <w:rFonts w:ascii="宋体" w:hAnsi="宋体" w:cs="宋体"/>
                <w:sz w:val="21"/>
                <w:szCs w:val="21"/>
                <w:lang w:val="en-US" w:eastAsia="zh-CN" w:bidi="ar-SA"/>
              </w:rPr>
              <w:t>016530</w:t>
            </w:r>
          </w:p>
        </w:tc>
        <w:tc>
          <w:tcPr>
            <w:tcW w:w="2746" w:type="dxa"/>
            <w:tcBorders>
              <w:top w:val="single" w:sz="6" w:space="0" w:color="auto"/>
              <w:left w:val="single" w:sz="6" w:space="0" w:color="auto"/>
              <w:bottom w:val="single" w:sz="6" w:space="0" w:color="auto"/>
            </w:tcBorders>
            <w:tcMar>
              <w:top w:w="8" w:type="dxa"/>
              <w:left w:w="108" w:type="dxa"/>
              <w:bottom w:w="8" w:type="dxa"/>
              <w:right w:w="108" w:type="dxa"/>
            </w:tcMar>
            <w:hideMark/>
          </w:tcPr>
          <w:p w:rsidR="0043656C" w:rsidRPr="0043656C" w:rsidRDefault="0043656C">
            <w:pPr>
              <w:widowControl w:val="0"/>
              <w:rPr>
                <w:rFonts w:ascii="宋体" w:hAnsi="宋体"/>
                <w:sz w:val="21"/>
                <w:szCs w:val="21"/>
                <w:lang w:val="en-US" w:eastAsia="zh-CN" w:bidi="ar-SA"/>
              </w:rPr>
            </w:pPr>
            <w:r w:rsidRPr="0043656C">
              <w:rPr>
                <w:rFonts w:ascii="宋体" w:hAnsi="宋体" w:cs="宋体"/>
                <w:sz w:val="21"/>
                <w:szCs w:val="21"/>
                <w:lang w:val="en-US" w:eastAsia="zh-CN" w:bidi="ar-SA"/>
              </w:rPr>
              <w:t>016531</w:t>
            </w:r>
          </w:p>
        </w:tc>
      </w:tr>
      <w:tr w:rsidR="0043656C" w:rsidRPr="0043656C">
        <w:tc>
          <w:tcPr>
            <w:tcW w:w="3261" w:type="dxa"/>
            <w:tcBorders>
              <w:top w:val="single" w:sz="6" w:space="0" w:color="auto"/>
              <w:right w:val="single" w:sz="6" w:space="0" w:color="auto"/>
            </w:tcBorders>
            <w:tcMar>
              <w:top w:w="8" w:type="dxa"/>
              <w:left w:w="108" w:type="dxa"/>
              <w:bottom w:w="8" w:type="dxa"/>
              <w:right w:w="108" w:type="dxa"/>
            </w:tcMar>
            <w:hideMark/>
          </w:tcPr>
          <w:p w:rsidR="0043656C" w:rsidRPr="0043656C" w:rsidRDefault="0043656C">
            <w:pPr>
              <w:widowControl w:val="0"/>
              <w:jc w:val="both"/>
              <w:rPr>
                <w:rFonts w:ascii="宋体" w:hAnsi="宋体"/>
                <w:sz w:val="21"/>
                <w:szCs w:val="21"/>
                <w:lang w:val="en-US" w:eastAsia="zh-CN" w:bidi="ar-SA"/>
              </w:rPr>
            </w:pPr>
            <w:r w:rsidRPr="0043656C">
              <w:rPr>
                <w:rFonts w:ascii="宋体" w:hAnsi="宋体" w:cs="宋体"/>
                <w:sz w:val="21"/>
                <w:szCs w:val="21"/>
                <w:lang w:val="en-US" w:eastAsia="zh-CN" w:bidi="ar-SA"/>
              </w:rPr>
              <w:t>该类基金份额是否开放申购、赎回、转换、定期定额投资</w:t>
            </w:r>
          </w:p>
        </w:tc>
        <w:tc>
          <w:tcPr>
            <w:tcW w:w="2640" w:type="dxa"/>
            <w:tcBorders>
              <w:top w:val="single" w:sz="6" w:space="0" w:color="auto"/>
              <w:left w:val="single" w:sz="6" w:space="0" w:color="auto"/>
              <w:right w:val="single" w:sz="6" w:space="0" w:color="auto"/>
            </w:tcBorders>
            <w:tcMar>
              <w:top w:w="8" w:type="dxa"/>
              <w:left w:w="108" w:type="dxa"/>
              <w:bottom w:w="8" w:type="dxa"/>
              <w:right w:w="108" w:type="dxa"/>
            </w:tcMar>
            <w:hideMark/>
          </w:tcPr>
          <w:p w:rsidR="0043656C" w:rsidRPr="0043656C" w:rsidRDefault="0043656C">
            <w:pPr>
              <w:widowControl w:val="0"/>
              <w:rPr>
                <w:rFonts w:ascii="宋体" w:hAnsi="宋体"/>
                <w:sz w:val="21"/>
                <w:szCs w:val="21"/>
                <w:lang w:val="en-US" w:eastAsia="zh-CN" w:bidi="ar-SA"/>
              </w:rPr>
            </w:pPr>
            <w:r w:rsidRPr="0043656C">
              <w:rPr>
                <w:rFonts w:ascii="宋体" w:hAnsi="宋体" w:cs="宋体"/>
                <w:sz w:val="21"/>
                <w:szCs w:val="21"/>
                <w:lang w:val="en-US" w:eastAsia="zh-CN" w:bidi="ar-SA"/>
              </w:rPr>
              <w:t>是</w:t>
            </w:r>
          </w:p>
        </w:tc>
        <w:tc>
          <w:tcPr>
            <w:tcW w:w="2746" w:type="dxa"/>
            <w:tcBorders>
              <w:top w:val="single" w:sz="6" w:space="0" w:color="auto"/>
              <w:left w:val="single" w:sz="6" w:space="0" w:color="auto"/>
            </w:tcBorders>
            <w:tcMar>
              <w:top w:w="8" w:type="dxa"/>
              <w:left w:w="108" w:type="dxa"/>
              <w:bottom w:w="8" w:type="dxa"/>
              <w:right w:w="108" w:type="dxa"/>
            </w:tcMar>
            <w:hideMark/>
          </w:tcPr>
          <w:p w:rsidR="0043656C" w:rsidRPr="0043656C" w:rsidRDefault="0043656C">
            <w:pPr>
              <w:widowControl w:val="0"/>
              <w:rPr>
                <w:rFonts w:ascii="宋体" w:hAnsi="宋体"/>
                <w:sz w:val="21"/>
                <w:szCs w:val="21"/>
                <w:lang w:val="en-US" w:eastAsia="zh-CN" w:bidi="ar-SA"/>
              </w:rPr>
            </w:pPr>
            <w:r w:rsidRPr="0043656C">
              <w:rPr>
                <w:rFonts w:ascii="宋体" w:hAnsi="宋体" w:cs="宋体"/>
                <w:sz w:val="21"/>
                <w:szCs w:val="21"/>
                <w:lang w:val="en-US" w:eastAsia="zh-CN" w:bidi="ar-SA"/>
              </w:rPr>
              <w:t>是</w:t>
            </w:r>
          </w:p>
        </w:tc>
      </w:tr>
    </w:tbl>
    <w:p w:rsidR="0043656C" w:rsidRDefault="0043656C">
      <w:pPr>
        <w:pStyle w:val="2"/>
        <w:keepLines/>
        <w:widowControl w:val="0"/>
        <w:spacing w:before="156" w:after="156"/>
        <w:rPr>
          <w:rFonts w:ascii="Times New Roman" w:eastAsia="Times New Roman" w:hAnsi="Times New Roman" w:cs="Times New Roman"/>
          <w:lang w:val="en-US" w:eastAsia="zh-CN" w:bidi="ar-SA"/>
        </w:rPr>
      </w:pPr>
      <w:r>
        <w:rPr>
          <w:rFonts w:ascii="宋体" w:hAnsi="宋体" w:cs="宋体"/>
          <w:i w:val="0"/>
          <w:iCs w:val="0"/>
          <w:sz w:val="24"/>
          <w:szCs w:val="24"/>
          <w:lang w:val="en-US" w:eastAsia="zh-CN" w:bidi="ar-SA"/>
        </w:rPr>
        <w:t xml:space="preserve">2 </w:t>
      </w:r>
      <w:bookmarkStart w:id="13" w:name="t_2_2_table"/>
      <w:bookmarkEnd w:id="13"/>
      <w:r>
        <w:rPr>
          <w:rFonts w:ascii="宋体" w:hAnsi="宋体" w:cs="宋体"/>
          <w:i w:val="0"/>
          <w:iCs w:val="0"/>
          <w:sz w:val="24"/>
          <w:szCs w:val="24"/>
          <w:lang w:val="en-US" w:eastAsia="zh-CN" w:bidi="ar-SA"/>
        </w:rPr>
        <w:t>日常申购、赎回、转换、定期定额投资业务的办理时间</w:t>
      </w:r>
    </w:p>
    <w:p w:rsidR="0043656C" w:rsidRDefault="0043656C">
      <w:pPr>
        <w:spacing w:line="360" w:lineRule="auto"/>
        <w:ind w:firstLine="420"/>
        <w:rPr>
          <w:rFonts w:eastAsia="Times New Roman"/>
          <w:sz w:val="21"/>
          <w:szCs w:val="21"/>
          <w:lang w:val="en-US" w:eastAsia="zh-CN" w:bidi="ar-SA"/>
        </w:rPr>
      </w:pPr>
      <w:bookmarkStart w:id="14" w:name="t_2_2_2819_a1_fm1"/>
      <w:bookmarkEnd w:id="14"/>
      <w:r>
        <w:rPr>
          <w:rFonts w:ascii="宋体" w:hAnsi="宋体" w:cs="宋体"/>
          <w:sz w:val="21"/>
          <w:szCs w:val="21"/>
          <w:lang w:val="en-US" w:eastAsia="zh-CN" w:bidi="ar-SA"/>
        </w:rPr>
        <w:t>鹏华碳中和主题混合型证券投资基金（以下简称“本基金”）自2023年06月05日起（含当日）开放日常申购、赎回、转换和定期定额投资业务。</w:t>
      </w:r>
    </w:p>
    <w:p w:rsidR="0043656C" w:rsidRDefault="0043656C">
      <w:pPr>
        <w:pStyle w:val="2"/>
        <w:keepLines/>
        <w:widowControl w:val="0"/>
        <w:spacing w:before="156" w:after="156"/>
        <w:rPr>
          <w:rFonts w:ascii="Times New Roman" w:eastAsia="Times New Roman" w:hAnsi="Times New Roman" w:cs="Times New Roman"/>
          <w:lang w:val="en-US" w:eastAsia="zh-CN" w:bidi="ar-SA"/>
        </w:rPr>
      </w:pPr>
      <w:r>
        <w:rPr>
          <w:rFonts w:ascii="宋体" w:hAnsi="宋体" w:cs="宋体"/>
          <w:i w:val="0"/>
          <w:iCs w:val="0"/>
          <w:sz w:val="24"/>
          <w:szCs w:val="24"/>
          <w:lang w:val="en-US" w:eastAsia="zh-CN" w:bidi="ar-SA"/>
        </w:rPr>
        <w:t>3 申购业务</w:t>
      </w:r>
    </w:p>
    <w:p w:rsidR="0043656C" w:rsidRDefault="0043656C">
      <w:pPr>
        <w:widowControl w:val="0"/>
        <w:spacing w:before="156" w:after="156"/>
        <w:rPr>
          <w:rFonts w:eastAsia="Times New Roman"/>
          <w:lang w:val="en-US" w:eastAsia="zh-CN" w:bidi="ar-SA"/>
        </w:rPr>
      </w:pPr>
      <w:r>
        <w:rPr>
          <w:rFonts w:ascii="宋体" w:hAnsi="宋体" w:cs="宋体"/>
          <w:b/>
          <w:bCs/>
          <w:lang w:val="en-US" w:eastAsia="zh-CN" w:bidi="ar-SA"/>
        </w:rPr>
        <w:t xml:space="preserve">3.1 </w:t>
      </w:r>
      <w:bookmarkStart w:id="15" w:name="t_2_3_1_table"/>
      <w:bookmarkEnd w:id="15"/>
      <w:r>
        <w:rPr>
          <w:rFonts w:ascii="宋体" w:hAnsi="宋体" w:cs="宋体"/>
          <w:b/>
          <w:bCs/>
          <w:lang w:val="en-US" w:eastAsia="zh-CN" w:bidi="ar-SA"/>
        </w:rPr>
        <w:t>申购金额限制</w:t>
      </w:r>
    </w:p>
    <w:p w:rsidR="0043656C" w:rsidRDefault="0043656C">
      <w:pPr>
        <w:spacing w:line="360" w:lineRule="auto"/>
        <w:ind w:firstLine="420"/>
        <w:rPr>
          <w:rFonts w:eastAsia="Times New Roman"/>
          <w:sz w:val="21"/>
          <w:szCs w:val="21"/>
          <w:lang w:val="en-US" w:eastAsia="zh-CN" w:bidi="ar-SA"/>
        </w:rPr>
      </w:pPr>
      <w:bookmarkStart w:id="16" w:name="t_2_3_1_2820_a1_fm1"/>
      <w:bookmarkEnd w:id="16"/>
      <w:r>
        <w:rPr>
          <w:rFonts w:ascii="宋体" w:hAnsi="宋体" w:cs="宋体"/>
          <w:sz w:val="21"/>
          <w:szCs w:val="21"/>
          <w:lang w:val="en-US" w:eastAsia="zh-CN" w:bidi="ar-SA"/>
        </w:rPr>
        <w:t>1、投资人通过销售机构申购本基金，单笔最低申购金额为1元，各销售机构对本基金最低申购金额及交易级差有其他规定的，以各销售机构的业务规定为准。通过基金管理人直销中心申购本基金，首次最低申购金额为100万元，追加申购单笔最低金额为1万元，但根据法律法规或基金管理人的要求无法通过网上直销渠道申购的不受前述限制。本基金直销中心单笔申购最低金额与申购级差限制可由基金管理人酌情调整。</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2、本基金对单个基金份额持有人不设置最高申购金额限制。但单一投资者持有基金份额数不得达到或超过基金份额总数的50%（在基金运作过程中因基金份额赎回等情形导致被动达到或超过50%的除外）。</w:t>
      </w:r>
    </w:p>
    <w:p w:rsidR="0043656C" w:rsidRDefault="0043656C">
      <w:pPr>
        <w:widowControl w:val="0"/>
        <w:spacing w:before="240" w:after="156"/>
        <w:rPr>
          <w:rFonts w:eastAsia="Times New Roman"/>
          <w:lang w:val="en-US" w:eastAsia="zh-CN" w:bidi="ar-SA"/>
        </w:rPr>
      </w:pPr>
      <w:r>
        <w:rPr>
          <w:rFonts w:ascii="宋体" w:hAnsi="宋体" w:cs="宋体"/>
          <w:b/>
          <w:bCs/>
          <w:lang w:val="en-US" w:eastAsia="zh-CN" w:bidi="ar-SA"/>
        </w:rPr>
        <w:lastRenderedPageBreak/>
        <w:t xml:space="preserve">3.2 </w:t>
      </w:r>
      <w:bookmarkStart w:id="17" w:name="t_2_3_2_table"/>
      <w:bookmarkEnd w:id="17"/>
      <w:r>
        <w:rPr>
          <w:rFonts w:ascii="宋体" w:hAnsi="宋体" w:cs="宋体"/>
          <w:b/>
          <w:bCs/>
          <w:lang w:val="en-US" w:eastAsia="zh-CN" w:bidi="ar-SA"/>
        </w:rPr>
        <w:t>申购费率</w:t>
      </w:r>
    </w:p>
    <w:p w:rsidR="0043656C" w:rsidRPr="0043656C" w:rsidRDefault="0043656C">
      <w:pPr>
        <w:spacing w:line="360" w:lineRule="auto"/>
        <w:ind w:firstLine="420"/>
        <w:rPr>
          <w:rFonts w:ascii="宋体" w:hAnsi="宋体"/>
          <w:sz w:val="21"/>
          <w:szCs w:val="21"/>
          <w:lang w:val="en-US" w:eastAsia="zh-CN" w:bidi="ar-SA"/>
        </w:rPr>
      </w:pPr>
      <w:bookmarkStart w:id="18" w:name="t_2_3_2_2842_a1_fm1"/>
      <w:bookmarkStart w:id="19" w:name="t_2_3_2_q_table"/>
      <w:bookmarkEnd w:id="18"/>
      <w:bookmarkEnd w:id="19"/>
      <w:r w:rsidRPr="0043656C">
        <w:rPr>
          <w:rFonts w:ascii="宋体" w:hAnsi="宋体" w:cs="宋体"/>
          <w:sz w:val="21"/>
          <w:szCs w:val="21"/>
          <w:lang w:val="en-US" w:eastAsia="zh-CN" w:bidi="ar-SA"/>
        </w:rPr>
        <w:t>本基金A类基金份额在申购时收取申购费用，C类基金份额不收取申购费用。</w:t>
      </w:r>
    </w:p>
    <w:p w:rsidR="0043656C" w:rsidRPr="0043656C" w:rsidRDefault="0043656C">
      <w:pPr>
        <w:spacing w:line="360" w:lineRule="auto"/>
        <w:ind w:firstLine="420"/>
        <w:rPr>
          <w:rFonts w:ascii="宋体" w:hAnsi="宋体"/>
          <w:sz w:val="21"/>
          <w:szCs w:val="21"/>
          <w:lang w:val="en-US" w:eastAsia="zh-CN" w:bidi="ar-SA"/>
        </w:rPr>
      </w:pPr>
      <w:r w:rsidRPr="0043656C">
        <w:rPr>
          <w:rFonts w:ascii="宋体" w:hAnsi="宋体" w:cs="宋体"/>
          <w:sz w:val="21"/>
          <w:szCs w:val="21"/>
          <w:lang w:val="en-US" w:eastAsia="zh-CN" w:bidi="ar-SA"/>
        </w:rPr>
        <w:t>本基金A类基金份额的申购费率如下表所示：</w:t>
      </w:r>
    </w:p>
    <w:tbl>
      <w:tblPr>
        <w:tblW w:w="7995" w:type="dxa"/>
        <w:tblInd w:w="644" w:type="dxa"/>
        <w:tblCellMar>
          <w:top w:w="15" w:type="dxa"/>
          <w:left w:w="15" w:type="dxa"/>
          <w:bottom w:w="15" w:type="dxa"/>
          <w:right w:w="15" w:type="dxa"/>
        </w:tblCellMar>
        <w:tblLook w:val="05E0"/>
      </w:tblPr>
      <w:tblGrid>
        <w:gridCol w:w="3179"/>
        <w:gridCol w:w="2442"/>
        <w:gridCol w:w="2374"/>
      </w:tblGrid>
      <w:tr w:rsidR="0043656C" w:rsidRPr="0043656C" w:rsidTr="0043656C">
        <w:trPr>
          <w:trHeight w:val="420"/>
        </w:trPr>
        <w:tc>
          <w:tcPr>
            <w:tcW w:w="3450"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hideMark/>
          </w:tcPr>
          <w:p w:rsidR="0043656C" w:rsidRPr="0043656C" w:rsidRDefault="0043656C" w:rsidP="00120D94">
            <w:pPr>
              <w:jc w:val="center"/>
              <w:rPr>
                <w:rFonts w:ascii="宋体" w:hAnsi="宋体"/>
                <w:lang w:val="en-US" w:eastAsia="zh-CN" w:bidi="ar-SA"/>
              </w:rPr>
            </w:pPr>
            <w:r w:rsidRPr="0043656C">
              <w:rPr>
                <w:rFonts w:ascii="宋体" w:hAnsi="宋体" w:cs="宋体"/>
                <w:b/>
                <w:bCs/>
                <w:sz w:val="21"/>
                <w:szCs w:val="21"/>
                <w:lang w:val="en-US" w:eastAsia="zh-CN" w:bidi="ar-SA"/>
              </w:rPr>
              <w:t>申购金额</w:t>
            </w:r>
            <w:r w:rsidRPr="0043656C">
              <w:rPr>
                <w:rFonts w:ascii="宋体" w:hAnsi="宋体"/>
                <w:b/>
                <w:bCs/>
                <w:sz w:val="21"/>
                <w:szCs w:val="21"/>
                <w:lang w:eastAsia="en-US" w:bidi="ar-SA"/>
              </w:rPr>
              <w:t>M</w:t>
            </w:r>
            <w:r w:rsidRPr="0043656C">
              <w:rPr>
                <w:rFonts w:ascii="宋体" w:hAnsi="宋体" w:cs="宋体"/>
                <w:b/>
                <w:bCs/>
                <w:sz w:val="21"/>
                <w:szCs w:val="21"/>
                <w:lang w:val="en-US" w:eastAsia="zh-CN" w:bidi="ar-SA"/>
              </w:rPr>
              <w:t>（元）</w:t>
            </w:r>
          </w:p>
        </w:tc>
        <w:tc>
          <w:tcPr>
            <w:tcW w:w="2648" w:type="dxa"/>
            <w:tcBorders>
              <w:top w:val="single" w:sz="6" w:space="0" w:color="000000"/>
              <w:bottom w:val="single" w:sz="6" w:space="0" w:color="000000"/>
              <w:right w:val="single" w:sz="6" w:space="0" w:color="000000"/>
            </w:tcBorders>
            <w:shd w:val="clear" w:color="auto" w:fill="auto"/>
            <w:tcMar>
              <w:top w:w="8" w:type="dxa"/>
              <w:left w:w="110" w:type="dxa"/>
              <w:bottom w:w="8" w:type="dxa"/>
              <w:right w:w="112" w:type="dxa"/>
            </w:tcMar>
            <w:vAlign w:val="center"/>
            <w:hideMark/>
          </w:tcPr>
          <w:p w:rsidR="0043656C" w:rsidRPr="0043656C" w:rsidRDefault="0043656C" w:rsidP="00120D94">
            <w:pPr>
              <w:jc w:val="center"/>
              <w:rPr>
                <w:rFonts w:ascii="宋体" w:hAnsi="宋体"/>
                <w:lang w:val="en-US" w:eastAsia="zh-CN" w:bidi="ar-SA"/>
              </w:rPr>
            </w:pPr>
            <w:r w:rsidRPr="0043656C">
              <w:rPr>
                <w:rFonts w:ascii="宋体" w:hAnsi="宋体" w:cs="宋体"/>
                <w:b/>
                <w:bCs/>
                <w:sz w:val="21"/>
                <w:szCs w:val="21"/>
                <w:lang w:val="en-US" w:eastAsia="zh-CN" w:bidi="ar-SA"/>
              </w:rPr>
              <w:t>一般申购费率</w:t>
            </w:r>
          </w:p>
        </w:tc>
        <w:tc>
          <w:tcPr>
            <w:tcW w:w="2572" w:type="dxa"/>
            <w:tcBorders>
              <w:top w:val="single" w:sz="6" w:space="0" w:color="000000"/>
              <w:bottom w:val="single" w:sz="6" w:space="0" w:color="000000"/>
              <w:right w:val="single" w:sz="6" w:space="0" w:color="000000"/>
            </w:tcBorders>
            <w:shd w:val="clear" w:color="auto" w:fill="auto"/>
            <w:tcMar>
              <w:top w:w="8" w:type="dxa"/>
              <w:left w:w="110" w:type="dxa"/>
              <w:bottom w:w="8" w:type="dxa"/>
              <w:right w:w="112" w:type="dxa"/>
            </w:tcMar>
            <w:vAlign w:val="center"/>
            <w:hideMark/>
          </w:tcPr>
          <w:p w:rsidR="0043656C" w:rsidRPr="0043656C" w:rsidRDefault="0043656C" w:rsidP="00120D94">
            <w:pPr>
              <w:jc w:val="center"/>
              <w:rPr>
                <w:rFonts w:ascii="宋体" w:hAnsi="宋体"/>
                <w:lang w:val="en-US" w:eastAsia="zh-CN" w:bidi="ar-SA"/>
              </w:rPr>
            </w:pPr>
            <w:r w:rsidRPr="0043656C">
              <w:rPr>
                <w:rFonts w:ascii="宋体" w:hAnsi="宋体" w:cs="宋体"/>
                <w:b/>
                <w:bCs/>
                <w:sz w:val="21"/>
                <w:szCs w:val="21"/>
                <w:lang w:val="en-US" w:eastAsia="zh-CN" w:bidi="ar-SA"/>
              </w:rPr>
              <w:t>特定申购费率</w:t>
            </w:r>
          </w:p>
        </w:tc>
      </w:tr>
      <w:tr w:rsidR="0043656C" w:rsidRPr="0043656C" w:rsidTr="0043656C">
        <w:trPr>
          <w:trHeight w:val="420"/>
        </w:trPr>
        <w:tc>
          <w:tcPr>
            <w:tcW w:w="3450" w:type="dxa"/>
            <w:tcBorders>
              <w:left w:val="single" w:sz="6" w:space="0" w:color="000000"/>
              <w:bottom w:val="single" w:sz="6" w:space="0" w:color="000000"/>
              <w:right w:val="single" w:sz="6" w:space="0" w:color="000000"/>
            </w:tcBorders>
            <w:shd w:val="clear" w:color="auto" w:fill="auto"/>
            <w:tcMar>
              <w:top w:w="5" w:type="dxa"/>
              <w:left w:w="112" w:type="dxa"/>
              <w:bottom w:w="8" w:type="dxa"/>
              <w:right w:w="112" w:type="dxa"/>
            </w:tcMar>
            <w:vAlign w:val="center"/>
            <w:hideMark/>
          </w:tcPr>
          <w:p w:rsidR="0043656C" w:rsidRPr="0043656C" w:rsidRDefault="0043656C" w:rsidP="00120D94">
            <w:pPr>
              <w:jc w:val="center"/>
              <w:rPr>
                <w:rFonts w:ascii="宋体" w:hAnsi="宋体"/>
                <w:lang w:val="en-US" w:eastAsia="zh-CN" w:bidi="ar-SA"/>
              </w:rPr>
            </w:pPr>
            <w:r w:rsidRPr="0043656C">
              <w:rPr>
                <w:rFonts w:ascii="宋体" w:hAnsi="宋体"/>
                <w:sz w:val="21"/>
                <w:szCs w:val="21"/>
                <w:lang w:eastAsia="en-US" w:bidi="ar-SA"/>
              </w:rPr>
              <w:t>M&lt;100</w:t>
            </w:r>
            <w:r w:rsidRPr="0043656C">
              <w:rPr>
                <w:rFonts w:ascii="宋体" w:hAnsi="宋体" w:cs="宋体"/>
                <w:sz w:val="21"/>
                <w:szCs w:val="21"/>
                <w:lang w:val="en-US" w:eastAsia="zh-CN" w:bidi="ar-SA"/>
              </w:rPr>
              <w:t>万</w:t>
            </w:r>
          </w:p>
        </w:tc>
        <w:tc>
          <w:tcPr>
            <w:tcW w:w="2648" w:type="dxa"/>
            <w:tcBorders>
              <w:bottom w:val="single" w:sz="6" w:space="0" w:color="000000"/>
              <w:right w:val="single" w:sz="6" w:space="0" w:color="000000"/>
            </w:tcBorders>
            <w:shd w:val="clear" w:color="auto" w:fill="auto"/>
            <w:tcMar>
              <w:top w:w="5" w:type="dxa"/>
              <w:left w:w="110" w:type="dxa"/>
              <w:bottom w:w="8" w:type="dxa"/>
              <w:right w:w="112" w:type="dxa"/>
            </w:tcMar>
            <w:vAlign w:val="center"/>
            <w:hideMark/>
          </w:tcPr>
          <w:p w:rsidR="0043656C" w:rsidRPr="0043656C" w:rsidRDefault="0043656C" w:rsidP="00120D94">
            <w:pPr>
              <w:jc w:val="center"/>
              <w:rPr>
                <w:rFonts w:ascii="宋体" w:hAnsi="宋体"/>
                <w:lang w:val="en-US" w:eastAsia="zh-CN" w:bidi="ar-SA"/>
              </w:rPr>
            </w:pPr>
            <w:r w:rsidRPr="0043656C">
              <w:rPr>
                <w:rFonts w:ascii="宋体" w:hAnsi="宋体"/>
                <w:sz w:val="21"/>
                <w:szCs w:val="21"/>
                <w:lang w:eastAsia="en-US" w:bidi="ar-SA"/>
              </w:rPr>
              <w:t>1.50%</w:t>
            </w:r>
          </w:p>
        </w:tc>
        <w:tc>
          <w:tcPr>
            <w:tcW w:w="2572" w:type="dxa"/>
            <w:tcBorders>
              <w:bottom w:val="single" w:sz="6" w:space="0" w:color="000000"/>
              <w:right w:val="single" w:sz="6" w:space="0" w:color="000000"/>
            </w:tcBorders>
            <w:shd w:val="clear" w:color="auto" w:fill="auto"/>
            <w:tcMar>
              <w:top w:w="5" w:type="dxa"/>
              <w:left w:w="110" w:type="dxa"/>
              <w:bottom w:w="8" w:type="dxa"/>
              <w:right w:w="112" w:type="dxa"/>
            </w:tcMar>
            <w:vAlign w:val="center"/>
            <w:hideMark/>
          </w:tcPr>
          <w:p w:rsidR="0043656C" w:rsidRPr="0043656C" w:rsidRDefault="0043656C" w:rsidP="00120D94">
            <w:pPr>
              <w:jc w:val="center"/>
              <w:rPr>
                <w:rFonts w:ascii="宋体" w:hAnsi="宋体"/>
                <w:lang w:val="en-US" w:eastAsia="zh-CN" w:bidi="ar-SA"/>
              </w:rPr>
            </w:pPr>
            <w:r w:rsidRPr="0043656C">
              <w:rPr>
                <w:rFonts w:ascii="宋体" w:hAnsi="宋体"/>
                <w:sz w:val="21"/>
                <w:szCs w:val="21"/>
                <w:lang w:eastAsia="en-US" w:bidi="ar-SA"/>
              </w:rPr>
              <w:t>0.60%</w:t>
            </w:r>
          </w:p>
        </w:tc>
      </w:tr>
      <w:tr w:rsidR="0043656C" w:rsidRPr="0043656C" w:rsidTr="0043656C">
        <w:trPr>
          <w:trHeight w:val="420"/>
        </w:trPr>
        <w:tc>
          <w:tcPr>
            <w:tcW w:w="3450" w:type="dxa"/>
            <w:tcBorders>
              <w:left w:val="single" w:sz="6" w:space="0" w:color="000000"/>
              <w:bottom w:val="single" w:sz="6" w:space="0" w:color="000000"/>
              <w:right w:val="single" w:sz="6" w:space="0" w:color="000000"/>
            </w:tcBorders>
            <w:shd w:val="clear" w:color="auto" w:fill="auto"/>
            <w:tcMar>
              <w:top w:w="5" w:type="dxa"/>
              <w:left w:w="112" w:type="dxa"/>
              <w:bottom w:w="8" w:type="dxa"/>
              <w:right w:w="112" w:type="dxa"/>
            </w:tcMar>
            <w:vAlign w:val="center"/>
            <w:hideMark/>
          </w:tcPr>
          <w:p w:rsidR="0043656C" w:rsidRPr="0043656C" w:rsidRDefault="0043656C" w:rsidP="00120D94">
            <w:pPr>
              <w:jc w:val="center"/>
              <w:rPr>
                <w:rFonts w:ascii="宋体" w:hAnsi="宋体"/>
                <w:lang w:val="en-US" w:eastAsia="zh-CN" w:bidi="ar-SA"/>
              </w:rPr>
            </w:pPr>
            <w:r w:rsidRPr="0043656C">
              <w:rPr>
                <w:rFonts w:ascii="宋体" w:hAnsi="宋体"/>
                <w:sz w:val="21"/>
                <w:szCs w:val="21"/>
                <w:lang w:eastAsia="en-US" w:bidi="ar-SA"/>
              </w:rPr>
              <w:t>100</w:t>
            </w:r>
            <w:r w:rsidRPr="0043656C">
              <w:rPr>
                <w:rFonts w:ascii="宋体" w:hAnsi="宋体" w:cs="宋体"/>
                <w:sz w:val="21"/>
                <w:szCs w:val="21"/>
                <w:lang w:val="en-US" w:eastAsia="zh-CN" w:bidi="ar-SA"/>
              </w:rPr>
              <w:t>万</w:t>
            </w:r>
            <w:r w:rsidR="00B11709">
              <w:rPr>
                <w:rFonts w:ascii="宋体" w:hAnsi="宋体"/>
                <w:sz w:val="21"/>
                <w:szCs w:val="21"/>
                <w:lang w:eastAsia="en-US" w:bidi="ar-SA"/>
              </w:rPr>
              <w:t>≤M</w:t>
            </w:r>
            <w:r w:rsidRPr="0043656C">
              <w:rPr>
                <w:rFonts w:ascii="宋体" w:hAnsi="宋体"/>
                <w:sz w:val="21"/>
                <w:szCs w:val="21"/>
                <w:lang w:eastAsia="en-US" w:bidi="ar-SA"/>
              </w:rPr>
              <w:t>&lt;500</w:t>
            </w:r>
            <w:r w:rsidRPr="0043656C">
              <w:rPr>
                <w:rFonts w:ascii="宋体" w:hAnsi="宋体" w:cs="宋体"/>
                <w:sz w:val="21"/>
                <w:szCs w:val="21"/>
                <w:lang w:val="en-US" w:eastAsia="zh-CN" w:bidi="ar-SA"/>
              </w:rPr>
              <w:t>万</w:t>
            </w:r>
          </w:p>
        </w:tc>
        <w:tc>
          <w:tcPr>
            <w:tcW w:w="2648" w:type="dxa"/>
            <w:tcBorders>
              <w:bottom w:val="single" w:sz="6" w:space="0" w:color="000000"/>
              <w:right w:val="single" w:sz="6" w:space="0" w:color="000000"/>
            </w:tcBorders>
            <w:shd w:val="clear" w:color="auto" w:fill="auto"/>
            <w:tcMar>
              <w:top w:w="5" w:type="dxa"/>
              <w:left w:w="110" w:type="dxa"/>
              <w:bottom w:w="8" w:type="dxa"/>
              <w:right w:w="112" w:type="dxa"/>
            </w:tcMar>
            <w:vAlign w:val="center"/>
            <w:hideMark/>
          </w:tcPr>
          <w:p w:rsidR="0043656C" w:rsidRPr="0043656C" w:rsidRDefault="0043656C" w:rsidP="00120D94">
            <w:pPr>
              <w:jc w:val="center"/>
              <w:rPr>
                <w:rFonts w:ascii="宋体" w:hAnsi="宋体"/>
                <w:lang w:val="en-US" w:eastAsia="zh-CN" w:bidi="ar-SA"/>
              </w:rPr>
            </w:pPr>
            <w:r w:rsidRPr="0043656C">
              <w:rPr>
                <w:rFonts w:ascii="宋体" w:hAnsi="宋体"/>
                <w:sz w:val="21"/>
                <w:szCs w:val="21"/>
                <w:lang w:eastAsia="en-US" w:bidi="ar-SA"/>
              </w:rPr>
              <w:t>1.00%</w:t>
            </w:r>
          </w:p>
        </w:tc>
        <w:tc>
          <w:tcPr>
            <w:tcW w:w="2572" w:type="dxa"/>
            <w:tcBorders>
              <w:bottom w:val="single" w:sz="6" w:space="0" w:color="000000"/>
              <w:right w:val="single" w:sz="6" w:space="0" w:color="000000"/>
            </w:tcBorders>
            <w:shd w:val="clear" w:color="auto" w:fill="auto"/>
            <w:tcMar>
              <w:top w:w="5" w:type="dxa"/>
              <w:left w:w="110" w:type="dxa"/>
              <w:bottom w:w="8" w:type="dxa"/>
              <w:right w:w="112" w:type="dxa"/>
            </w:tcMar>
            <w:vAlign w:val="center"/>
            <w:hideMark/>
          </w:tcPr>
          <w:p w:rsidR="0043656C" w:rsidRPr="0043656C" w:rsidRDefault="0043656C" w:rsidP="00120D94">
            <w:pPr>
              <w:jc w:val="center"/>
              <w:rPr>
                <w:rFonts w:ascii="宋体" w:hAnsi="宋体"/>
                <w:lang w:val="en-US" w:eastAsia="zh-CN" w:bidi="ar-SA"/>
              </w:rPr>
            </w:pPr>
            <w:r w:rsidRPr="0043656C">
              <w:rPr>
                <w:rFonts w:ascii="宋体" w:hAnsi="宋体"/>
                <w:sz w:val="21"/>
                <w:szCs w:val="21"/>
                <w:lang w:eastAsia="en-US" w:bidi="ar-SA"/>
              </w:rPr>
              <w:t>0.30%</w:t>
            </w:r>
          </w:p>
        </w:tc>
      </w:tr>
      <w:tr w:rsidR="0043656C" w:rsidRPr="0043656C" w:rsidTr="0043656C">
        <w:trPr>
          <w:trHeight w:val="420"/>
        </w:trPr>
        <w:tc>
          <w:tcPr>
            <w:tcW w:w="3450" w:type="dxa"/>
            <w:tcBorders>
              <w:left w:val="single" w:sz="6" w:space="0" w:color="000000"/>
              <w:bottom w:val="single" w:sz="6" w:space="0" w:color="000000"/>
              <w:right w:val="single" w:sz="6" w:space="0" w:color="000000"/>
            </w:tcBorders>
            <w:shd w:val="clear" w:color="auto" w:fill="auto"/>
            <w:tcMar>
              <w:top w:w="5" w:type="dxa"/>
              <w:left w:w="112" w:type="dxa"/>
              <w:bottom w:w="8" w:type="dxa"/>
              <w:right w:w="112" w:type="dxa"/>
            </w:tcMar>
            <w:vAlign w:val="center"/>
            <w:hideMark/>
          </w:tcPr>
          <w:p w:rsidR="0043656C" w:rsidRPr="0043656C" w:rsidRDefault="00B11709" w:rsidP="00120D94">
            <w:pPr>
              <w:jc w:val="center"/>
              <w:rPr>
                <w:rFonts w:ascii="宋体" w:hAnsi="宋体"/>
                <w:lang w:val="en-US" w:eastAsia="zh-CN" w:bidi="ar-SA"/>
              </w:rPr>
            </w:pPr>
            <w:r>
              <w:rPr>
                <w:rFonts w:ascii="宋体" w:hAnsi="宋体"/>
                <w:sz w:val="21"/>
                <w:szCs w:val="21"/>
                <w:lang w:eastAsia="en-US" w:bidi="ar-SA"/>
              </w:rPr>
              <w:t>M≥</w:t>
            </w:r>
            <w:r w:rsidR="0043656C" w:rsidRPr="0043656C">
              <w:rPr>
                <w:rFonts w:ascii="宋体" w:hAnsi="宋体"/>
                <w:sz w:val="21"/>
                <w:szCs w:val="21"/>
                <w:lang w:eastAsia="en-US" w:bidi="ar-SA"/>
              </w:rPr>
              <w:t>500</w:t>
            </w:r>
            <w:r w:rsidR="0043656C" w:rsidRPr="0043656C">
              <w:rPr>
                <w:rFonts w:ascii="宋体" w:hAnsi="宋体" w:cs="宋体"/>
                <w:sz w:val="21"/>
                <w:szCs w:val="21"/>
                <w:lang w:val="en-US" w:eastAsia="zh-CN" w:bidi="ar-SA"/>
              </w:rPr>
              <w:t>万</w:t>
            </w:r>
          </w:p>
        </w:tc>
        <w:tc>
          <w:tcPr>
            <w:tcW w:w="2648" w:type="dxa"/>
            <w:tcBorders>
              <w:bottom w:val="single" w:sz="6" w:space="0" w:color="000000"/>
              <w:right w:val="single" w:sz="6" w:space="0" w:color="000000"/>
            </w:tcBorders>
            <w:shd w:val="clear" w:color="auto" w:fill="auto"/>
            <w:tcMar>
              <w:top w:w="5" w:type="dxa"/>
              <w:left w:w="110" w:type="dxa"/>
              <w:bottom w:w="8" w:type="dxa"/>
              <w:right w:w="112" w:type="dxa"/>
            </w:tcMar>
            <w:vAlign w:val="center"/>
            <w:hideMark/>
          </w:tcPr>
          <w:p w:rsidR="0043656C" w:rsidRPr="0043656C" w:rsidRDefault="0043656C" w:rsidP="00120D94">
            <w:pPr>
              <w:jc w:val="center"/>
              <w:rPr>
                <w:rFonts w:ascii="宋体" w:hAnsi="宋体"/>
                <w:lang w:val="en-US" w:eastAsia="zh-CN" w:bidi="ar-SA"/>
              </w:rPr>
            </w:pPr>
            <w:r w:rsidRPr="0043656C">
              <w:rPr>
                <w:rFonts w:ascii="宋体" w:hAnsi="宋体" w:cs="宋体"/>
                <w:sz w:val="21"/>
                <w:szCs w:val="21"/>
                <w:lang w:val="en-US" w:eastAsia="zh-CN" w:bidi="ar-SA"/>
              </w:rPr>
              <w:t>每笔</w:t>
            </w:r>
            <w:r w:rsidRPr="0043656C">
              <w:rPr>
                <w:rFonts w:ascii="宋体" w:hAnsi="宋体"/>
                <w:sz w:val="21"/>
                <w:szCs w:val="21"/>
                <w:lang w:eastAsia="en-US" w:bidi="ar-SA"/>
              </w:rPr>
              <w:t>1000</w:t>
            </w:r>
            <w:r w:rsidRPr="0043656C">
              <w:rPr>
                <w:rFonts w:ascii="宋体" w:hAnsi="宋体" w:cs="宋体"/>
                <w:sz w:val="21"/>
                <w:szCs w:val="21"/>
                <w:lang w:val="en-US" w:eastAsia="zh-CN" w:bidi="ar-SA"/>
              </w:rPr>
              <w:t>元</w:t>
            </w:r>
          </w:p>
        </w:tc>
        <w:tc>
          <w:tcPr>
            <w:tcW w:w="2572" w:type="dxa"/>
            <w:tcBorders>
              <w:bottom w:val="single" w:sz="6" w:space="0" w:color="000000"/>
              <w:right w:val="single" w:sz="6" w:space="0" w:color="000000"/>
            </w:tcBorders>
            <w:shd w:val="clear" w:color="auto" w:fill="auto"/>
            <w:tcMar>
              <w:top w:w="5" w:type="dxa"/>
              <w:left w:w="110" w:type="dxa"/>
              <w:bottom w:w="8" w:type="dxa"/>
              <w:right w:w="112" w:type="dxa"/>
            </w:tcMar>
            <w:vAlign w:val="center"/>
            <w:hideMark/>
          </w:tcPr>
          <w:p w:rsidR="0043656C" w:rsidRPr="0043656C" w:rsidRDefault="0043656C" w:rsidP="00120D94">
            <w:pPr>
              <w:jc w:val="center"/>
              <w:rPr>
                <w:rFonts w:ascii="宋体" w:hAnsi="宋体"/>
                <w:lang w:val="en-US" w:eastAsia="zh-CN" w:bidi="ar-SA"/>
              </w:rPr>
            </w:pPr>
            <w:r w:rsidRPr="0043656C">
              <w:rPr>
                <w:rFonts w:ascii="宋体" w:hAnsi="宋体" w:cs="宋体"/>
                <w:sz w:val="21"/>
                <w:szCs w:val="21"/>
                <w:lang w:val="en-US" w:eastAsia="zh-CN" w:bidi="ar-SA"/>
              </w:rPr>
              <w:t>每笔</w:t>
            </w:r>
            <w:r w:rsidRPr="0043656C">
              <w:rPr>
                <w:rFonts w:ascii="宋体" w:hAnsi="宋体"/>
                <w:sz w:val="21"/>
                <w:szCs w:val="21"/>
                <w:lang w:eastAsia="en-US" w:bidi="ar-SA"/>
              </w:rPr>
              <w:t>1000</w:t>
            </w:r>
            <w:r w:rsidRPr="0043656C">
              <w:rPr>
                <w:rFonts w:ascii="宋体" w:hAnsi="宋体" w:cs="宋体"/>
                <w:sz w:val="21"/>
                <w:szCs w:val="21"/>
                <w:lang w:val="en-US" w:eastAsia="zh-CN" w:bidi="ar-SA"/>
              </w:rPr>
              <w:t>元</w:t>
            </w:r>
          </w:p>
        </w:tc>
      </w:tr>
    </w:tbl>
    <w:p w:rsidR="0043656C" w:rsidRDefault="0043656C">
      <w:pPr>
        <w:spacing w:before="240" w:line="360" w:lineRule="auto"/>
        <w:ind w:firstLine="420"/>
        <w:rPr>
          <w:rFonts w:eastAsia="Times New Roman"/>
          <w:sz w:val="21"/>
          <w:szCs w:val="21"/>
          <w:lang w:val="en-US" w:eastAsia="zh-CN" w:bidi="ar-SA"/>
        </w:rPr>
      </w:pPr>
      <w:bookmarkStart w:id="20" w:name="t_2_3_2_q_2685_a1_fm1"/>
      <w:r w:rsidRPr="0043656C">
        <w:rPr>
          <w:rFonts w:ascii="宋体" w:hAnsi="宋体" w:cs="宋体"/>
          <w:sz w:val="21"/>
          <w:szCs w:val="21"/>
          <w:lang w:val="en-US" w:eastAsia="zh-CN" w:bidi="ar-SA"/>
        </w:rPr>
        <w:t>注：</w:t>
      </w:r>
      <w:bookmarkEnd w:id="20"/>
      <w:r w:rsidRPr="0043656C">
        <w:rPr>
          <w:rFonts w:ascii="宋体" w:hAnsi="宋体" w:cs="宋体"/>
          <w:sz w:val="21"/>
          <w:szCs w:val="21"/>
          <w:lang w:val="en-US" w:eastAsia="zh-CN" w:bidi="ar-SA"/>
        </w:rPr>
        <w:t>1、本基金的申购费用应在投资人申购A类基金份额时收取。投资人</w:t>
      </w:r>
      <w:r>
        <w:rPr>
          <w:rFonts w:ascii="宋体" w:hAnsi="宋体" w:cs="宋体"/>
          <w:sz w:val="21"/>
          <w:szCs w:val="21"/>
          <w:lang w:val="en-US" w:eastAsia="zh-CN" w:bidi="ar-SA"/>
        </w:rPr>
        <w:t>在一天之内如果有多笔申购，适用费率按单笔分别计算。</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2、申购费用由申购A类基金份额的投资人承担，不列入基金财产，主要用于本基金的市场推广、销售、登记等各项费用。</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3、本基金A类基金份额对通过直销中心申购的养老金客户与除此之外的其他投资人实施差别的申购费率。通过基金管理人的直销中心申购本基金A类基金份额的养老金客户适用特定申购费率，其他投资人申购本基金A类基金份额的适用一般申购费率。养老金客户指基本养老基金与依法成立的养老计划筹集的资金及其投资运营收益形成的补充养老基金等，包括但不限于全国社会保障基金、可以投资基金的地方社会保险基金、企业年金单一计划以及集合计划、商业养老保险组合。如将来出现经养老基金监管部门认可的新的养老基金类型，基金管理人可在招募说明书更新时或发布临时公告将其纳入养老金客户范围。非养老金客户指除养老金客户外的其他投资人。</w:t>
      </w:r>
    </w:p>
    <w:p w:rsidR="0043656C" w:rsidRDefault="0043656C">
      <w:pPr>
        <w:pStyle w:val="2"/>
        <w:keepLines/>
        <w:widowControl w:val="0"/>
        <w:spacing w:before="156" w:after="156"/>
        <w:jc w:val="both"/>
        <w:rPr>
          <w:rFonts w:ascii="Times New Roman" w:eastAsia="Times New Roman" w:hAnsi="Times New Roman" w:cs="Times New Roman"/>
          <w:lang w:val="en-US" w:eastAsia="zh-CN" w:bidi="ar-SA"/>
        </w:rPr>
      </w:pPr>
      <w:bookmarkStart w:id="21" w:name="t_2_3_3_2821_a1_fm1"/>
      <w:bookmarkEnd w:id="21"/>
      <w:r>
        <w:rPr>
          <w:rFonts w:ascii="宋体" w:hAnsi="宋体" w:cs="宋体"/>
          <w:i w:val="0"/>
          <w:iCs w:val="0"/>
          <w:sz w:val="24"/>
          <w:szCs w:val="24"/>
          <w:lang w:val="en-US" w:eastAsia="zh-CN" w:bidi="ar-SA"/>
        </w:rPr>
        <w:t>4 赎回业务</w:t>
      </w:r>
    </w:p>
    <w:p w:rsidR="0043656C" w:rsidRDefault="0043656C">
      <w:pPr>
        <w:widowControl w:val="0"/>
        <w:spacing w:before="156" w:after="156"/>
        <w:rPr>
          <w:rFonts w:eastAsia="Times New Roman"/>
          <w:lang w:val="en-US" w:eastAsia="zh-CN" w:bidi="ar-SA"/>
        </w:rPr>
      </w:pPr>
      <w:r>
        <w:rPr>
          <w:rFonts w:ascii="宋体" w:hAnsi="宋体" w:cs="宋体"/>
          <w:b/>
          <w:bCs/>
          <w:lang w:val="en-US" w:eastAsia="zh-CN" w:bidi="ar-SA"/>
        </w:rPr>
        <w:t>4.1</w:t>
      </w:r>
      <w:bookmarkStart w:id="22" w:name="t_2_4_1_table"/>
      <w:bookmarkEnd w:id="22"/>
      <w:r>
        <w:rPr>
          <w:rFonts w:ascii="宋体" w:hAnsi="宋体" w:cs="宋体"/>
          <w:b/>
          <w:bCs/>
          <w:lang w:val="en-US" w:eastAsia="zh-CN" w:bidi="ar-SA"/>
        </w:rPr>
        <w:t xml:space="preserve"> 赎回份额限制</w:t>
      </w:r>
    </w:p>
    <w:p w:rsidR="0043656C" w:rsidRDefault="0043656C">
      <w:pPr>
        <w:spacing w:line="360" w:lineRule="auto"/>
        <w:ind w:firstLine="420"/>
        <w:rPr>
          <w:rFonts w:eastAsia="Times New Roman"/>
          <w:sz w:val="21"/>
          <w:szCs w:val="21"/>
          <w:lang w:val="en-US" w:eastAsia="zh-CN" w:bidi="ar-SA"/>
        </w:rPr>
      </w:pPr>
      <w:bookmarkStart w:id="23" w:name="t_2_4_1_2822_a1_fm1"/>
      <w:bookmarkEnd w:id="23"/>
      <w:r>
        <w:rPr>
          <w:rFonts w:ascii="宋体" w:hAnsi="宋体" w:cs="宋体"/>
          <w:sz w:val="21"/>
          <w:szCs w:val="21"/>
          <w:lang w:val="en-US" w:eastAsia="zh-CN" w:bidi="ar-SA"/>
        </w:rPr>
        <w:t>投资人赎回本基金份额时，可申请将其持有的部分或全部基金份额赎回；账户最低余额为0.01份基金份额，若某笔赎回将导致投资人在销售机构托管的单只基金份额余额不足0.01份时，该笔赎回业务应包括账户内全部基金份额，否则，剩余部分的基金份额将被强制赎回。</w:t>
      </w:r>
    </w:p>
    <w:p w:rsidR="0043656C" w:rsidRDefault="0043656C">
      <w:pPr>
        <w:widowControl w:val="0"/>
        <w:spacing w:before="156" w:after="156"/>
        <w:jc w:val="both"/>
        <w:rPr>
          <w:rFonts w:eastAsia="Times New Roman"/>
          <w:lang w:val="en-US" w:eastAsia="zh-CN" w:bidi="ar-SA"/>
        </w:rPr>
      </w:pPr>
      <w:r>
        <w:rPr>
          <w:rFonts w:ascii="宋体" w:hAnsi="宋体" w:cs="宋体"/>
          <w:b/>
          <w:bCs/>
          <w:lang w:val="en-US" w:eastAsia="zh-CN" w:bidi="ar-SA"/>
        </w:rPr>
        <w:t>4.2赎回费率</w:t>
      </w:r>
      <w:bookmarkStart w:id="24" w:name="t_2_4_2_2843_a1_fm1"/>
      <w:bookmarkStart w:id="25" w:name="t_2_4_2_2699_a1_fm1"/>
      <w:bookmarkEnd w:id="24"/>
      <w:bookmarkEnd w:id="25"/>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本基金A类基金份额的赎回费率如下表所示：</w:t>
      </w:r>
    </w:p>
    <w:tbl>
      <w:tblPr>
        <w:tblW w:w="0" w:type="auto"/>
        <w:tblInd w:w="750" w:type="dxa"/>
        <w:tblCellMar>
          <w:top w:w="15" w:type="dxa"/>
          <w:left w:w="15" w:type="dxa"/>
          <w:bottom w:w="15" w:type="dxa"/>
          <w:right w:w="15" w:type="dxa"/>
        </w:tblCellMar>
        <w:tblLook w:val="05E0"/>
      </w:tblPr>
      <w:tblGrid>
        <w:gridCol w:w="3600"/>
        <w:gridCol w:w="3472"/>
      </w:tblGrid>
      <w:tr w:rsidR="0043656C" w:rsidRPr="0043656C" w:rsidTr="0043656C">
        <w:trPr>
          <w:trHeight w:val="465"/>
        </w:trPr>
        <w:tc>
          <w:tcPr>
            <w:tcW w:w="3600"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hideMark/>
          </w:tcPr>
          <w:p w:rsidR="0043656C" w:rsidRPr="0043656C" w:rsidRDefault="0043656C" w:rsidP="00120D94">
            <w:pPr>
              <w:jc w:val="center"/>
              <w:rPr>
                <w:rFonts w:eastAsia="Times New Roman"/>
                <w:lang w:val="en-US" w:eastAsia="zh-CN" w:bidi="ar-SA"/>
              </w:rPr>
            </w:pPr>
            <w:r w:rsidRPr="0043656C">
              <w:rPr>
                <w:rFonts w:ascii="宋体" w:hAnsi="宋体" w:cs="宋体"/>
                <w:b/>
                <w:bCs/>
                <w:sz w:val="21"/>
                <w:szCs w:val="21"/>
                <w:lang w:val="en-US" w:eastAsia="zh-CN" w:bidi="ar-SA"/>
              </w:rPr>
              <w:t>持有期限（</w:t>
            </w:r>
            <w:r w:rsidRPr="0043656C">
              <w:rPr>
                <w:b/>
                <w:bCs/>
                <w:sz w:val="21"/>
                <w:szCs w:val="21"/>
                <w:lang w:val="en-US" w:eastAsia="zh-CN" w:bidi="ar-SA"/>
              </w:rPr>
              <w:t>Y</w:t>
            </w:r>
            <w:r w:rsidRPr="0043656C">
              <w:rPr>
                <w:rFonts w:ascii="宋体" w:hAnsi="宋体" w:cs="宋体"/>
                <w:b/>
                <w:bCs/>
                <w:sz w:val="21"/>
                <w:szCs w:val="21"/>
                <w:lang w:val="en-US" w:eastAsia="zh-CN" w:bidi="ar-SA"/>
              </w:rPr>
              <w:t>）</w:t>
            </w:r>
          </w:p>
        </w:tc>
        <w:tc>
          <w:tcPr>
            <w:tcW w:w="3472" w:type="dxa"/>
            <w:tcBorders>
              <w:top w:val="single" w:sz="6" w:space="0" w:color="000000"/>
              <w:bottom w:val="single" w:sz="6" w:space="0" w:color="000000"/>
              <w:right w:val="single" w:sz="6" w:space="0" w:color="000000"/>
            </w:tcBorders>
            <w:shd w:val="clear" w:color="auto" w:fill="auto"/>
            <w:tcMar>
              <w:top w:w="8" w:type="dxa"/>
              <w:left w:w="110" w:type="dxa"/>
              <w:bottom w:w="8" w:type="dxa"/>
              <w:right w:w="112" w:type="dxa"/>
            </w:tcMar>
            <w:vAlign w:val="center"/>
            <w:hideMark/>
          </w:tcPr>
          <w:p w:rsidR="0043656C" w:rsidRPr="0043656C" w:rsidRDefault="0043656C" w:rsidP="00120D94">
            <w:pPr>
              <w:jc w:val="center"/>
              <w:rPr>
                <w:rFonts w:eastAsia="Times New Roman"/>
                <w:lang w:val="en-US" w:eastAsia="zh-CN" w:bidi="ar-SA"/>
              </w:rPr>
            </w:pPr>
            <w:r w:rsidRPr="0043656C">
              <w:rPr>
                <w:rFonts w:ascii="宋体" w:hAnsi="宋体" w:cs="宋体"/>
                <w:b/>
                <w:bCs/>
                <w:sz w:val="21"/>
                <w:szCs w:val="21"/>
                <w:lang w:val="en-US" w:eastAsia="zh-CN" w:bidi="ar-SA"/>
              </w:rPr>
              <w:t>赎回费率</w:t>
            </w:r>
          </w:p>
        </w:tc>
      </w:tr>
      <w:tr w:rsidR="0043656C" w:rsidRPr="0043656C" w:rsidTr="0043656C">
        <w:trPr>
          <w:trHeight w:val="465"/>
        </w:trPr>
        <w:tc>
          <w:tcPr>
            <w:tcW w:w="3600" w:type="dxa"/>
            <w:tcBorders>
              <w:left w:val="single" w:sz="6" w:space="0" w:color="000000"/>
              <w:bottom w:val="single" w:sz="6" w:space="0" w:color="000000"/>
              <w:right w:val="single" w:sz="6" w:space="0" w:color="000000"/>
            </w:tcBorders>
            <w:shd w:val="clear" w:color="auto" w:fill="auto"/>
            <w:tcMar>
              <w:top w:w="5" w:type="dxa"/>
              <w:left w:w="112" w:type="dxa"/>
              <w:bottom w:w="8" w:type="dxa"/>
              <w:right w:w="112" w:type="dxa"/>
            </w:tcMar>
            <w:vAlign w:val="center"/>
            <w:hideMark/>
          </w:tcPr>
          <w:p w:rsidR="0043656C" w:rsidRPr="0043656C" w:rsidRDefault="0043656C" w:rsidP="00120D94">
            <w:pPr>
              <w:jc w:val="center"/>
              <w:rPr>
                <w:rFonts w:eastAsia="Times New Roman"/>
                <w:lang w:val="en-US" w:eastAsia="zh-CN" w:bidi="ar-SA"/>
              </w:rPr>
            </w:pPr>
            <w:r w:rsidRPr="0043656C">
              <w:rPr>
                <w:sz w:val="21"/>
                <w:szCs w:val="21"/>
                <w:lang w:eastAsia="en-US" w:bidi="ar-SA"/>
              </w:rPr>
              <w:t>Y</w:t>
            </w:r>
            <w:r w:rsidRPr="0043656C">
              <w:rPr>
                <w:rFonts w:ascii="宋体" w:hAnsi="宋体" w:cs="宋体"/>
                <w:sz w:val="21"/>
                <w:szCs w:val="21"/>
                <w:lang w:val="en-US" w:eastAsia="zh-CN" w:bidi="ar-SA"/>
              </w:rPr>
              <w:t>＜</w:t>
            </w:r>
            <w:r w:rsidRPr="0043656C">
              <w:rPr>
                <w:sz w:val="21"/>
                <w:szCs w:val="21"/>
                <w:lang w:eastAsia="en-US" w:bidi="ar-SA"/>
              </w:rPr>
              <w:t>7</w:t>
            </w:r>
            <w:r w:rsidRPr="0043656C">
              <w:rPr>
                <w:rFonts w:ascii="宋体" w:hAnsi="宋体" w:cs="宋体"/>
                <w:sz w:val="21"/>
                <w:szCs w:val="21"/>
                <w:lang w:val="en-US" w:eastAsia="zh-CN" w:bidi="ar-SA"/>
              </w:rPr>
              <w:t>日</w:t>
            </w:r>
          </w:p>
        </w:tc>
        <w:tc>
          <w:tcPr>
            <w:tcW w:w="3472" w:type="dxa"/>
            <w:tcBorders>
              <w:bottom w:val="single" w:sz="6" w:space="0" w:color="000000"/>
              <w:right w:val="single" w:sz="6" w:space="0" w:color="000000"/>
            </w:tcBorders>
            <w:shd w:val="clear" w:color="auto" w:fill="auto"/>
            <w:tcMar>
              <w:top w:w="5" w:type="dxa"/>
              <w:left w:w="110" w:type="dxa"/>
              <w:bottom w:w="8" w:type="dxa"/>
              <w:right w:w="112" w:type="dxa"/>
            </w:tcMar>
            <w:vAlign w:val="center"/>
            <w:hideMark/>
          </w:tcPr>
          <w:p w:rsidR="0043656C" w:rsidRPr="0043656C" w:rsidRDefault="0043656C" w:rsidP="00120D94">
            <w:pPr>
              <w:jc w:val="center"/>
              <w:rPr>
                <w:rFonts w:eastAsia="Times New Roman"/>
                <w:lang w:val="en-US" w:eastAsia="zh-CN" w:bidi="ar-SA"/>
              </w:rPr>
            </w:pPr>
            <w:r w:rsidRPr="0043656C">
              <w:rPr>
                <w:sz w:val="21"/>
                <w:szCs w:val="21"/>
                <w:lang w:eastAsia="en-US" w:bidi="ar-SA"/>
              </w:rPr>
              <w:t>1.50%</w:t>
            </w:r>
          </w:p>
        </w:tc>
      </w:tr>
      <w:tr w:rsidR="0043656C" w:rsidRPr="0043656C" w:rsidTr="0043656C">
        <w:trPr>
          <w:trHeight w:val="465"/>
        </w:trPr>
        <w:tc>
          <w:tcPr>
            <w:tcW w:w="3600" w:type="dxa"/>
            <w:tcBorders>
              <w:left w:val="single" w:sz="6" w:space="0" w:color="000000"/>
              <w:bottom w:val="single" w:sz="6" w:space="0" w:color="000000"/>
              <w:right w:val="single" w:sz="6" w:space="0" w:color="000000"/>
            </w:tcBorders>
            <w:shd w:val="clear" w:color="auto" w:fill="auto"/>
            <w:tcMar>
              <w:top w:w="5" w:type="dxa"/>
              <w:left w:w="112" w:type="dxa"/>
              <w:bottom w:w="8" w:type="dxa"/>
              <w:right w:w="112" w:type="dxa"/>
            </w:tcMar>
            <w:vAlign w:val="center"/>
            <w:hideMark/>
          </w:tcPr>
          <w:p w:rsidR="0043656C" w:rsidRPr="0043656C" w:rsidRDefault="0043656C" w:rsidP="00120D94">
            <w:pPr>
              <w:jc w:val="center"/>
              <w:rPr>
                <w:rFonts w:eastAsia="Times New Roman"/>
                <w:lang w:val="en-US" w:eastAsia="zh-CN" w:bidi="ar-SA"/>
              </w:rPr>
            </w:pPr>
            <w:r w:rsidRPr="0043656C">
              <w:rPr>
                <w:sz w:val="21"/>
                <w:szCs w:val="21"/>
                <w:lang w:eastAsia="en-US" w:bidi="ar-SA"/>
              </w:rPr>
              <w:t>7</w:t>
            </w:r>
            <w:r w:rsidRPr="0043656C">
              <w:rPr>
                <w:rFonts w:ascii="宋体" w:hAnsi="宋体" w:cs="宋体"/>
                <w:sz w:val="21"/>
                <w:szCs w:val="21"/>
                <w:lang w:val="en-US" w:eastAsia="zh-CN" w:bidi="ar-SA"/>
              </w:rPr>
              <w:t>日</w:t>
            </w:r>
            <w:r w:rsidRPr="0043656C">
              <w:rPr>
                <w:sz w:val="21"/>
                <w:szCs w:val="21"/>
                <w:lang w:eastAsia="en-US" w:bidi="ar-SA"/>
              </w:rPr>
              <w:t>≤Y&lt;30</w:t>
            </w:r>
            <w:r w:rsidRPr="0043656C">
              <w:rPr>
                <w:rFonts w:ascii="宋体" w:hAnsi="宋体" w:cs="宋体"/>
                <w:sz w:val="21"/>
                <w:szCs w:val="21"/>
                <w:lang w:val="en-US" w:eastAsia="zh-CN" w:bidi="ar-SA"/>
              </w:rPr>
              <w:t>日</w:t>
            </w:r>
          </w:p>
        </w:tc>
        <w:tc>
          <w:tcPr>
            <w:tcW w:w="3472" w:type="dxa"/>
            <w:tcBorders>
              <w:bottom w:val="single" w:sz="6" w:space="0" w:color="000000"/>
              <w:right w:val="single" w:sz="6" w:space="0" w:color="000000"/>
            </w:tcBorders>
            <w:shd w:val="clear" w:color="auto" w:fill="auto"/>
            <w:tcMar>
              <w:top w:w="5" w:type="dxa"/>
              <w:left w:w="110" w:type="dxa"/>
              <w:bottom w:w="8" w:type="dxa"/>
              <w:right w:w="112" w:type="dxa"/>
            </w:tcMar>
            <w:vAlign w:val="center"/>
            <w:hideMark/>
          </w:tcPr>
          <w:p w:rsidR="0043656C" w:rsidRPr="0043656C" w:rsidRDefault="0043656C" w:rsidP="00120D94">
            <w:pPr>
              <w:jc w:val="center"/>
              <w:rPr>
                <w:rFonts w:eastAsia="Times New Roman"/>
                <w:lang w:val="en-US" w:eastAsia="zh-CN" w:bidi="ar-SA"/>
              </w:rPr>
            </w:pPr>
            <w:r w:rsidRPr="0043656C">
              <w:rPr>
                <w:sz w:val="21"/>
                <w:szCs w:val="21"/>
                <w:lang w:eastAsia="en-US" w:bidi="ar-SA"/>
              </w:rPr>
              <w:t>0.75%</w:t>
            </w:r>
          </w:p>
        </w:tc>
      </w:tr>
      <w:tr w:rsidR="0043656C" w:rsidRPr="0043656C" w:rsidTr="0043656C">
        <w:trPr>
          <w:trHeight w:val="465"/>
        </w:trPr>
        <w:tc>
          <w:tcPr>
            <w:tcW w:w="3600" w:type="dxa"/>
            <w:tcBorders>
              <w:left w:val="single" w:sz="6" w:space="0" w:color="000000"/>
              <w:bottom w:val="single" w:sz="6" w:space="0" w:color="000000"/>
              <w:right w:val="single" w:sz="6" w:space="0" w:color="000000"/>
            </w:tcBorders>
            <w:shd w:val="clear" w:color="auto" w:fill="auto"/>
            <w:tcMar>
              <w:top w:w="5" w:type="dxa"/>
              <w:left w:w="112" w:type="dxa"/>
              <w:bottom w:w="8" w:type="dxa"/>
              <w:right w:w="112" w:type="dxa"/>
            </w:tcMar>
            <w:vAlign w:val="center"/>
            <w:hideMark/>
          </w:tcPr>
          <w:p w:rsidR="0043656C" w:rsidRPr="0043656C" w:rsidRDefault="0043656C" w:rsidP="00120D94">
            <w:pPr>
              <w:jc w:val="center"/>
              <w:rPr>
                <w:rFonts w:eastAsia="Times New Roman"/>
                <w:lang w:val="en-US" w:eastAsia="zh-CN" w:bidi="ar-SA"/>
              </w:rPr>
            </w:pPr>
            <w:r w:rsidRPr="0043656C">
              <w:rPr>
                <w:sz w:val="21"/>
                <w:szCs w:val="21"/>
                <w:lang w:eastAsia="en-US" w:bidi="ar-SA"/>
              </w:rPr>
              <w:t>30</w:t>
            </w:r>
            <w:r w:rsidRPr="0043656C">
              <w:rPr>
                <w:rFonts w:ascii="宋体" w:hAnsi="宋体" w:cs="宋体"/>
                <w:sz w:val="21"/>
                <w:szCs w:val="21"/>
                <w:lang w:val="en-US" w:eastAsia="zh-CN" w:bidi="ar-SA"/>
              </w:rPr>
              <w:t>日</w:t>
            </w:r>
            <w:r w:rsidRPr="0043656C">
              <w:rPr>
                <w:sz w:val="21"/>
                <w:szCs w:val="21"/>
                <w:lang w:eastAsia="en-US" w:bidi="ar-SA"/>
              </w:rPr>
              <w:t>≤Y</w:t>
            </w:r>
            <w:r w:rsidRPr="0043656C">
              <w:rPr>
                <w:rFonts w:ascii="宋体" w:hAnsi="宋体" w:cs="宋体"/>
                <w:sz w:val="21"/>
                <w:szCs w:val="21"/>
                <w:lang w:val="en-US" w:eastAsia="zh-CN" w:bidi="ar-SA"/>
              </w:rPr>
              <w:t>＜</w:t>
            </w:r>
            <w:r w:rsidRPr="0043656C">
              <w:rPr>
                <w:sz w:val="21"/>
                <w:szCs w:val="21"/>
                <w:lang w:eastAsia="en-US" w:bidi="ar-SA"/>
              </w:rPr>
              <w:t>6</w:t>
            </w:r>
            <w:r w:rsidRPr="0043656C">
              <w:rPr>
                <w:rFonts w:ascii="宋体" w:hAnsi="宋体" w:cs="宋体"/>
                <w:sz w:val="21"/>
                <w:szCs w:val="21"/>
                <w:lang w:val="en-US" w:eastAsia="zh-CN" w:bidi="ar-SA"/>
              </w:rPr>
              <w:t>个月</w:t>
            </w:r>
          </w:p>
        </w:tc>
        <w:tc>
          <w:tcPr>
            <w:tcW w:w="3472" w:type="dxa"/>
            <w:tcBorders>
              <w:bottom w:val="single" w:sz="6" w:space="0" w:color="000000"/>
              <w:right w:val="single" w:sz="6" w:space="0" w:color="000000"/>
            </w:tcBorders>
            <w:shd w:val="clear" w:color="auto" w:fill="auto"/>
            <w:tcMar>
              <w:top w:w="5" w:type="dxa"/>
              <w:left w:w="110" w:type="dxa"/>
              <w:bottom w:w="8" w:type="dxa"/>
              <w:right w:w="112" w:type="dxa"/>
            </w:tcMar>
            <w:vAlign w:val="center"/>
            <w:hideMark/>
          </w:tcPr>
          <w:p w:rsidR="0043656C" w:rsidRPr="0043656C" w:rsidRDefault="0043656C" w:rsidP="00120D94">
            <w:pPr>
              <w:jc w:val="center"/>
              <w:rPr>
                <w:rFonts w:eastAsia="Times New Roman"/>
                <w:lang w:val="en-US" w:eastAsia="zh-CN" w:bidi="ar-SA"/>
              </w:rPr>
            </w:pPr>
            <w:r w:rsidRPr="0043656C">
              <w:rPr>
                <w:sz w:val="21"/>
                <w:szCs w:val="21"/>
                <w:lang w:eastAsia="en-US" w:bidi="ar-SA"/>
              </w:rPr>
              <w:t>0.50%</w:t>
            </w:r>
          </w:p>
        </w:tc>
      </w:tr>
      <w:tr w:rsidR="0043656C" w:rsidRPr="0043656C" w:rsidTr="0043656C">
        <w:trPr>
          <w:trHeight w:val="465"/>
        </w:trPr>
        <w:tc>
          <w:tcPr>
            <w:tcW w:w="3600" w:type="dxa"/>
            <w:tcBorders>
              <w:left w:val="single" w:sz="6" w:space="0" w:color="000000"/>
              <w:bottom w:val="single" w:sz="6" w:space="0" w:color="000000"/>
              <w:right w:val="single" w:sz="6" w:space="0" w:color="000000"/>
            </w:tcBorders>
            <w:shd w:val="clear" w:color="auto" w:fill="auto"/>
            <w:tcMar>
              <w:top w:w="5" w:type="dxa"/>
              <w:left w:w="112" w:type="dxa"/>
              <w:bottom w:w="8" w:type="dxa"/>
              <w:right w:w="112" w:type="dxa"/>
            </w:tcMar>
            <w:vAlign w:val="center"/>
            <w:hideMark/>
          </w:tcPr>
          <w:p w:rsidR="0043656C" w:rsidRPr="0043656C" w:rsidRDefault="0043656C" w:rsidP="00120D94">
            <w:pPr>
              <w:jc w:val="center"/>
              <w:rPr>
                <w:rFonts w:eastAsia="Times New Roman"/>
                <w:lang w:val="en-US" w:eastAsia="zh-CN" w:bidi="ar-SA"/>
              </w:rPr>
            </w:pPr>
            <w:r w:rsidRPr="0043656C">
              <w:rPr>
                <w:sz w:val="21"/>
                <w:szCs w:val="21"/>
                <w:lang w:eastAsia="en-US" w:bidi="ar-SA"/>
              </w:rPr>
              <w:t>Y≥6</w:t>
            </w:r>
            <w:r w:rsidRPr="0043656C">
              <w:rPr>
                <w:rFonts w:ascii="宋体" w:hAnsi="宋体" w:cs="宋体"/>
                <w:sz w:val="21"/>
                <w:szCs w:val="21"/>
                <w:lang w:val="en-US" w:eastAsia="zh-CN" w:bidi="ar-SA"/>
              </w:rPr>
              <w:t>个月</w:t>
            </w:r>
          </w:p>
        </w:tc>
        <w:tc>
          <w:tcPr>
            <w:tcW w:w="3472" w:type="dxa"/>
            <w:tcBorders>
              <w:bottom w:val="single" w:sz="6" w:space="0" w:color="000000"/>
              <w:right w:val="single" w:sz="6" w:space="0" w:color="000000"/>
            </w:tcBorders>
            <w:shd w:val="clear" w:color="auto" w:fill="auto"/>
            <w:tcMar>
              <w:top w:w="5" w:type="dxa"/>
              <w:left w:w="110" w:type="dxa"/>
              <w:bottom w:w="8" w:type="dxa"/>
              <w:right w:w="112" w:type="dxa"/>
            </w:tcMar>
            <w:vAlign w:val="center"/>
            <w:hideMark/>
          </w:tcPr>
          <w:p w:rsidR="0043656C" w:rsidRPr="0043656C" w:rsidRDefault="0043656C" w:rsidP="00120D94">
            <w:pPr>
              <w:jc w:val="center"/>
              <w:rPr>
                <w:rFonts w:eastAsia="Times New Roman"/>
                <w:lang w:val="en-US" w:eastAsia="zh-CN" w:bidi="ar-SA"/>
              </w:rPr>
            </w:pPr>
            <w:r w:rsidRPr="0043656C">
              <w:rPr>
                <w:sz w:val="21"/>
                <w:szCs w:val="21"/>
                <w:lang w:eastAsia="en-US" w:bidi="ar-SA"/>
              </w:rPr>
              <w:t>0</w:t>
            </w:r>
          </w:p>
        </w:tc>
      </w:tr>
    </w:tbl>
    <w:p w:rsidR="0043656C" w:rsidRDefault="0043656C">
      <w:pPr>
        <w:spacing w:before="240" w:line="360" w:lineRule="auto"/>
        <w:ind w:firstLine="420"/>
        <w:rPr>
          <w:rFonts w:eastAsia="Times New Roman"/>
          <w:sz w:val="21"/>
          <w:szCs w:val="21"/>
          <w:lang w:val="en-US" w:eastAsia="zh-CN" w:bidi="ar-SA"/>
        </w:rPr>
      </w:pPr>
      <w:r>
        <w:rPr>
          <w:rFonts w:ascii="宋体" w:hAnsi="宋体" w:cs="宋体"/>
          <w:sz w:val="21"/>
          <w:szCs w:val="21"/>
          <w:lang w:val="en-US" w:eastAsia="zh-CN" w:bidi="ar-SA"/>
        </w:rPr>
        <w:t>（注：1个月指30日）</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本基金C类基金份额的赎回费率如下表所示：</w:t>
      </w:r>
    </w:p>
    <w:tbl>
      <w:tblPr>
        <w:tblW w:w="0" w:type="auto"/>
        <w:tblInd w:w="750" w:type="dxa"/>
        <w:tblCellMar>
          <w:top w:w="15" w:type="dxa"/>
          <w:left w:w="15" w:type="dxa"/>
          <w:bottom w:w="15" w:type="dxa"/>
          <w:right w:w="15" w:type="dxa"/>
        </w:tblCellMar>
        <w:tblLook w:val="05E0"/>
      </w:tblPr>
      <w:tblGrid>
        <w:gridCol w:w="3600"/>
        <w:gridCol w:w="3472"/>
      </w:tblGrid>
      <w:tr w:rsidR="0043656C" w:rsidRPr="0043656C" w:rsidTr="0043656C">
        <w:trPr>
          <w:trHeight w:val="465"/>
        </w:trPr>
        <w:tc>
          <w:tcPr>
            <w:tcW w:w="3600"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hideMark/>
          </w:tcPr>
          <w:p w:rsidR="0043656C" w:rsidRPr="0043656C" w:rsidRDefault="0043656C" w:rsidP="00120D94">
            <w:pPr>
              <w:jc w:val="center"/>
              <w:rPr>
                <w:rFonts w:eastAsia="Times New Roman"/>
                <w:lang w:val="en-US" w:eastAsia="zh-CN" w:bidi="ar-SA"/>
              </w:rPr>
            </w:pPr>
            <w:r w:rsidRPr="0043656C">
              <w:rPr>
                <w:rFonts w:ascii="宋体" w:hAnsi="宋体" w:cs="宋体"/>
                <w:b/>
                <w:bCs/>
                <w:sz w:val="21"/>
                <w:szCs w:val="21"/>
                <w:lang w:val="en-US" w:eastAsia="zh-CN" w:bidi="ar-SA"/>
              </w:rPr>
              <w:t>持有期限（</w:t>
            </w:r>
            <w:r w:rsidRPr="0043656C">
              <w:rPr>
                <w:b/>
                <w:bCs/>
                <w:sz w:val="21"/>
                <w:szCs w:val="21"/>
                <w:lang w:val="en-US" w:eastAsia="zh-CN" w:bidi="ar-SA"/>
              </w:rPr>
              <w:t>Y</w:t>
            </w:r>
            <w:r w:rsidRPr="0043656C">
              <w:rPr>
                <w:rFonts w:ascii="宋体" w:hAnsi="宋体" w:cs="宋体"/>
                <w:b/>
                <w:bCs/>
                <w:sz w:val="21"/>
                <w:szCs w:val="21"/>
                <w:lang w:val="en-US" w:eastAsia="zh-CN" w:bidi="ar-SA"/>
              </w:rPr>
              <w:t>）</w:t>
            </w:r>
          </w:p>
        </w:tc>
        <w:tc>
          <w:tcPr>
            <w:tcW w:w="3472" w:type="dxa"/>
            <w:tcBorders>
              <w:top w:val="single" w:sz="6" w:space="0" w:color="000000"/>
              <w:bottom w:val="single" w:sz="6" w:space="0" w:color="000000"/>
              <w:right w:val="single" w:sz="6" w:space="0" w:color="000000"/>
            </w:tcBorders>
            <w:shd w:val="clear" w:color="auto" w:fill="auto"/>
            <w:tcMar>
              <w:top w:w="8" w:type="dxa"/>
              <w:left w:w="110" w:type="dxa"/>
              <w:bottom w:w="8" w:type="dxa"/>
              <w:right w:w="112" w:type="dxa"/>
            </w:tcMar>
            <w:vAlign w:val="center"/>
            <w:hideMark/>
          </w:tcPr>
          <w:p w:rsidR="0043656C" w:rsidRPr="0043656C" w:rsidRDefault="0043656C" w:rsidP="00120D94">
            <w:pPr>
              <w:jc w:val="center"/>
              <w:rPr>
                <w:rFonts w:eastAsia="Times New Roman"/>
                <w:lang w:val="en-US" w:eastAsia="zh-CN" w:bidi="ar-SA"/>
              </w:rPr>
            </w:pPr>
            <w:r w:rsidRPr="0043656C">
              <w:rPr>
                <w:rFonts w:ascii="宋体" w:hAnsi="宋体" w:cs="宋体"/>
                <w:b/>
                <w:bCs/>
                <w:sz w:val="21"/>
                <w:szCs w:val="21"/>
                <w:lang w:val="en-US" w:eastAsia="zh-CN" w:bidi="ar-SA"/>
              </w:rPr>
              <w:t>赎回费率</w:t>
            </w:r>
          </w:p>
        </w:tc>
      </w:tr>
      <w:tr w:rsidR="0043656C" w:rsidRPr="0043656C" w:rsidTr="0043656C">
        <w:trPr>
          <w:trHeight w:val="465"/>
        </w:trPr>
        <w:tc>
          <w:tcPr>
            <w:tcW w:w="3600" w:type="dxa"/>
            <w:tcBorders>
              <w:left w:val="single" w:sz="6" w:space="0" w:color="000000"/>
              <w:bottom w:val="single" w:sz="6" w:space="0" w:color="000000"/>
              <w:right w:val="single" w:sz="6" w:space="0" w:color="000000"/>
            </w:tcBorders>
            <w:shd w:val="clear" w:color="auto" w:fill="auto"/>
            <w:tcMar>
              <w:top w:w="5" w:type="dxa"/>
              <w:left w:w="112" w:type="dxa"/>
              <w:bottom w:w="8" w:type="dxa"/>
              <w:right w:w="112" w:type="dxa"/>
            </w:tcMar>
            <w:vAlign w:val="center"/>
            <w:hideMark/>
          </w:tcPr>
          <w:p w:rsidR="0043656C" w:rsidRPr="0043656C" w:rsidRDefault="0043656C" w:rsidP="00120D94">
            <w:pPr>
              <w:jc w:val="center"/>
              <w:rPr>
                <w:rFonts w:eastAsia="Times New Roman"/>
                <w:lang w:val="en-US" w:eastAsia="zh-CN" w:bidi="ar-SA"/>
              </w:rPr>
            </w:pPr>
            <w:r w:rsidRPr="0043656C">
              <w:rPr>
                <w:sz w:val="21"/>
                <w:szCs w:val="21"/>
                <w:lang w:eastAsia="en-US" w:bidi="ar-SA"/>
              </w:rPr>
              <w:t>Y</w:t>
            </w:r>
            <w:r w:rsidRPr="0043656C">
              <w:rPr>
                <w:rFonts w:ascii="宋体" w:hAnsi="宋体" w:cs="宋体"/>
                <w:sz w:val="21"/>
                <w:szCs w:val="21"/>
                <w:lang w:val="en-US" w:eastAsia="zh-CN" w:bidi="ar-SA"/>
              </w:rPr>
              <w:t>＜</w:t>
            </w:r>
            <w:r w:rsidRPr="0043656C">
              <w:rPr>
                <w:sz w:val="21"/>
                <w:szCs w:val="21"/>
                <w:lang w:eastAsia="en-US" w:bidi="ar-SA"/>
              </w:rPr>
              <w:t>7</w:t>
            </w:r>
            <w:r w:rsidRPr="0043656C">
              <w:rPr>
                <w:rFonts w:ascii="宋体" w:hAnsi="宋体" w:cs="宋体"/>
                <w:sz w:val="21"/>
                <w:szCs w:val="21"/>
                <w:lang w:val="en-US" w:eastAsia="zh-CN" w:bidi="ar-SA"/>
              </w:rPr>
              <w:t>日</w:t>
            </w:r>
          </w:p>
        </w:tc>
        <w:tc>
          <w:tcPr>
            <w:tcW w:w="3472" w:type="dxa"/>
            <w:tcBorders>
              <w:bottom w:val="single" w:sz="6" w:space="0" w:color="000000"/>
              <w:right w:val="single" w:sz="6" w:space="0" w:color="000000"/>
            </w:tcBorders>
            <w:shd w:val="clear" w:color="auto" w:fill="auto"/>
            <w:tcMar>
              <w:top w:w="5" w:type="dxa"/>
              <w:left w:w="110" w:type="dxa"/>
              <w:bottom w:w="8" w:type="dxa"/>
              <w:right w:w="112" w:type="dxa"/>
            </w:tcMar>
            <w:vAlign w:val="center"/>
            <w:hideMark/>
          </w:tcPr>
          <w:p w:rsidR="0043656C" w:rsidRPr="0043656C" w:rsidRDefault="0043656C" w:rsidP="00120D94">
            <w:pPr>
              <w:jc w:val="center"/>
              <w:rPr>
                <w:rFonts w:eastAsia="Times New Roman"/>
                <w:lang w:val="en-US" w:eastAsia="zh-CN" w:bidi="ar-SA"/>
              </w:rPr>
            </w:pPr>
            <w:r w:rsidRPr="0043656C">
              <w:rPr>
                <w:sz w:val="21"/>
                <w:szCs w:val="21"/>
                <w:lang w:eastAsia="en-US" w:bidi="ar-SA"/>
              </w:rPr>
              <w:t>1.50%</w:t>
            </w:r>
          </w:p>
        </w:tc>
      </w:tr>
      <w:tr w:rsidR="0043656C" w:rsidRPr="0043656C" w:rsidTr="0043656C">
        <w:trPr>
          <w:trHeight w:val="465"/>
        </w:trPr>
        <w:tc>
          <w:tcPr>
            <w:tcW w:w="3600" w:type="dxa"/>
            <w:tcBorders>
              <w:left w:val="single" w:sz="6" w:space="0" w:color="000000"/>
              <w:bottom w:val="single" w:sz="6" w:space="0" w:color="000000"/>
              <w:right w:val="single" w:sz="6" w:space="0" w:color="000000"/>
            </w:tcBorders>
            <w:shd w:val="clear" w:color="auto" w:fill="auto"/>
            <w:tcMar>
              <w:top w:w="5" w:type="dxa"/>
              <w:left w:w="112" w:type="dxa"/>
              <w:bottom w:w="8" w:type="dxa"/>
              <w:right w:w="112" w:type="dxa"/>
            </w:tcMar>
            <w:vAlign w:val="center"/>
            <w:hideMark/>
          </w:tcPr>
          <w:p w:rsidR="0043656C" w:rsidRPr="0043656C" w:rsidRDefault="0043656C" w:rsidP="00120D94">
            <w:pPr>
              <w:jc w:val="center"/>
              <w:rPr>
                <w:rFonts w:eastAsia="Times New Roman"/>
                <w:lang w:val="en-US" w:eastAsia="zh-CN" w:bidi="ar-SA"/>
              </w:rPr>
            </w:pPr>
            <w:r w:rsidRPr="0043656C">
              <w:rPr>
                <w:sz w:val="21"/>
                <w:szCs w:val="21"/>
                <w:lang w:eastAsia="en-US" w:bidi="ar-SA"/>
              </w:rPr>
              <w:t>7</w:t>
            </w:r>
            <w:r w:rsidRPr="0043656C">
              <w:rPr>
                <w:rFonts w:ascii="宋体" w:hAnsi="宋体" w:cs="宋体"/>
                <w:sz w:val="21"/>
                <w:szCs w:val="21"/>
                <w:lang w:val="en-US" w:eastAsia="zh-CN" w:bidi="ar-SA"/>
              </w:rPr>
              <w:t>日</w:t>
            </w:r>
            <w:r w:rsidRPr="0043656C">
              <w:rPr>
                <w:sz w:val="21"/>
                <w:szCs w:val="21"/>
                <w:lang w:eastAsia="en-US" w:bidi="ar-SA"/>
              </w:rPr>
              <w:t>≤Y&lt;30</w:t>
            </w:r>
            <w:r w:rsidRPr="0043656C">
              <w:rPr>
                <w:rFonts w:ascii="宋体" w:hAnsi="宋体" w:cs="宋体"/>
                <w:sz w:val="21"/>
                <w:szCs w:val="21"/>
                <w:lang w:val="en-US" w:eastAsia="zh-CN" w:bidi="ar-SA"/>
              </w:rPr>
              <w:t>日</w:t>
            </w:r>
          </w:p>
        </w:tc>
        <w:tc>
          <w:tcPr>
            <w:tcW w:w="3472" w:type="dxa"/>
            <w:tcBorders>
              <w:bottom w:val="single" w:sz="6" w:space="0" w:color="000000"/>
              <w:right w:val="single" w:sz="6" w:space="0" w:color="000000"/>
            </w:tcBorders>
            <w:shd w:val="clear" w:color="auto" w:fill="auto"/>
            <w:tcMar>
              <w:top w:w="5" w:type="dxa"/>
              <w:left w:w="110" w:type="dxa"/>
              <w:bottom w:w="8" w:type="dxa"/>
              <w:right w:w="112" w:type="dxa"/>
            </w:tcMar>
            <w:vAlign w:val="center"/>
            <w:hideMark/>
          </w:tcPr>
          <w:p w:rsidR="0043656C" w:rsidRPr="0043656C" w:rsidRDefault="0043656C" w:rsidP="00120D94">
            <w:pPr>
              <w:jc w:val="center"/>
              <w:rPr>
                <w:rFonts w:eastAsia="Times New Roman"/>
                <w:lang w:val="en-US" w:eastAsia="zh-CN" w:bidi="ar-SA"/>
              </w:rPr>
            </w:pPr>
            <w:r w:rsidRPr="0043656C">
              <w:rPr>
                <w:sz w:val="21"/>
                <w:szCs w:val="21"/>
                <w:lang w:eastAsia="en-US" w:bidi="ar-SA"/>
              </w:rPr>
              <w:t>0.50%</w:t>
            </w:r>
          </w:p>
        </w:tc>
      </w:tr>
      <w:tr w:rsidR="0043656C" w:rsidRPr="0043656C" w:rsidTr="0043656C">
        <w:trPr>
          <w:trHeight w:val="465"/>
        </w:trPr>
        <w:tc>
          <w:tcPr>
            <w:tcW w:w="3600" w:type="dxa"/>
            <w:tcBorders>
              <w:left w:val="single" w:sz="6" w:space="0" w:color="000000"/>
              <w:bottom w:val="single" w:sz="6" w:space="0" w:color="000000"/>
              <w:right w:val="single" w:sz="6" w:space="0" w:color="000000"/>
            </w:tcBorders>
            <w:shd w:val="clear" w:color="auto" w:fill="auto"/>
            <w:tcMar>
              <w:top w:w="5" w:type="dxa"/>
              <w:left w:w="112" w:type="dxa"/>
              <w:bottom w:w="8" w:type="dxa"/>
              <w:right w:w="112" w:type="dxa"/>
            </w:tcMar>
            <w:vAlign w:val="center"/>
            <w:hideMark/>
          </w:tcPr>
          <w:p w:rsidR="0043656C" w:rsidRPr="0043656C" w:rsidRDefault="0043656C" w:rsidP="00120D94">
            <w:pPr>
              <w:jc w:val="center"/>
              <w:rPr>
                <w:rFonts w:eastAsia="Times New Roman"/>
                <w:lang w:val="en-US" w:eastAsia="zh-CN" w:bidi="ar-SA"/>
              </w:rPr>
            </w:pPr>
            <w:r w:rsidRPr="0043656C">
              <w:rPr>
                <w:sz w:val="21"/>
                <w:szCs w:val="21"/>
                <w:lang w:eastAsia="en-US" w:bidi="ar-SA"/>
              </w:rPr>
              <w:t>Y≥30</w:t>
            </w:r>
            <w:r w:rsidRPr="0043656C">
              <w:rPr>
                <w:rFonts w:ascii="宋体" w:hAnsi="宋体" w:cs="宋体"/>
                <w:sz w:val="21"/>
                <w:szCs w:val="21"/>
                <w:lang w:val="en-US" w:eastAsia="zh-CN" w:bidi="ar-SA"/>
              </w:rPr>
              <w:t>日</w:t>
            </w:r>
          </w:p>
        </w:tc>
        <w:tc>
          <w:tcPr>
            <w:tcW w:w="3472" w:type="dxa"/>
            <w:tcBorders>
              <w:bottom w:val="single" w:sz="6" w:space="0" w:color="000000"/>
              <w:right w:val="single" w:sz="6" w:space="0" w:color="000000"/>
            </w:tcBorders>
            <w:shd w:val="clear" w:color="auto" w:fill="auto"/>
            <w:tcMar>
              <w:top w:w="5" w:type="dxa"/>
              <w:left w:w="110" w:type="dxa"/>
              <w:bottom w:w="8" w:type="dxa"/>
              <w:right w:w="112" w:type="dxa"/>
            </w:tcMar>
            <w:vAlign w:val="center"/>
            <w:hideMark/>
          </w:tcPr>
          <w:p w:rsidR="0043656C" w:rsidRPr="0043656C" w:rsidRDefault="0043656C" w:rsidP="00120D94">
            <w:pPr>
              <w:jc w:val="center"/>
              <w:rPr>
                <w:rFonts w:eastAsia="Times New Roman"/>
                <w:lang w:val="en-US" w:eastAsia="zh-CN" w:bidi="ar-SA"/>
              </w:rPr>
            </w:pPr>
            <w:r w:rsidRPr="0043656C">
              <w:rPr>
                <w:sz w:val="21"/>
                <w:szCs w:val="21"/>
                <w:lang w:eastAsia="en-US" w:bidi="ar-SA"/>
              </w:rPr>
              <w:t>0</w:t>
            </w:r>
          </w:p>
        </w:tc>
      </w:tr>
    </w:tbl>
    <w:p w:rsidR="0043656C" w:rsidRDefault="0043656C">
      <w:pPr>
        <w:spacing w:before="240" w:line="360" w:lineRule="auto"/>
        <w:ind w:firstLine="420"/>
        <w:rPr>
          <w:rFonts w:eastAsia="Times New Roman"/>
          <w:sz w:val="21"/>
          <w:szCs w:val="21"/>
          <w:lang w:val="en-US" w:eastAsia="zh-CN" w:bidi="ar-SA"/>
        </w:rPr>
      </w:pPr>
      <w:r>
        <w:rPr>
          <w:rFonts w:ascii="宋体" w:hAnsi="宋体" w:cs="宋体"/>
          <w:sz w:val="21"/>
          <w:szCs w:val="21"/>
          <w:lang w:val="en-US" w:eastAsia="zh-CN" w:bidi="ar-SA"/>
        </w:rPr>
        <w:t>赎回费用由赎回基金份额的基金份额持有人承担，在基金份额持有人赎回基金份额时收取。对于A类基金份额，对持续持有期少于30日的投资人收取的赎回费全额计入基金财产；对持续持有期不少于30日但少于3个月的投资人收取的赎回费总额的75%计入基金财产；对持续持有期不少于3个月但少于6个月的投资人收取的赎回费总额的50%计入基金财产。对于C类基金份额，对持续持有期少于30日的投资人收取的赎回费全额计入基金财产。上述未纳入基金财产的赎回费用于支付登记费和其他必要的手续费。</w:t>
      </w:r>
    </w:p>
    <w:p w:rsidR="0043656C" w:rsidRDefault="0043656C">
      <w:pPr>
        <w:pStyle w:val="2"/>
        <w:keepLines/>
        <w:widowControl w:val="0"/>
        <w:spacing w:before="156" w:after="156"/>
        <w:rPr>
          <w:rFonts w:ascii="Times New Roman" w:eastAsia="Times New Roman" w:hAnsi="Times New Roman" w:cs="Times New Roman"/>
          <w:lang w:val="en-US" w:eastAsia="zh-CN" w:bidi="ar-SA"/>
        </w:rPr>
      </w:pPr>
      <w:r>
        <w:rPr>
          <w:rFonts w:ascii="宋体" w:hAnsi="宋体" w:cs="宋体"/>
          <w:i w:val="0"/>
          <w:iCs w:val="0"/>
          <w:sz w:val="24"/>
          <w:szCs w:val="24"/>
          <w:lang w:val="en-US" w:eastAsia="zh-CN" w:bidi="ar-SA"/>
        </w:rPr>
        <w:t>5 转换业务</w:t>
      </w:r>
    </w:p>
    <w:p w:rsidR="0043656C" w:rsidRDefault="0043656C">
      <w:pPr>
        <w:widowControl w:val="0"/>
        <w:spacing w:before="156" w:after="156"/>
        <w:rPr>
          <w:rFonts w:eastAsia="Times New Roman"/>
          <w:lang w:val="en-US" w:eastAsia="zh-CN" w:bidi="ar-SA"/>
        </w:rPr>
      </w:pPr>
      <w:r>
        <w:rPr>
          <w:rFonts w:ascii="宋体" w:hAnsi="宋体" w:cs="宋体"/>
          <w:b/>
          <w:bCs/>
          <w:lang w:val="en-US" w:eastAsia="zh-CN" w:bidi="ar-SA"/>
        </w:rPr>
        <w:t>5.1 转换费率</w:t>
      </w:r>
    </w:p>
    <w:p w:rsidR="0043656C" w:rsidRDefault="0043656C">
      <w:pPr>
        <w:spacing w:line="360" w:lineRule="auto"/>
        <w:ind w:firstLine="420"/>
        <w:rPr>
          <w:rFonts w:eastAsia="Times New Roman"/>
          <w:sz w:val="21"/>
          <w:szCs w:val="21"/>
          <w:lang w:val="en-US" w:eastAsia="zh-CN" w:bidi="ar-SA"/>
        </w:rPr>
      </w:pPr>
      <w:bookmarkStart w:id="26" w:name="t_2_5_0179_a1_fm1"/>
      <w:bookmarkEnd w:id="26"/>
      <w:r>
        <w:rPr>
          <w:rFonts w:ascii="宋体" w:hAnsi="宋体" w:cs="宋体"/>
          <w:sz w:val="21"/>
          <w:szCs w:val="21"/>
          <w:lang w:val="en-US" w:eastAsia="zh-CN" w:bidi="ar-SA"/>
        </w:rPr>
        <w:t>本基金的转换按照转出基金的赎回费用加上转出与转入基金申购费用补差的标准收取费用。具体转换费用组成如下：</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1、赎回费用</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转出基金的赎回费率按持有年限递减，具体各基金的赎回费率请参见各基金的招募说明书或相关业务公告，并可在本公司网站（www.phfund.com.cn）查询。基金转换费用中转出基金的赎回费总额归入转出基金的基金财产比例详见转出基金招募说明书（更新）的约定。</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2、申购费用补差</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（1）当转出基金申购费低于转入基金申购费时，则按差额收取申购费用补差；当转出基金申购费高于或等于转入基金申购费时，不收取费用补差。</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（2）免申购费用的基金转入本基金，转换申购费用补差为本基金的申购费。</w:t>
      </w:r>
    </w:p>
    <w:p w:rsidR="0043656C" w:rsidRDefault="0043656C">
      <w:pPr>
        <w:widowControl w:val="0"/>
        <w:spacing w:before="156" w:after="156"/>
        <w:jc w:val="both"/>
        <w:rPr>
          <w:rFonts w:eastAsia="Times New Roman"/>
          <w:lang w:val="en-US" w:eastAsia="zh-CN" w:bidi="ar-SA"/>
        </w:rPr>
      </w:pPr>
      <w:r>
        <w:rPr>
          <w:rFonts w:ascii="宋体" w:hAnsi="宋体" w:cs="宋体"/>
          <w:b/>
          <w:bCs/>
          <w:lang w:val="en-US" w:eastAsia="zh-CN" w:bidi="ar-SA"/>
        </w:rPr>
        <w:t>5.2 其他与转换相关的事项</w:t>
      </w:r>
    </w:p>
    <w:p w:rsidR="0043656C" w:rsidRDefault="0043656C">
      <w:pPr>
        <w:spacing w:line="360" w:lineRule="auto"/>
        <w:ind w:firstLine="420"/>
        <w:rPr>
          <w:rFonts w:eastAsia="Times New Roman"/>
          <w:sz w:val="21"/>
          <w:szCs w:val="21"/>
          <w:lang w:val="en-US" w:eastAsia="zh-CN" w:bidi="ar-SA"/>
        </w:rPr>
      </w:pPr>
      <w:bookmarkStart w:id="27" w:name="t_2_5_2824_a1_fm1"/>
      <w:bookmarkEnd w:id="27"/>
      <w:r>
        <w:rPr>
          <w:rFonts w:ascii="宋体" w:hAnsi="宋体" w:cs="宋体"/>
          <w:sz w:val="21"/>
          <w:szCs w:val="21"/>
          <w:lang w:val="en-US" w:eastAsia="zh-CN" w:bidi="ar-SA"/>
        </w:rPr>
        <w:t>1、转换业务适用基金范围</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上述基金的转换业务适用于其与鹏华双债增利债券型证券投资基金、鹏华双债加利债券型证券投资基金（包括A类份额和C类份额）、鹏华可转债债券型证券投资基金（包括A类份额和C类份额）、鹏华双债保利债券型证券投资基金、鹏华环保产业股票型证券投资基金、鹏华品牌传承灵活配置混合型证券投资基金、鹏华聚财通货币市场基金、鹏华增值宝货币市场基金、鹏华先进制造股票型证券投资基金、鹏华医疗保健股票型证券投资基金、鹏华养老产业股票型证券投资基金、鹏华安盈宝货币市场基金（包括A类份额和C类份额）、鹏华弘盛灵活配置混合型证券投资基金（包括A类份额和C类份额）、鹏华弘利灵活配置混合型证券投资基金（包括A类份额和C类份额）、鹏华弘泽灵活配置混合型证券投资基金（包括A类份额和C类份额）、鹏华改革红利股票型证券投资基金、鹏华弘润灵活配置混合型证券投资基金（包括A类份额和C类份额）、鹏华外延成长灵活配置混合型证券投资基金、鹏华文化传媒娱乐股票型证券投资基金、鹏华医药科技股票型证券投资基金、鹏华弘和灵活配置混合型证券投资基金（包括A类份额和C类份额）、鹏华弘华灵活配置混合型证券投资基金（包括A类份额和C类份额）、鹏华弘实灵活证券投资基金（包括A类份额和C类份额）、鹏华弘信灵活配置混合型证券投资基金（包括A类份额和C类份额）、鹏华弘益灵活配置混合型证券投资基金（包括A类份额和C类份额）、鹏华弘鑫灵活配置混合型证券投资基金（包括A类份额和C类份额）、鹏华添利宝货币市场基金（包括A类份额和B类份额）、鹏华弘泰灵活配置混合型证券投资基金（包括A类份额和C类份额）、鹏华弘安灵活配置混合型证券投资基金（包括A类份额和C类份额）、鹏华丰华债券型证券投资基金、鹏华健康环保混合型证券投资基金、鹏华添利交易型货币市场基金A 类份额、鹏华金鼎灵活配置混合型证券投资基金（包括A类份额和C类份额）、鹏华金城灵活配置混合型证券投资基金、鹏华丰茂债券型证券投资基金、鹏华弘达灵活配置混合型证券投资基金（包括A类份额和C类份额）、鹏华弘嘉灵活配置混合型证券投资基金（包括A类份额和C类份额）、鹏华丰达债券型证券投资基金、鹏华丰恒债券型证券投资基金、鹏华弘惠灵活配置混合型证券投资基金（包括A类份额和C类份额）、鹏华弘康灵活配置混合型证券投资基金（包括A类份额和C类份额）、鹏华弘尚灵活配置混合型证券投资基金（包括A类份额和C类份额）、鹏华丰腾债券型证券投资基金、鹏华丰禄债券型证券投资基金、鹏华丰盈债券型证券投资基金、鹏华丰惠债券型证券投资基金、鹏华安益增强混合型证券投资基金、鹏华丰康债券型证券投资基金、鹏华丰享债券型证券投资基金、鹏华丰玉债券型证券投资基金、鹏华丰源债券型证券投资基金、鹏华丰瑞债券型证券投资基金、鹏华盈余宝货币市场基金、鹏华金元宝货币市场基金、鹏华兴鑫宝货币市场基金（包括A类份额和C类份额）、鹏华策略回报灵活配置混合型证券投资基金、鹏华研究精选灵活配置混合型证券投资基金、鹏华优势企业股票型证券投资基金、鹏华睿投灵活配置混合型证券投资基金（包括A类份额和C类份额）、鹏华量化先锋混合型证券投资基金、鹏华产业精选灵活配置混合型证券投资基金、鹏华创新驱动混合型证券投资基金、鹏华研究驱动混合型证券投资基金、鹏华优选回报灵活配置混合型证券投资基金（包括A类份额和C类份额）、鹏华核心优势混合型证券投资基金、鹏华中债1-3 年国开行债券指数证券投资基金（包含A类份额和C类份额）、鹏华研究智选混合型证券投资基金、鹏华金利债券型证券投资基金、鹏华丰鑫债券型证券投资基金、鹏华丰登债券型证券投资基金、鹏华浮动净值型发起式货币市场基金、鹏华丰庆债券型证券投资基金、鹏华精选成长混合型证券投资基金（包括A类份额和C类份额）、鹏华信用增利债券型证券投资基金（包括A类份额和B类份额）、鹏华消费优选混合型证券投资基金、鹏华丰盛稳固收益债券型证券投资基金、鹏华新兴产业混合型证券投资基金、鹏华价值精选股票型证券投资基金、鹏华宏观灵活配置混合型证券投资基金、鹏华纯债债券型证券投资基金、鹏华产业债债券型证券投资基金、鹏华0-5年利率债债券型发起式证券投资基金、鹏华金享混合型证券投资基金、鹏华稳利短债债券型证券投资基金（包括A类份额和C类份额）、鹏华优选价值股票型证券投资基金、鹏华中证500交易型开放式指数证券投资基金联接基金（包含A类份额和C类份额）、鹏华价值驱动混合型证券投资基金、鹏华价值成长混合型证券投资基金、鹏华安泽混合型证券投资基金（包括A类份额和C类份额）、鹏华鑫享稳健混合型证券投资基金（包括A类份额和C类份额）、鹏华中债3-5年国开行债券指数证券投资基金（包括A类份额和C类份额）、鹏华稳健回报混合型证券投资基金（包括A类份额和C类份额）、鹏华安和混合型证券投资基金（包括A类份额和C类份额）、鹏华丰诚债券型证券投资基金（包括A类份额和C类份额）、鹏华安庆混合型证券投资基金（包括A类份额和C类份额）、鹏华安惠混合型证券投资基金（包括A类份额和C类份额）、鹏华股息精选混合型证券投资基金、鹏华成长价值混合型证券投资基金（包括A类份额和C类份额）、鹏华普利债券型证券投资基金（包括A类份额和C类份额）、鹏华优质企业混合型证券投资基金、鹏华中债1-3年农发行债券指数证券投资基金（包括A类份额和C类份额）、鹏华中债-0-3年AA+优选信用债指数证券投资基金（包括A类份额和C类份额）、鹏华匠心精选混合型证券投资基金（包括A类份额和C类份额）、鹏华新兴成长混合型证券投资基金（包括A类份额和C类份额）、鹏华安睿两年持有期混合型证券投资基金（包括A类份额和C类份额）、鹏华招华一年持有期混合型证券投资基金（包括A类份额和C类份额）、鹏华丰颐债券型证券投资基金、鹏华科技创新混合型证券投资基金、鹏华安润混合型证券投资基金（包括A类份额和C类份额）、鹏华成长智选混合型证券投资基金（包括A类份额和C类份额）、鹏华高质量增长混合型证券投资基金（包括A类份额和C类份额）、鹏华优选成长混合型证券投资基金（包括A类份额和C类份额）、鹏华汇智优选混合型证券投资基金（包括A类份额和C类份额）、鹏华安享一年持有期混合型证券投资基金（包括A类份额和C类份额）、鹏华年年红一年持有期债券型证券投资基金（包括A类份额和C类份额）、鹏华弘裕一年持有期混合型证券投资基金（包括A类份额和C类份额）、鹏华品质优选混合型证券投资基金（包括A类份额和C类份额）、鹏华安悦一年持有期混合型证券投资基金（包括A类份额和C类份额）、鹏华宁华一年持有期混合型证券投资基金（包括A类份额和C类份额）、鹏华创新成长混合型证券投资基金（包括A类份额和C类份额）、鹏华鑫远价值一年持有期混合型证券投资基金（包括A类份额和C类份额）、鹏华民丰盈和6个月持有期混合型证券投资基金（包括A类份额和C类份额）、鹏华致远成长混合型证券投资基金（包括A类份额和C类份额）、鹏华远见回报三年持有期混合型证券投资基金、鹏华稳泰30天滚动持有债券型证券投资基金（包括A类份额和C类份额）、鹏华安裕5个月持有期混合型证券投资基金（包括A类份额和C类份额）、鹏华中证内地低碳经济主题交易型开放式指数证券投资基金联接基金（包括A类份额和C类份额）、鹏华招润一年持有期混合型证券投资基金（包括A类份额和C类份额）、鹏华国证半导体芯片交易型开放式指数证券投资基金联接基金（包括A类份额和C类份额）、鹏华远见成长混合型证券投资基金（包括A类份额和C类份额）、鹏华丰宁债券型证券投资基金、鹏华创新升级混合型证券投资基金（包括A类份额和C类份额）、鹏华领航一年持有期混合型证券投资基金（包括A类份额和C类份额）、鹏华安荣混合型证券投资基金（包括A类份额和C类份额）、鹏华新能源精选混合型证券投资基金（包括A类份额和C类份额）、鹏华安源5个月持有期混合型证券投资基金（包括A类份额和C类份额）、鹏华安颐混合型证券投资基金（包括A类份额和C类份额）、鹏华品质成长混合型证券投资基金（包括A类份额和C类份额）、鹏华稳健鸿利一年持有期混合型证券投资基金（包括A类份额和C类份额）、鹏华产业升级混合型证券投资基金（包括A类份额和C类份额）、鹏华安诚混合型证券投资基金（包括A类份额和C类份额）、鹏华精选群英一年持有期灵活配置混合型管理人中管理人（MOM）证券投资基金、鹏华品质精选混合型证券投资基金（包括A类份额和C类份额）、鹏华稳瑞中短债债券型证券投资基金、鹏华中证500指数增强型证券投资基金（包括A类份额和C类份额）、鹏华稳华90天滚动持有债券型证券投资基金（包括A类份额和C类份额）、鹏华安康一年持有期混合型证券投资基金（包括A类份额和C类份额）、鹏华沃鑫混合型证券投资基金（包括A类份额和C类份额）、鹏华中证细分化工产业主题交易型开放式指数证券投资基金联接基金（包括A类份额和C类份额）、鹏华双季享180天持有期债券型证券投资基金（包括A类份额和C类份额）、鹏华成长领航两年持有期混合型证券投资基金（包括A类份额和C类份额）、鹏华价值远航6个月持有期混合型证券投资基金（包括A类份额和C类份额）、鹏华沪深港新兴成长灵活配置混合型证券投资基金、鹏华浙华一年持有期混合型证券投资基金（包括A类份额和C类份额）、鹏华创新增长一年持有期混合型证券投资基金（包括A类份额和C类份额）、鹏华丰启债券型证券投资基金、鹏华启航混合型证券投资基金、鹏华新能源汽车主题混合型证券投资基金（包括A类份额和C类份额）、鹏华创兴增利债券型证券投资基金（包括A类份额、C类份额和D类份额）、鹏华增华混合型证券投资基金（包括A类份额和C类份额）、鹏华增鑫股票型证券投资基金（包括A类份额和C类份额）、鹏华中证中药交易型开放式指数证券投资基金联接基金（包括A类份额和C类份额）、鹏华畅享债券型证券投资基金（包括A类份额和C类份额）、鹏华稳享一年持有期混合型证券投资基金（包括A类份额和C类份额）、鹏华稳福中短债债券型证券投资基金（包括A类份额、C类份额和E类份额）、鹏华中证1000指数增强型证券投资基金（包括A类份额和C类份额）、鹏华稳健增利债券型证券投资基金（包括A类份额和C类份额）、鹏华稳健恒利债券型证券投资基金（包括A类份额和C类份额）、鹏华丰尊债券型证券投资基金、鹏华国证2000指数增强型证券投资基金（包括A类份额和C类份额）、鹏华睿进一年持有期混合型证券投资基金（包括A类份额和C类份额）之间的基金转换。</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注：我司旗下定期开放产品在开放期间开通转换业务的，也适用于与本基金在开放期间的基金转换。</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2、基金转换份额的计算</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基金转换计算公式如下：</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转出基金赎回手续费＝转出份额×转出净值×转出基金赎回手续费率</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转出金额=转出份额×转出基金当日基金份额净值－转出基金赎回手续费</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补差费（外扣）＝转出金额×转入基金的申购费率/（1＋转入基金申购费率）－转出金额×转出基金申购费率/（1＋转出基金申购费率）</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转换费用＝转出基金赎回手续费＋补差费</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转入份额＝（转出金额－补差费）/转入基金当日基金份额净值</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例如：某基金份额持有人（非养老金客户）持有本基金A类份额10,000份</w:t>
      </w:r>
      <w:r w:rsidR="00120D94">
        <w:rPr>
          <w:rFonts w:ascii="宋体" w:hAnsi="宋体" w:cs="宋体" w:hint="eastAsia"/>
          <w:sz w:val="21"/>
          <w:szCs w:val="21"/>
          <w:lang w:val="en-US" w:bidi="ar-SA"/>
        </w:rPr>
        <w:t>，</w:t>
      </w:r>
      <w:r>
        <w:rPr>
          <w:rFonts w:ascii="宋体" w:hAnsi="宋体" w:cs="宋体"/>
          <w:sz w:val="21"/>
          <w:szCs w:val="21"/>
          <w:lang w:val="en-US" w:eastAsia="zh-CN" w:bidi="ar-SA"/>
        </w:rPr>
        <w:t>满5个月时决定转换为鹏华价值精选股票型证券投资基金，本基金A类份额对应前端申购费率为1.50%，赎回费率为0.5%，假设转换当日转出基金份额净值是1.08元，转入基金的份额净值是1.05元，并且转入基金对应的前端申购费率为1.5%，则可得到的转换份额为：</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转出基金赎回手续费＝10,000×1.08×0.5%＝54元</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转出金额=10,000×1.08-54=10,746元</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补差费（外扣）＝10,746×1.5%/(1+1.5%)-10,746×1.50%/(1+1.50%)=0元</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转换费用＝54+0＝54元</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转入份额＝（10,746－0）/1.05＝10,234.29</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即：某基金份额持有人（非养老金客户）持有本基金A类份额10,000份满5个月时决定转换为鹏华价值精选股票型证券投资基金，假设转换当日转出基金份额净值是1.08元，转入基金的基金份额净值是1.05元，则可得到的转换份额为10,234.29份。</w:t>
      </w:r>
    </w:p>
    <w:p w:rsidR="0043656C" w:rsidRDefault="0043656C">
      <w:pPr>
        <w:spacing w:before="240" w:line="360" w:lineRule="auto"/>
        <w:ind w:firstLine="420"/>
        <w:rPr>
          <w:rFonts w:eastAsia="Times New Roman"/>
          <w:sz w:val="21"/>
          <w:szCs w:val="21"/>
          <w:lang w:val="en-US" w:eastAsia="zh-CN" w:bidi="ar-SA"/>
        </w:rPr>
      </w:pPr>
      <w:r>
        <w:rPr>
          <w:rFonts w:ascii="宋体" w:hAnsi="宋体" w:cs="宋体"/>
          <w:sz w:val="21"/>
          <w:szCs w:val="21"/>
          <w:lang w:val="en-US" w:eastAsia="zh-CN" w:bidi="ar-SA"/>
        </w:rPr>
        <w:t>3、转换业务规则</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（1）基金转换只能在同一销售机构进行，且办理基金转换业务的销售机构须同时具备拟转出基金及拟转入基金的合法授权代理资格，并开通了相应的基金转换业务。</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 xml:space="preserve">（2）基金份额登记机构以收到有效转换申请的当天作为转换申请日（T日）。投资人转换基金成功的，基金份额登记机构在T+1日为投资人办理权益转换的登记手续，投资人通常可自T+2日（含该日）后向业务办理网点查询转换业务的确认情况。 </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（3）基金转换后，转入的基金份额的持有期将自转入的基金份额被确认之日起重新开始计算。</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 xml:space="preserve">（4）本基金单笔转换申请的最低份额为2份，基金份额持有人可将其全部或部分基金份额转换。 </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5）对于转出基金的单个基金账户最低余额，请参见各基金的招募说明书或相关业务公告，若某笔转换将导致投资人在销售机构托管的转出基金份额余额不足最低余额时，该笔转换业务应包括账户内全部基金份额，否则，剩余部分的基金份额将被强制赎回。</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（6）基金转换以申请当日基金份额净值为基础计算。投资人采用“份额转换”的原则提交申请。转出基金份额必须是可用份额，并遵循赎回处理的原则。</w:t>
      </w:r>
    </w:p>
    <w:p w:rsidR="0043656C" w:rsidRDefault="0043656C">
      <w:pPr>
        <w:pStyle w:val="2"/>
        <w:keepLines/>
        <w:widowControl w:val="0"/>
        <w:spacing w:before="156" w:after="156"/>
        <w:jc w:val="both"/>
        <w:rPr>
          <w:rFonts w:ascii="Times New Roman" w:eastAsia="Times New Roman" w:hAnsi="Times New Roman" w:cs="Times New Roman"/>
          <w:lang w:val="en-US" w:eastAsia="zh-CN" w:bidi="ar-SA"/>
        </w:rPr>
      </w:pPr>
      <w:r>
        <w:rPr>
          <w:rFonts w:ascii="宋体" w:hAnsi="宋体" w:cs="宋体"/>
          <w:i w:val="0"/>
          <w:iCs w:val="0"/>
          <w:sz w:val="24"/>
          <w:szCs w:val="24"/>
          <w:lang w:val="en-US" w:eastAsia="zh-CN" w:bidi="ar-SA"/>
        </w:rPr>
        <w:t xml:space="preserve">6 </w:t>
      </w:r>
      <w:bookmarkStart w:id="28" w:name="t_2_6_table"/>
      <w:bookmarkEnd w:id="28"/>
      <w:r>
        <w:rPr>
          <w:rFonts w:ascii="宋体" w:hAnsi="宋体" w:cs="宋体"/>
          <w:i w:val="0"/>
          <w:iCs w:val="0"/>
          <w:sz w:val="24"/>
          <w:szCs w:val="24"/>
          <w:lang w:val="en-US" w:eastAsia="zh-CN" w:bidi="ar-SA"/>
        </w:rPr>
        <w:t>定期定额投资业务</w:t>
      </w:r>
    </w:p>
    <w:p w:rsidR="0043656C" w:rsidRDefault="0043656C">
      <w:pPr>
        <w:spacing w:line="360" w:lineRule="auto"/>
        <w:ind w:firstLine="420"/>
        <w:rPr>
          <w:rFonts w:eastAsia="Times New Roman"/>
          <w:sz w:val="21"/>
          <w:szCs w:val="21"/>
          <w:lang w:val="en-US" w:eastAsia="zh-CN" w:bidi="ar-SA"/>
        </w:rPr>
      </w:pPr>
      <w:bookmarkStart w:id="29" w:name="t_2_6_2825_a1_fm1"/>
      <w:bookmarkEnd w:id="29"/>
      <w:r>
        <w:rPr>
          <w:rFonts w:ascii="宋体" w:hAnsi="宋体" w:cs="宋体"/>
          <w:sz w:val="21"/>
          <w:szCs w:val="21"/>
          <w:lang w:val="en-US" w:eastAsia="zh-CN" w:bidi="ar-SA"/>
        </w:rPr>
        <w:t>“定期定额投资业务”是基金申购业务的一种方式。投资者可以通过销售机构提交申请，约定每期扣款时间、扣款金额及扣款方式，由销售机构于约定扣款日在投资者指定资金账户内自动完成扣款及基金申购业务。</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本基金定期定额投资业务的申购费率及计算公式等同于一般申购业务。对于满足不同条件的定期定额投资业务申请,如定期定额申购期限适逢基金费率优惠期,或通过电子交易平台等特殊渠道递交的定期定额投资业务申请,或基金管理人认为适合的其他条件，基金管理人可对该部分投资者适用不同的申购费率，并及时公告。投资者办理该业务具体费率以销售机构当时有效的业务规定或相关公告为准。</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（1）扣款日期和扣款金额</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 xml:space="preserve">投资者办理定期定额投资业务前，须指定本人的一个人民币结算账户作为扣款账户，并经办理本业务的销售机构认可。投资者须遵循各销售机构有关扣款日期的规定，并与销售机构约定每月固定扣款金额。本基金定期定额投资每期最低扣款金额为人民币1元（含1元），各销售机构可根据需要设置等于或高于1元的最低扣款金额，具体最低扣款金额以销售机构的规定为准。 </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（2）交易确认</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本业务的申购需遵循“未知价”和“金额申购”的原则，申购价格以基金申购申请日的基金份额净值为基准进行计算。基金申购申请日（T日）为本业务每月实际扣款日（如遇非基金开放日则顺延至基金下一开放日），基金份额将在T＋1工作日确认成功后直接计入投资人的基金账户内。基金份额确认查询起始日为T＋2工作日。投资人办理基金定期定额投资业务申购基金后，本基金已开放赎回业务的，投资者可从T＋2工作日起办理基金的赎回。赎回费率按照相关基金合同约定的一般赎回业务的赎回费率执行。</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（3）变更和终止</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投资者办理“定期定额投资业务”的变更和终止，须携带本人有效身份证件及相关凭证到原办理该业务网点申请办理，办理程序遵循各销售机构的规定。</w:t>
      </w:r>
    </w:p>
    <w:p w:rsidR="0043656C" w:rsidRDefault="0043656C">
      <w:pPr>
        <w:pStyle w:val="2"/>
        <w:keepLines/>
        <w:widowControl w:val="0"/>
        <w:spacing w:before="156" w:after="156"/>
        <w:rPr>
          <w:rFonts w:ascii="Times New Roman" w:eastAsia="Times New Roman" w:hAnsi="Times New Roman" w:cs="Times New Roman"/>
          <w:lang w:val="en-US" w:eastAsia="zh-CN" w:bidi="ar-SA"/>
        </w:rPr>
      </w:pPr>
      <w:r>
        <w:rPr>
          <w:rFonts w:ascii="宋体" w:hAnsi="宋体" w:cs="宋体"/>
          <w:i w:val="0"/>
          <w:iCs w:val="0"/>
          <w:sz w:val="24"/>
          <w:szCs w:val="24"/>
          <w:lang w:val="en-US" w:eastAsia="zh-CN" w:bidi="ar-SA"/>
        </w:rPr>
        <w:t>7 基金销售机构</w:t>
      </w:r>
    </w:p>
    <w:p w:rsidR="0043656C" w:rsidRDefault="0043656C">
      <w:pPr>
        <w:widowControl w:val="0"/>
        <w:spacing w:before="156" w:after="156"/>
        <w:jc w:val="both"/>
        <w:rPr>
          <w:rFonts w:eastAsia="Times New Roman"/>
          <w:lang w:val="en-US" w:eastAsia="zh-CN" w:bidi="ar-SA"/>
        </w:rPr>
      </w:pPr>
      <w:r>
        <w:rPr>
          <w:rFonts w:ascii="宋体" w:hAnsi="宋体" w:cs="宋体"/>
          <w:b/>
          <w:bCs/>
          <w:lang w:val="en-US" w:eastAsia="zh-CN" w:bidi="ar-SA"/>
        </w:rPr>
        <w:t>7.1 直销机构</w:t>
      </w:r>
    </w:p>
    <w:p w:rsidR="0043656C" w:rsidRDefault="0043656C">
      <w:pPr>
        <w:spacing w:line="360" w:lineRule="auto"/>
        <w:ind w:firstLine="420"/>
        <w:rPr>
          <w:rFonts w:eastAsia="Times New Roman"/>
          <w:sz w:val="21"/>
          <w:szCs w:val="21"/>
          <w:lang w:val="en-US" w:eastAsia="zh-CN" w:bidi="ar-SA"/>
        </w:rPr>
      </w:pPr>
      <w:bookmarkStart w:id="30" w:name="t_2_7_2833_a1_fm1"/>
      <w:bookmarkEnd w:id="30"/>
      <w:r>
        <w:rPr>
          <w:rFonts w:ascii="宋体" w:hAnsi="宋体" w:cs="宋体"/>
          <w:sz w:val="21"/>
          <w:szCs w:val="21"/>
          <w:lang w:val="en-US" w:eastAsia="zh-CN" w:bidi="ar-SA"/>
        </w:rPr>
        <w:t>鹏华基金管理有限公司</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 xml:space="preserve">办公地址：深圳市福田区福华三路168号深圳国际商会中心43层 </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网址：www.phfund.com.cn</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全国统一客户服务电话：400-6788-533</w:t>
      </w:r>
    </w:p>
    <w:p w:rsidR="0043656C" w:rsidRDefault="0043656C">
      <w:pPr>
        <w:widowControl w:val="0"/>
        <w:spacing w:before="156" w:after="156"/>
        <w:jc w:val="both"/>
        <w:rPr>
          <w:rFonts w:eastAsia="Times New Roman"/>
          <w:lang w:val="en-US" w:eastAsia="zh-CN" w:bidi="ar-SA"/>
        </w:rPr>
      </w:pPr>
      <w:r>
        <w:rPr>
          <w:rFonts w:ascii="宋体" w:hAnsi="宋体" w:cs="宋体"/>
          <w:b/>
          <w:bCs/>
          <w:lang w:val="en-US" w:eastAsia="zh-CN" w:bidi="ar-SA"/>
        </w:rPr>
        <w:t>7.2 其他销售机构</w:t>
      </w:r>
    </w:p>
    <w:p w:rsidR="0043656C" w:rsidRDefault="0043656C">
      <w:pPr>
        <w:spacing w:line="360" w:lineRule="auto"/>
        <w:ind w:firstLine="420"/>
        <w:rPr>
          <w:rFonts w:ascii="宋体" w:hAnsi="宋体" w:cs="宋体"/>
          <w:sz w:val="21"/>
          <w:szCs w:val="21"/>
          <w:lang w:val="en-US" w:eastAsia="zh-CN" w:bidi="ar-SA"/>
        </w:rPr>
      </w:pPr>
      <w:r>
        <w:rPr>
          <w:rFonts w:ascii="宋体" w:hAnsi="宋体" w:cs="宋体"/>
          <w:sz w:val="21"/>
          <w:szCs w:val="21"/>
          <w:lang w:val="en-US" w:eastAsia="zh-CN" w:bidi="ar-SA"/>
        </w:rPr>
        <w:t>1、银行销售机构:东莞银行、福建海峡银行、宁波银行、平安银行、微众银行、招商银行。</w:t>
      </w:r>
    </w:p>
    <w:p w:rsidR="0043656C" w:rsidRDefault="0043656C">
      <w:pPr>
        <w:spacing w:line="360" w:lineRule="auto"/>
        <w:ind w:firstLine="420"/>
        <w:rPr>
          <w:rFonts w:ascii="宋体" w:hAnsi="宋体" w:cs="宋体"/>
          <w:sz w:val="21"/>
          <w:szCs w:val="21"/>
          <w:lang w:val="en-US" w:eastAsia="zh-CN" w:bidi="ar-SA"/>
        </w:rPr>
      </w:pPr>
      <w:r>
        <w:rPr>
          <w:rFonts w:ascii="宋体" w:hAnsi="宋体" w:cs="宋体"/>
          <w:sz w:val="21"/>
          <w:szCs w:val="21"/>
          <w:lang w:val="en-US" w:eastAsia="zh-CN" w:bidi="ar-SA"/>
        </w:rPr>
        <w:t>2、证券（期货）销售机构:安信证券、长城证券、长江证券、诚通证券、大同证券、东北证券、东海证券、东吴证券、东莞证券、光大证券、广发证券、国盛证券、国泰君安、国新证券、国元证券、海通证券、恒泰证券、华林证券、华泰证券、华西证券、华鑫证券、民生证券、南京证券、万联证券、五矿证券、西部证券、西南证券、湘财证券、银河证券、粤开证券、招商证券、中金财富、中泰证券、中信建投、中信期货、中信证券、中信证券（华南）、中信证券（山东）。</w:t>
      </w:r>
    </w:p>
    <w:p w:rsidR="0043656C" w:rsidRDefault="0043656C">
      <w:pPr>
        <w:spacing w:line="360" w:lineRule="auto"/>
        <w:ind w:firstLine="420"/>
        <w:rPr>
          <w:rFonts w:ascii="宋体" w:hAnsi="宋体" w:cs="宋体"/>
          <w:sz w:val="21"/>
          <w:szCs w:val="21"/>
          <w:lang w:val="en-US" w:eastAsia="zh-CN" w:bidi="ar-SA"/>
        </w:rPr>
      </w:pPr>
      <w:r>
        <w:rPr>
          <w:rFonts w:ascii="宋体" w:hAnsi="宋体" w:cs="宋体"/>
          <w:sz w:val="21"/>
          <w:szCs w:val="21"/>
          <w:lang w:val="en-US" w:eastAsia="zh-CN" w:bidi="ar-SA"/>
        </w:rPr>
        <w:t>3、第三方销售机构:北京肯特瑞、度小满、海银基金、蚂蚁基金、诺亚正行、上海好买、上海天天、腾安基金、雪球基金、盈米财富、浙江同花顺、中植基金。</w:t>
      </w:r>
    </w:p>
    <w:p w:rsidR="0043656C" w:rsidRDefault="0043656C">
      <w:pPr>
        <w:pStyle w:val="2"/>
        <w:keepLines/>
        <w:widowControl w:val="0"/>
        <w:spacing w:after="156"/>
        <w:rPr>
          <w:rFonts w:ascii="Times New Roman" w:eastAsia="Times New Roman" w:hAnsi="Times New Roman" w:cs="Times New Roman"/>
          <w:lang w:val="en-US" w:eastAsia="zh-CN" w:bidi="ar-SA"/>
        </w:rPr>
      </w:pPr>
      <w:r>
        <w:rPr>
          <w:rFonts w:ascii="宋体" w:hAnsi="宋体" w:cs="宋体"/>
          <w:i w:val="0"/>
          <w:iCs w:val="0"/>
          <w:sz w:val="24"/>
          <w:szCs w:val="24"/>
          <w:lang w:val="en-US" w:eastAsia="zh-CN" w:bidi="ar-SA"/>
        </w:rPr>
        <w:t>8 基金份额净值公告/基金收益公告的披露安排</w:t>
      </w:r>
    </w:p>
    <w:p w:rsidR="0043656C" w:rsidRDefault="0043656C">
      <w:pPr>
        <w:spacing w:line="360" w:lineRule="auto"/>
        <w:ind w:firstLine="420"/>
        <w:rPr>
          <w:rFonts w:eastAsia="Times New Roman"/>
          <w:sz w:val="21"/>
          <w:szCs w:val="21"/>
          <w:lang w:val="en-US" w:eastAsia="zh-CN" w:bidi="ar-SA"/>
        </w:rPr>
      </w:pPr>
      <w:bookmarkStart w:id="31" w:name="t_2_8_2756_a1_fm1"/>
      <w:bookmarkEnd w:id="31"/>
      <w:r>
        <w:rPr>
          <w:rFonts w:ascii="宋体" w:hAnsi="宋体" w:cs="宋体"/>
          <w:sz w:val="21"/>
          <w:szCs w:val="21"/>
          <w:lang w:val="en-US" w:eastAsia="zh-CN" w:bidi="ar-SA"/>
        </w:rPr>
        <w:t>在开始办理基金份额申购或者赎回后，本基金在不晚于每个开放日的次日，通过规定网站、基金销售机构网站或者营业网点，披露开放日的基金份额净值和基金份额累计净值。</w:t>
      </w:r>
    </w:p>
    <w:p w:rsidR="0043656C" w:rsidRDefault="0043656C">
      <w:pPr>
        <w:pStyle w:val="2"/>
        <w:keepLines/>
        <w:widowControl w:val="0"/>
        <w:spacing w:before="156" w:after="156"/>
        <w:rPr>
          <w:rFonts w:ascii="Times New Roman" w:eastAsia="Times New Roman" w:hAnsi="Times New Roman" w:cs="Times New Roman"/>
          <w:lang w:val="en-US" w:eastAsia="zh-CN" w:bidi="ar-SA"/>
        </w:rPr>
      </w:pPr>
      <w:r>
        <w:rPr>
          <w:rFonts w:ascii="宋体" w:hAnsi="宋体" w:cs="宋体"/>
          <w:i w:val="0"/>
          <w:iCs w:val="0"/>
          <w:sz w:val="24"/>
          <w:szCs w:val="24"/>
          <w:lang w:val="en-US" w:eastAsia="zh-CN" w:bidi="ar-SA"/>
        </w:rPr>
        <w:t>9 其他需要提示的事项</w:t>
      </w:r>
    </w:p>
    <w:p w:rsidR="0043656C" w:rsidRDefault="0043656C">
      <w:pPr>
        <w:spacing w:line="360" w:lineRule="auto"/>
        <w:ind w:firstLine="420"/>
        <w:rPr>
          <w:rFonts w:eastAsia="Times New Roman"/>
          <w:sz w:val="21"/>
          <w:szCs w:val="21"/>
          <w:lang w:val="en-US" w:eastAsia="zh-CN" w:bidi="ar-SA"/>
        </w:rPr>
      </w:pPr>
      <w:bookmarkStart w:id="32" w:name="t_2_9_2646_a1_fm1"/>
      <w:bookmarkEnd w:id="32"/>
      <w:r>
        <w:rPr>
          <w:rFonts w:ascii="宋体" w:hAnsi="宋体" w:cs="宋体"/>
          <w:sz w:val="21"/>
          <w:szCs w:val="21"/>
          <w:lang w:val="en-US" w:eastAsia="zh-CN" w:bidi="ar-SA"/>
        </w:rPr>
        <w:t>1、如发生不可抗力或其他情形致使基金无法按时开放或需依据基金合同暂停申购与赎回业务的，基金管理人可以合理调整申购或赎回业务的办理期间并予以公告。</w:t>
      </w: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2、本公告仅对本基金开放申购、赎回、转换和定期定额投资业务的有关事项予以说明。投资人欲了解本基金相关业务规则的详细情况，请阅读刊登在中国证监会规定信息披露媒介上的《鹏华碳中和主题混合型证券投资基金招募说明书》。</w:t>
      </w:r>
    </w:p>
    <w:p w:rsidR="0043656C" w:rsidRDefault="0043656C">
      <w:pPr>
        <w:spacing w:line="360" w:lineRule="auto"/>
        <w:ind w:firstLine="420"/>
        <w:rPr>
          <w:rFonts w:eastAsia="Times New Roman"/>
          <w:sz w:val="21"/>
          <w:szCs w:val="21"/>
          <w:lang w:val="en-US" w:eastAsia="zh-CN" w:bidi="ar-SA"/>
        </w:rPr>
      </w:pPr>
    </w:p>
    <w:p w:rsidR="0043656C" w:rsidRDefault="0043656C">
      <w:pPr>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风险提示：本基金管理人承诺以诚实信用、勤勉尽责的原则管理和运用基金资产，但不保证基金一定盈利，也不保证最低收益。定期定额投资是引导投资人进行长期投资、平均投资成本的一种简单易行的投资方式。但是定期定额投资并不能规避基金投资所固有的风险，不能保证投资人获得收益，也不是替代储蓄的等效理财方式。请投资人投资本基金前认真阅读本基金的基金合同、招募说明书和基金产品资料概要，并根据自身风险承受能力选择适合自己的基金产品。敬请投资人注意投资风险。</w:t>
      </w:r>
    </w:p>
    <w:p w:rsidR="0043656C" w:rsidRDefault="0043656C">
      <w:pPr>
        <w:widowControl w:val="0"/>
        <w:spacing w:line="360" w:lineRule="auto"/>
        <w:rPr>
          <w:rFonts w:eastAsia="Times New Roman"/>
          <w:sz w:val="21"/>
          <w:szCs w:val="21"/>
          <w:lang w:val="en-US" w:eastAsia="zh-CN" w:bidi="ar-SA"/>
        </w:rPr>
      </w:pPr>
    </w:p>
    <w:p w:rsidR="0043656C" w:rsidRDefault="0043656C">
      <w:pPr>
        <w:widowControl w:val="0"/>
        <w:spacing w:line="360" w:lineRule="auto"/>
        <w:ind w:firstLine="420"/>
        <w:jc w:val="right"/>
        <w:rPr>
          <w:rFonts w:eastAsia="Times New Roman"/>
          <w:sz w:val="21"/>
          <w:szCs w:val="21"/>
          <w:lang w:val="en-US" w:eastAsia="zh-CN" w:bidi="ar-SA"/>
        </w:rPr>
      </w:pPr>
      <w:r>
        <w:rPr>
          <w:rFonts w:ascii="宋体" w:hAnsi="宋体" w:cs="宋体"/>
          <w:sz w:val="21"/>
          <w:szCs w:val="21"/>
          <w:lang w:val="en-US" w:eastAsia="zh-CN" w:bidi="ar-SA"/>
        </w:rPr>
        <w:t>鹏华基金管理有限公司</w:t>
      </w:r>
    </w:p>
    <w:p w:rsidR="0043656C" w:rsidRDefault="0043656C">
      <w:pPr>
        <w:widowControl w:val="0"/>
        <w:spacing w:line="360" w:lineRule="auto"/>
        <w:ind w:firstLine="420"/>
        <w:jc w:val="right"/>
        <w:rPr>
          <w:rFonts w:eastAsia="Times New Roman"/>
          <w:sz w:val="21"/>
          <w:szCs w:val="21"/>
          <w:lang w:val="en-US" w:eastAsia="zh-CN" w:bidi="ar-SA"/>
        </w:rPr>
      </w:pPr>
      <w:r>
        <w:rPr>
          <w:rFonts w:ascii="宋体" w:hAnsi="宋体" w:cs="宋体"/>
          <w:sz w:val="21"/>
          <w:szCs w:val="21"/>
          <w:lang w:val="en-US" w:eastAsia="zh-CN" w:bidi="ar-SA"/>
        </w:rPr>
        <w:t>2023年06月03日</w:t>
      </w:r>
    </w:p>
    <w:p w:rsidR="00A77B3E" w:rsidRDefault="00A77B3E"/>
    <w:sectPr w:rsidR="00A77B3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77C" w:rsidRDefault="0011777C">
      <w:r>
        <w:separator/>
      </w:r>
    </w:p>
  </w:endnote>
  <w:endnote w:type="continuationSeparator" w:id="0">
    <w:p w:rsidR="0011777C" w:rsidRDefault="001177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6C" w:rsidRDefault="0043656C">
    <w:pPr>
      <w:jc w:val="center"/>
    </w:pPr>
    <w:r>
      <w:rPr>
        <w:rFonts w:ascii="宋体" w:hAnsi="宋体" w:cs="宋体"/>
        <w:sz w:val="18"/>
      </w:rPr>
      <w:fldChar w:fldCharType="begin"/>
    </w:r>
    <w:r>
      <w:rPr>
        <w:rFonts w:ascii="宋体" w:hAnsi="宋体" w:cs="宋体"/>
        <w:sz w:val="18"/>
      </w:rPr>
      <w:instrText xml:space="preserve"> PAGE </w:instrText>
    </w:r>
    <w:r>
      <w:rPr>
        <w:rFonts w:ascii="宋体" w:hAnsi="宋体" w:cs="宋体"/>
        <w:sz w:val="18"/>
      </w:rPr>
      <w:fldChar w:fldCharType="separate"/>
    </w:r>
    <w:r w:rsidR="00A6214B">
      <w:rPr>
        <w:rFonts w:ascii="宋体" w:hAnsi="宋体" w:cs="宋体"/>
        <w:noProof/>
        <w:sz w:val="18"/>
      </w:rPr>
      <w:t>1</w:t>
    </w:r>
    <w:r>
      <w:rPr>
        <w:rFonts w:ascii="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77C" w:rsidRDefault="0011777C">
      <w:r>
        <w:separator/>
      </w:r>
    </w:p>
  </w:footnote>
  <w:footnote w:type="continuationSeparator" w:id="0">
    <w:p w:rsidR="0011777C" w:rsidRDefault="001177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1777C"/>
    <w:rsid w:val="00120D94"/>
    <w:rsid w:val="0043656C"/>
    <w:rsid w:val="00A6214B"/>
    <w:rsid w:val="00A77B3E"/>
    <w:rsid w:val="00B11709"/>
    <w:rsid w:val="00CA2A55"/>
    <w:rsid w:val="00CE11CA"/>
    <w:rsid w:val="00CF1FF7"/>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MsoNormal0">
    <w:name w:val="MsoNormal"/>
    <w:basedOn w:val="a"/>
  </w:style>
  <w:style w:type="table" w:customStyle="1" w:styleId="Table">
    <w:name w:val="Table"/>
    <w:basedOn w:val="a1"/>
    <w:tblPr>
      <w:tblInd w:w="0" w:type="dxa"/>
      <w:tblCellMar>
        <w:top w:w="0" w:type="dxa"/>
        <w:left w:w="108" w:type="dxa"/>
        <w:bottom w:w="0" w:type="dxa"/>
        <w:right w:w="108" w:type="dxa"/>
      </w:tblCellMar>
    </w:tblPr>
  </w:style>
  <w:style w:type="paragraph" w:styleId="1">
    <w:name w:val="toc 1"/>
    <w:basedOn w:val="a"/>
    <w:next w:val="a"/>
    <w:autoRedefine/>
    <w:rsid w:val="00805BCE"/>
    <w:pPr>
      <w:spacing w:line="360" w:lineRule="auto"/>
    </w:pPr>
    <w:rPr>
      <w:rFonts w:ascii="宋体" w:hAnsi="宋体" w:cs="宋体"/>
      <w:b/>
      <w:sz w:val="21"/>
    </w:rPr>
  </w:style>
  <w:style w:type="paragraph" w:styleId="a3">
    <w:name w:val="header"/>
    <w:basedOn w:val="a"/>
    <w:link w:val="Char"/>
    <w:rsid w:val="00CF1F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CF1FF7"/>
    <w:rPr>
      <w:sz w:val="18"/>
      <w:szCs w:val="18"/>
    </w:rPr>
  </w:style>
  <w:style w:type="paragraph" w:styleId="a4">
    <w:name w:val="footer"/>
    <w:basedOn w:val="a"/>
    <w:link w:val="Char0"/>
    <w:rsid w:val="00CF1FF7"/>
    <w:pPr>
      <w:tabs>
        <w:tab w:val="center" w:pos="4153"/>
        <w:tab w:val="right" w:pos="8306"/>
      </w:tabs>
      <w:snapToGrid w:val="0"/>
    </w:pPr>
    <w:rPr>
      <w:sz w:val="18"/>
      <w:szCs w:val="18"/>
    </w:rPr>
  </w:style>
  <w:style w:type="character" w:customStyle="1" w:styleId="Char0">
    <w:name w:val="页脚 Char"/>
    <w:link w:val="a4"/>
    <w:rsid w:val="00CF1FF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1432</Words>
  <Characters>8168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cp:lastModifiedBy>ZHONGM</cp:lastModifiedBy>
  <cp:revision>2</cp:revision>
  <cp:lastPrinted>1601-01-01T00:00:00Z</cp:lastPrinted>
  <dcterms:created xsi:type="dcterms:W3CDTF">2023-06-02T16:02:00Z</dcterms:created>
  <dcterms:modified xsi:type="dcterms:W3CDTF">2023-06-02T16:02:00Z</dcterms:modified>
</cp:coreProperties>
</file>