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3722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广州新莱福新材料股份有限公司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bookmarkStart w:id="0" w:name="_GoBack"/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新莱福</w:t>
      </w:r>
      <w:bookmarkEnd w:id="0"/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C767FE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新莱福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372233">
        <w:rPr>
          <w:rFonts w:ascii="Times New Roman" w:eastAsiaTheme="minorEastAsia" w:hAnsiTheme="minorEastAsia" w:cs="Times New Roman" w:hint="eastAsia"/>
          <w:color w:val="auto"/>
          <w:kern w:val="2"/>
        </w:rPr>
        <w:t>保荐</w:t>
      </w:r>
      <w:r w:rsidR="00E07494">
        <w:rPr>
          <w:rFonts w:ascii="Times New Roman" w:eastAsiaTheme="minorEastAsia" w:hAnsiTheme="minorEastAsia" w:cs="Times New Roman" w:hint="eastAsia"/>
          <w:color w:val="auto"/>
          <w:kern w:val="2"/>
        </w:rPr>
        <w:t>人</w:t>
      </w:r>
      <w:r w:rsidR="00372233">
        <w:rPr>
          <w:rFonts w:ascii="Times New Roman" w:eastAsiaTheme="minorEastAsia" w:hAnsiTheme="minorEastAsia" w:cs="Times New Roman" w:hint="eastAsia"/>
          <w:color w:val="auto"/>
          <w:kern w:val="2"/>
        </w:rPr>
        <w:t>（</w:t>
      </w:r>
      <w:r w:rsidR="0094432B" w:rsidRPr="0094432B">
        <w:rPr>
          <w:rFonts w:ascii="Times New Roman" w:eastAsiaTheme="minorEastAsia" w:hAnsiTheme="minorEastAsia" w:cs="Times New Roman" w:hint="eastAsia"/>
          <w:color w:val="auto"/>
          <w:kern w:val="2"/>
        </w:rPr>
        <w:t>主承销商）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新莱福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E07494" w:rsidRPr="00E07494">
        <w:rPr>
          <w:rFonts w:ascii="Times New Roman" w:eastAsiaTheme="minorEastAsia" w:hAnsiTheme="minorEastAsia" w:cs="Times New Roman"/>
          <w:color w:val="auto"/>
          <w:kern w:val="2"/>
        </w:rPr>
        <w:t>39.06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发行人和保荐人（主承销商）根据初步询价结果，综合考虑发行人所处行业、同行业上市公司估值水平、市场情况、募集资金需求及承销风险等因素协商确定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E07494" w:rsidRPr="00E07494">
        <w:rPr>
          <w:rFonts w:ascii="Times New Roman" w:eastAsiaTheme="minorEastAsia" w:hAnsiTheme="minorEastAsia" w:cs="Times New Roman" w:hint="eastAsia"/>
          <w:color w:val="auto"/>
          <w:kern w:val="2"/>
        </w:rPr>
        <w:t>新莱福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C767FE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837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3"/>
        <w:gridCol w:w="1134"/>
        <w:gridCol w:w="1134"/>
        <w:gridCol w:w="1134"/>
      </w:tblGrid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获配证券</w:t>
            </w:r>
          </w:p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获配数量</w:t>
            </w:r>
          </w:p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（股）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获配金额</w:t>
            </w:r>
          </w:p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（元）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1000</w:t>
            </w:r>
            <w:r w:rsidRPr="00E07494">
              <w:rPr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华夏沪深</w:t>
            </w:r>
            <w:r w:rsidRPr="00E07494">
              <w:rPr>
                <w:szCs w:val="21"/>
              </w:rPr>
              <w:t>300</w:t>
            </w:r>
            <w:r w:rsidRPr="00E07494">
              <w:rPr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华夏中证机器人交易型开放式指数证券投资基金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1,708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66,714.48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华夏科技前沿</w:t>
            </w:r>
            <w:r w:rsidRPr="00E07494">
              <w:rPr>
                <w:szCs w:val="21"/>
              </w:rPr>
              <w:t>6</w:t>
            </w:r>
            <w:r w:rsidRPr="00E07494">
              <w:rPr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华夏鸿阳</w:t>
            </w:r>
            <w:r w:rsidRPr="00E07494">
              <w:rPr>
                <w:szCs w:val="21"/>
              </w:rPr>
              <w:t>6</w:t>
            </w:r>
            <w:r w:rsidRPr="00E07494">
              <w:rPr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华夏核心科技</w:t>
            </w:r>
            <w:r w:rsidRPr="00E07494">
              <w:rPr>
                <w:szCs w:val="21"/>
              </w:rPr>
              <w:t>6</w:t>
            </w:r>
            <w:r w:rsidRPr="00E07494">
              <w:rPr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华夏中证农业主题交易型开放式指数证券投资基金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45,583.02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500</w:t>
            </w:r>
            <w:r w:rsidRPr="00E07494">
              <w:rPr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华夏永利一年持有期混合型证券投资基金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lastRenderedPageBreak/>
              <w:t>华夏周期驱动混合型发起式证券投资基金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58,902.48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58,902.48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华夏智胜先锋股票型证券投资基金（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华夏沪深</w:t>
            </w:r>
            <w:r w:rsidRPr="00E07494">
              <w:rPr>
                <w:szCs w:val="21"/>
              </w:rPr>
              <w:t>300</w:t>
            </w:r>
            <w:r w:rsidRPr="00E07494">
              <w:rPr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</w:t>
            </w:r>
            <w:r w:rsidRPr="00E07494">
              <w:rPr>
                <w:szCs w:val="21"/>
              </w:rPr>
              <w:t>MSCI</w:t>
            </w:r>
            <w:r w:rsidRPr="00E07494">
              <w:rPr>
                <w:szCs w:val="21"/>
              </w:rPr>
              <w:t>中国</w:t>
            </w:r>
            <w:r w:rsidRPr="00E07494">
              <w:rPr>
                <w:szCs w:val="21"/>
              </w:rPr>
              <w:t>A</w:t>
            </w:r>
            <w:r w:rsidRPr="00E07494">
              <w:rPr>
                <w:szCs w:val="21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1000</w:t>
            </w:r>
            <w:r w:rsidRPr="00E07494">
              <w:rPr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华夏中证生物科技主题交易型开放式指数证券投资基金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711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27,771.66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华夏核心价值混合型证券投资基金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58,902.48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华夏中证新材料主题交易型开放式指数证券投资基金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711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27,771.66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华夏国证消费电子主题交易型开放式指数证券投资基金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1,224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47,809.44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华夏安阳</w:t>
            </w:r>
            <w:r w:rsidRPr="00E07494">
              <w:rPr>
                <w:szCs w:val="21"/>
              </w:rPr>
              <w:t>6</w:t>
            </w:r>
            <w:r w:rsidRPr="00E07494">
              <w:rPr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华夏移动互联灵活配置混合型证券投资基金（</w:t>
            </w:r>
            <w:r w:rsidRPr="00E07494">
              <w:rPr>
                <w:szCs w:val="21"/>
              </w:rPr>
              <w:t>QDII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57,808.80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华夏新锦顺灵活配置混合型证券投资基金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华夏创新医药龙头混合型证券投资基金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57,808.80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华夏中证物联网主题交易型开放式指数证券投资基金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25,545.24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华夏创业板两年定期开放混合型证券投资基金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lastRenderedPageBreak/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5G</w:t>
            </w:r>
            <w:r w:rsidRPr="00E07494">
              <w:rPr>
                <w:szCs w:val="21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华夏中证科创创业</w:t>
            </w:r>
            <w:r w:rsidRPr="00E07494">
              <w:rPr>
                <w:szCs w:val="21"/>
              </w:rPr>
              <w:t>50</w:t>
            </w:r>
            <w:r w:rsidRPr="00E07494">
              <w:rPr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500</w:t>
            </w:r>
            <w:r w:rsidRPr="00E07494">
              <w:rPr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华夏睿磐泰茂混合型证券投资基金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华夏睿磐泰兴混合型证券投资基金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华夏研究精选股票型证券投资基金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1,736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67,808.16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华夏中证浙江国资创新发展交易型开放式指数证券投资基金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57,808.80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华夏优势精选股票型证券投资基金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33,357.24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华夏养老目标日期</w:t>
            </w:r>
            <w:r w:rsidRPr="00E07494">
              <w:rPr>
                <w:szCs w:val="21"/>
              </w:rPr>
              <w:t>2040</w:t>
            </w:r>
            <w:r w:rsidRPr="00E07494">
              <w:rPr>
                <w:szCs w:val="21"/>
              </w:rPr>
              <w:t>三年持有期混合型基金中基金（</w:t>
            </w:r>
            <w:r w:rsidRPr="00E07494">
              <w:rPr>
                <w:szCs w:val="21"/>
              </w:rPr>
              <w:t>FOF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</w:t>
            </w:r>
            <w:r w:rsidRPr="00E07494">
              <w:rPr>
                <w:szCs w:val="21"/>
              </w:rPr>
              <w:t>800</w:t>
            </w:r>
            <w:r w:rsidRPr="00E07494">
              <w:rPr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57,808.80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1,736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67,808.16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华夏中证银行交易型开放式指数证券投资基金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华夏兴融灵活配置混合型证券投资基金（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华夏国证疫苗与生物科技指数发起式证券投资基金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33,357.24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华夏数字经济龙头混合型发起式证券投资基金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华夏融盛可持续一年持有期混合型证券投资基金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1,309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51,129.54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华夏兴源稳健一年持有期混合型证券投资基金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华夏互联网龙头混合型证券投资基金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华夏磐泰混合型证券投资基金（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中小企业</w:t>
            </w:r>
            <w:r w:rsidRPr="00E07494">
              <w:rPr>
                <w:szCs w:val="21"/>
              </w:rPr>
              <w:t>100</w:t>
            </w:r>
            <w:r w:rsidRPr="00E07494">
              <w:rPr>
                <w:szCs w:val="21"/>
              </w:rPr>
              <w:t>交易型开放式指数基金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华夏科技龙头两年持有期混合型证券投资基金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华夏成长精选</w:t>
            </w:r>
            <w:r w:rsidRPr="00E07494">
              <w:rPr>
                <w:szCs w:val="21"/>
              </w:rPr>
              <w:t>6</w:t>
            </w:r>
            <w:r w:rsidRPr="00E07494">
              <w:rPr>
                <w:szCs w:val="21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华夏创新未来混合型证券投资基金（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华夏蓝筹核心混合型证券投资基金（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华夏行业精选混合型证券投资基金（</w:t>
            </w:r>
            <w:r w:rsidRPr="00E07494">
              <w:rPr>
                <w:szCs w:val="21"/>
              </w:rPr>
              <w:t>LOF</w:t>
            </w:r>
            <w:r w:rsidRPr="00E07494">
              <w:rPr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  <w:tr w:rsidR="00E07494" w:rsidRPr="00E07494" w:rsidTr="00736EC4">
        <w:trPr>
          <w:trHeight w:val="20"/>
        </w:trPr>
        <w:tc>
          <w:tcPr>
            <w:tcW w:w="4973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rPr>
                <w:szCs w:val="21"/>
              </w:rPr>
            </w:pPr>
            <w:r w:rsidRPr="00E07494">
              <w:rPr>
                <w:szCs w:val="21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7494" w:rsidRPr="00E07494" w:rsidRDefault="00E07494" w:rsidP="00E07494">
            <w:pPr>
              <w:jc w:val="center"/>
              <w:rPr>
                <w:szCs w:val="21"/>
              </w:rPr>
            </w:pPr>
            <w:r w:rsidRPr="00E07494">
              <w:rPr>
                <w:szCs w:val="21"/>
              </w:rPr>
              <w:t>新莱福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2,277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7494" w:rsidRPr="00E07494" w:rsidRDefault="00E07494" w:rsidP="00E07494">
            <w:pPr>
              <w:jc w:val="right"/>
              <w:rPr>
                <w:szCs w:val="21"/>
              </w:rPr>
            </w:pPr>
            <w:r w:rsidRPr="00E07494">
              <w:rPr>
                <w:szCs w:val="21"/>
              </w:rPr>
              <w:t>88,939.62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372233">
        <w:rPr>
          <w:rFonts w:ascii="宋体" w:hAnsi="宋体" w:hint="eastAsia"/>
          <w:sz w:val="24"/>
        </w:rPr>
        <w:t>三</w:t>
      </w:r>
      <w:r w:rsidR="002C2308" w:rsidRPr="000D592A">
        <w:rPr>
          <w:rFonts w:ascii="宋体" w:hAnsi="宋体"/>
          <w:sz w:val="24"/>
        </w:rPr>
        <w:t>年</w:t>
      </w:r>
      <w:r w:rsidR="00E07494">
        <w:rPr>
          <w:rFonts w:ascii="宋体" w:hAnsi="宋体" w:hint="eastAsia"/>
          <w:sz w:val="24"/>
        </w:rPr>
        <w:t>五</w:t>
      </w:r>
      <w:r w:rsidR="002C2308" w:rsidRPr="000D592A">
        <w:rPr>
          <w:rFonts w:hAnsi="宋体"/>
          <w:sz w:val="24"/>
        </w:rPr>
        <w:t>月</w:t>
      </w:r>
      <w:r w:rsidR="00C71536">
        <w:rPr>
          <w:rFonts w:hAnsi="宋体" w:hint="eastAsia"/>
          <w:sz w:val="24"/>
        </w:rPr>
        <w:t>三</w:t>
      </w:r>
      <w:r w:rsidR="00E07494">
        <w:rPr>
          <w:rFonts w:hAnsi="宋体" w:hint="eastAsia"/>
          <w:sz w:val="24"/>
        </w:rPr>
        <w:t>十一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B9" w:rsidRDefault="004304B9">
      <w:r>
        <w:separator/>
      </w:r>
    </w:p>
  </w:endnote>
  <w:endnote w:type="continuationSeparator" w:id="0">
    <w:p w:rsidR="004304B9" w:rsidRDefault="0043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2830D7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2830D7" w:rsidP="000933A1">
    <w:pPr>
      <w:pStyle w:val="a4"/>
      <w:jc w:val="center"/>
    </w:pPr>
    <w:r w:rsidRPr="002830D7">
      <w:fldChar w:fldCharType="begin"/>
    </w:r>
    <w:r w:rsidR="00E955E5">
      <w:instrText xml:space="preserve"> PAGE   \* MERGEFORMAT </w:instrText>
    </w:r>
    <w:r w:rsidRPr="002830D7">
      <w:fldChar w:fldCharType="separate"/>
    </w:r>
    <w:r w:rsidR="004F5E16" w:rsidRPr="004F5E16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B9" w:rsidRDefault="004304B9">
      <w:r>
        <w:separator/>
      </w:r>
    </w:p>
  </w:footnote>
  <w:footnote w:type="continuationSeparator" w:id="0">
    <w:p w:rsidR="004304B9" w:rsidRDefault="0043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30D7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5E16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925"/>
    <w:rsid w:val="005437C6"/>
    <w:rsid w:val="005440EE"/>
    <w:rsid w:val="00544E7F"/>
    <w:rsid w:val="005458A8"/>
    <w:rsid w:val="00545E18"/>
    <w:rsid w:val="005463AF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6EC4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2A8"/>
    <w:rsid w:val="007E781F"/>
    <w:rsid w:val="007F035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65CA"/>
    <w:rsid w:val="00A677C6"/>
    <w:rsid w:val="00A714F2"/>
    <w:rsid w:val="00A72139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FCD0-27D4-4556-A62E-38B59525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4</DocSecurity>
  <Lines>35</Lines>
  <Paragraphs>9</Paragraphs>
  <ScaleCrop>false</ScaleCrop>
  <Company>CHINAAMC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2023-05-30T16:01:00Z</dcterms:created>
  <dcterms:modified xsi:type="dcterms:W3CDTF">2023-05-30T16:01:00Z</dcterms:modified>
</cp:coreProperties>
</file>