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07" w:rsidRDefault="00266307" w:rsidP="00266307">
      <w:pPr>
        <w:adjustRightInd w:val="0"/>
        <w:snapToGrid w:val="0"/>
        <w:spacing w:line="360" w:lineRule="auto"/>
        <w:ind w:firstLine="480"/>
        <w:jc w:val="center"/>
        <w:rPr>
          <w:rStyle w:val="da"/>
          <w:rFonts w:ascii="宋体" w:hAnsi="宋体" w:cs="Arial"/>
          <w:b/>
        </w:rPr>
      </w:pPr>
      <w:r w:rsidRPr="0010458D">
        <w:rPr>
          <w:rFonts w:ascii="宋体" w:hAnsi="宋体" w:hint="eastAsia"/>
          <w:b/>
          <w:bCs/>
          <w:sz w:val="24"/>
        </w:rPr>
        <w:t>嘉实基金管理有限公司关于修订旗下部分基金托管协议的公告</w:t>
      </w:r>
    </w:p>
    <w:p w:rsidR="00DC5EF2" w:rsidRDefault="00DC5EF2" w:rsidP="00266307">
      <w:pPr>
        <w:adjustRightInd w:val="0"/>
        <w:snapToGrid w:val="0"/>
        <w:spacing w:line="360" w:lineRule="auto"/>
        <w:ind w:firstLineChars="200" w:firstLine="420"/>
        <w:rPr>
          <w:rFonts w:ascii="宋体" w:hAnsi="宋体"/>
          <w:kern w:val="0"/>
        </w:rPr>
      </w:pPr>
    </w:p>
    <w:p w:rsidR="00266307" w:rsidRPr="002B671E" w:rsidRDefault="00DC5EF2" w:rsidP="00266307">
      <w:pPr>
        <w:adjustRightInd w:val="0"/>
        <w:snapToGrid w:val="0"/>
        <w:spacing w:line="360" w:lineRule="auto"/>
        <w:ind w:firstLineChars="200" w:firstLine="420"/>
        <w:rPr>
          <w:rFonts w:ascii="Arial" w:hAnsi="Arial" w:cs="Arial"/>
          <w:kern w:val="0"/>
        </w:rPr>
      </w:pPr>
      <w:r w:rsidRPr="002B671E">
        <w:rPr>
          <w:rFonts w:ascii="Arial" w:hAnsi="Arial" w:cs="Arial"/>
          <w:kern w:val="0"/>
        </w:rPr>
        <w:t>为了更好地满足投资者的投资需求，提高资金使用效率，进一步提升客户体验，</w:t>
      </w:r>
      <w:bookmarkStart w:id="0" w:name="_GoBack"/>
      <w:bookmarkEnd w:id="0"/>
      <w:r w:rsidR="00266307" w:rsidRPr="002B671E">
        <w:rPr>
          <w:rFonts w:ascii="Arial" w:hAnsi="Arial" w:cs="Arial"/>
          <w:kern w:val="0"/>
        </w:rPr>
        <w:t>根据《中华人民共和国证券投资基金法》、《公开募集证券投资基金运作管理办法》等法律法规、以及各基金基金合同、托管协议等有关规定，嘉实基金管理有限公司（以下简称</w:t>
      </w:r>
      <w:r w:rsidR="00266307" w:rsidRPr="002B671E">
        <w:rPr>
          <w:rFonts w:ascii="Arial" w:hAnsi="Arial" w:cs="Arial"/>
          <w:kern w:val="0"/>
        </w:rPr>
        <w:t>“</w:t>
      </w:r>
      <w:r w:rsidR="00266307" w:rsidRPr="002B671E">
        <w:rPr>
          <w:rFonts w:ascii="Arial" w:hAnsi="Arial" w:cs="Arial"/>
          <w:kern w:val="0"/>
        </w:rPr>
        <w:t>基金管理人</w:t>
      </w:r>
      <w:r w:rsidR="00266307" w:rsidRPr="002B671E">
        <w:rPr>
          <w:rFonts w:ascii="Arial" w:hAnsi="Arial" w:cs="Arial"/>
          <w:kern w:val="0"/>
        </w:rPr>
        <w:t>”</w:t>
      </w:r>
      <w:r w:rsidR="00266307" w:rsidRPr="002B671E">
        <w:rPr>
          <w:rFonts w:ascii="Arial" w:hAnsi="Arial" w:cs="Arial"/>
          <w:kern w:val="0"/>
        </w:rPr>
        <w:t>或</w:t>
      </w:r>
      <w:r w:rsidR="00266307" w:rsidRPr="002B671E">
        <w:rPr>
          <w:rFonts w:ascii="Arial" w:hAnsi="Arial" w:cs="Arial"/>
          <w:kern w:val="0"/>
        </w:rPr>
        <w:t>“</w:t>
      </w:r>
      <w:r w:rsidR="00266307" w:rsidRPr="002B671E">
        <w:rPr>
          <w:rFonts w:ascii="Arial" w:hAnsi="Arial" w:cs="Arial"/>
          <w:kern w:val="0"/>
        </w:rPr>
        <w:t>本公司</w:t>
      </w:r>
      <w:r w:rsidR="00266307" w:rsidRPr="002B671E">
        <w:rPr>
          <w:rFonts w:ascii="Arial" w:hAnsi="Arial" w:cs="Arial"/>
          <w:kern w:val="0"/>
        </w:rPr>
        <w:t>”</w:t>
      </w:r>
      <w:r w:rsidR="00266307" w:rsidRPr="002B671E">
        <w:rPr>
          <w:rFonts w:ascii="Arial" w:hAnsi="Arial" w:cs="Arial"/>
          <w:kern w:val="0"/>
        </w:rPr>
        <w:t>）与</w:t>
      </w:r>
      <w:r w:rsidRPr="002B671E">
        <w:rPr>
          <w:rFonts w:ascii="Arial" w:hAnsi="Arial" w:cs="Arial"/>
          <w:kern w:val="0"/>
        </w:rPr>
        <w:t>各基金托管人协商一致</w:t>
      </w:r>
      <w:r w:rsidR="00266307" w:rsidRPr="002B671E">
        <w:rPr>
          <w:rFonts w:ascii="Arial" w:hAnsi="Arial" w:cs="Arial"/>
          <w:kern w:val="0"/>
        </w:rPr>
        <w:t>，并报中国证监会备案，决定调整本公司部分基金的交收效率，</w:t>
      </w:r>
      <w:r w:rsidR="001812B5" w:rsidRPr="002B671E">
        <w:rPr>
          <w:rFonts w:ascii="Arial" w:hAnsi="Arial" w:cs="Arial"/>
        </w:rPr>
        <w:t>同时更新基金管理人、基金托管人信息，</w:t>
      </w:r>
      <w:r w:rsidR="00266307" w:rsidRPr="002B671E">
        <w:rPr>
          <w:rFonts w:ascii="Arial" w:hAnsi="Arial" w:cs="Arial"/>
          <w:kern w:val="0"/>
        </w:rPr>
        <w:t>并相应修订托管协议。本次修订对基金份额持有人利益无实质性不利影响，不改变基金的投资目标及风险收益特征，自</w:t>
      </w:r>
      <w:r w:rsidRPr="002B671E">
        <w:rPr>
          <w:rFonts w:ascii="Arial" w:hAnsi="Arial" w:cs="Arial"/>
          <w:kern w:val="0"/>
        </w:rPr>
        <w:t>2023</w:t>
      </w:r>
      <w:r w:rsidRPr="002B671E">
        <w:rPr>
          <w:rFonts w:ascii="Arial" w:hAnsi="Arial" w:cs="Arial"/>
          <w:kern w:val="0"/>
        </w:rPr>
        <w:t>年</w:t>
      </w:r>
      <w:r w:rsidR="003C298A" w:rsidRPr="002B671E">
        <w:rPr>
          <w:rFonts w:ascii="Arial" w:hAnsi="Arial" w:cs="Arial"/>
          <w:kern w:val="0"/>
        </w:rPr>
        <w:t>5</w:t>
      </w:r>
      <w:r w:rsidR="003C298A" w:rsidRPr="002B671E">
        <w:rPr>
          <w:rFonts w:ascii="Arial" w:hAnsi="Arial" w:cs="Arial"/>
          <w:kern w:val="0"/>
        </w:rPr>
        <w:t>月</w:t>
      </w:r>
      <w:r w:rsidR="003C298A" w:rsidRPr="002B671E">
        <w:rPr>
          <w:rFonts w:ascii="Arial" w:hAnsi="Arial" w:cs="Arial"/>
          <w:kern w:val="0"/>
        </w:rPr>
        <w:t>30</w:t>
      </w:r>
      <w:r w:rsidR="003C298A" w:rsidRPr="002B671E">
        <w:rPr>
          <w:rFonts w:ascii="Arial" w:hAnsi="Arial" w:cs="Arial"/>
          <w:kern w:val="0"/>
        </w:rPr>
        <w:t>日</w:t>
      </w:r>
      <w:r w:rsidR="00266307" w:rsidRPr="002B671E">
        <w:rPr>
          <w:rFonts w:ascii="Arial" w:hAnsi="Arial" w:cs="Arial"/>
          <w:kern w:val="0"/>
        </w:rPr>
        <w:t>起生效。</w:t>
      </w:r>
    </w:p>
    <w:p w:rsidR="00266307" w:rsidRDefault="00266307" w:rsidP="00266307">
      <w:pPr>
        <w:adjustRightInd w:val="0"/>
        <w:snapToGrid w:val="0"/>
        <w:spacing w:line="360" w:lineRule="auto"/>
        <w:ind w:firstLineChars="200" w:firstLine="420"/>
        <w:rPr>
          <w:rFonts w:ascii="宋体" w:hAnsi="宋体"/>
          <w:kern w:val="0"/>
        </w:rPr>
      </w:pPr>
      <w:r>
        <w:rPr>
          <w:rFonts w:ascii="宋体" w:hAnsi="宋体" w:hint="eastAsia"/>
          <w:kern w:val="0"/>
        </w:rPr>
        <w:t>现将托管协议修订的主要内容说明如下：</w:t>
      </w:r>
    </w:p>
    <w:p w:rsidR="00266307" w:rsidRPr="00EE418C" w:rsidRDefault="00266307" w:rsidP="00266307">
      <w:pPr>
        <w:autoSpaceDE w:val="0"/>
        <w:autoSpaceDN w:val="0"/>
        <w:adjustRightInd w:val="0"/>
        <w:spacing w:line="360" w:lineRule="auto"/>
        <w:ind w:firstLineChars="200" w:firstLine="422"/>
        <w:rPr>
          <w:rFonts w:ascii="Arial" w:hAnsi="Arial" w:cs="Arial"/>
          <w:b/>
          <w:szCs w:val="21"/>
        </w:rPr>
      </w:pPr>
      <w:r w:rsidRPr="00EE418C">
        <w:rPr>
          <w:rFonts w:ascii="Arial" w:hAnsi="Arial" w:cs="Arial" w:hint="eastAsia"/>
          <w:b/>
          <w:szCs w:val="21"/>
        </w:rPr>
        <w:t>一、本次修订基金范围</w:t>
      </w:r>
    </w:p>
    <w:p w:rsidR="00266307" w:rsidRPr="002B671E" w:rsidRDefault="00266307" w:rsidP="00266307">
      <w:pPr>
        <w:adjustRightInd w:val="0"/>
        <w:spacing w:line="360" w:lineRule="auto"/>
        <w:ind w:firstLineChars="200" w:firstLine="420"/>
        <w:rPr>
          <w:rFonts w:ascii="Arial" w:hAnsi="Arial" w:cs="Arial"/>
          <w:kern w:val="0"/>
        </w:rPr>
      </w:pPr>
      <w:r w:rsidRPr="002B671E">
        <w:rPr>
          <w:rFonts w:ascii="Arial" w:hAnsi="Arial" w:cs="Arial"/>
          <w:kern w:val="0"/>
        </w:rPr>
        <w:t>本次修订涉及基金管理人旗下</w:t>
      </w:r>
      <w:r w:rsidR="00DC5EF2" w:rsidRPr="002B671E">
        <w:rPr>
          <w:rFonts w:ascii="Arial" w:hAnsi="Arial" w:cs="Arial"/>
          <w:kern w:val="0"/>
        </w:rPr>
        <w:t>20</w:t>
      </w:r>
      <w:r w:rsidRPr="002B671E">
        <w:rPr>
          <w:rFonts w:ascii="Arial" w:hAnsi="Arial" w:cs="Arial"/>
          <w:kern w:val="0"/>
        </w:rPr>
        <w:t>只公募基金</w:t>
      </w:r>
      <w:r w:rsidR="00FA4C0F" w:rsidRPr="002B671E">
        <w:rPr>
          <w:rFonts w:ascii="Arial" w:hAnsi="Arial" w:cs="Arial"/>
          <w:kern w:val="0"/>
        </w:rPr>
        <w:t>：</w:t>
      </w:r>
    </w:p>
    <w:tbl>
      <w:tblPr>
        <w:tblStyle w:val="a5"/>
        <w:tblW w:w="8784" w:type="dxa"/>
        <w:jc w:val="center"/>
        <w:tblLook w:val="04A0"/>
      </w:tblPr>
      <w:tblGrid>
        <w:gridCol w:w="704"/>
        <w:gridCol w:w="5245"/>
        <w:gridCol w:w="2835"/>
      </w:tblGrid>
      <w:tr w:rsidR="00DC5EF2" w:rsidRPr="00A26A6B" w:rsidTr="00A26A6B">
        <w:trPr>
          <w:jc w:val="center"/>
        </w:trPr>
        <w:tc>
          <w:tcPr>
            <w:tcW w:w="704" w:type="dxa"/>
          </w:tcPr>
          <w:p w:rsidR="00DC5EF2" w:rsidRPr="00A26A6B" w:rsidRDefault="00DC5EF2" w:rsidP="00DC5EF2">
            <w:pPr>
              <w:widowControl/>
              <w:jc w:val="left"/>
              <w:rPr>
                <w:rFonts w:ascii="Arial" w:hAnsi="Arial" w:cs="Arial"/>
                <w:szCs w:val="21"/>
              </w:rPr>
            </w:pPr>
            <w:r w:rsidRPr="00A26A6B">
              <w:rPr>
                <w:rFonts w:ascii="Arial" w:hAnsi="Arial" w:cs="Arial"/>
                <w:b/>
                <w:szCs w:val="21"/>
              </w:rPr>
              <w:t>序号</w:t>
            </w:r>
          </w:p>
        </w:tc>
        <w:tc>
          <w:tcPr>
            <w:tcW w:w="5245" w:type="dxa"/>
            <w:vAlign w:val="bottom"/>
          </w:tcPr>
          <w:p w:rsidR="00DC5EF2" w:rsidRPr="00A26A6B" w:rsidRDefault="00DC5EF2" w:rsidP="00DC5EF2">
            <w:pPr>
              <w:widowControl/>
              <w:jc w:val="left"/>
              <w:rPr>
                <w:rFonts w:ascii="Arial" w:hAnsi="Arial" w:cs="Arial"/>
                <w:szCs w:val="21"/>
              </w:rPr>
            </w:pPr>
            <w:r w:rsidRPr="00A26A6B">
              <w:rPr>
                <w:rFonts w:ascii="Arial" w:hAnsi="Arial" w:cs="Arial"/>
                <w:b/>
                <w:szCs w:val="21"/>
              </w:rPr>
              <w:t>基金名称</w:t>
            </w:r>
          </w:p>
        </w:tc>
        <w:tc>
          <w:tcPr>
            <w:tcW w:w="2835" w:type="dxa"/>
          </w:tcPr>
          <w:p w:rsidR="00DC5EF2" w:rsidRPr="00A26A6B" w:rsidRDefault="00DC5EF2" w:rsidP="00DC5EF2">
            <w:pPr>
              <w:widowControl/>
              <w:jc w:val="left"/>
              <w:rPr>
                <w:rFonts w:ascii="Arial" w:hAnsi="Arial" w:cs="Arial"/>
                <w:szCs w:val="21"/>
              </w:rPr>
            </w:pPr>
            <w:r w:rsidRPr="00A26A6B">
              <w:rPr>
                <w:rFonts w:ascii="Arial" w:hAnsi="Arial" w:cs="Arial"/>
                <w:b/>
                <w:szCs w:val="21"/>
              </w:rPr>
              <w:t>托管人</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嘉实致信一年定期开放纯债债券型发起式证券投资基金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中信银行股份有限公司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2</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嘉实致益纯债债券型证券投资基金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中国农业银行股份有限公司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3</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嘉实新兴市场债券型证券投资基金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中国工商银行股份有限公司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4</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嘉实对冲套利定期开放混合型发起式证券投资基金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招商银行股份有限公司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5</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嘉实稳怡债券型证券投资基金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招商银行股份有限公司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6</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嘉实稳元纯债债券型证券投资基金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招商银行股份有限公司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7</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嘉实新趋势灵活配置混合型证券投资基金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招商银行股份有限公司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8</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嘉实丰安</w:t>
            </w:r>
            <w:r w:rsidRPr="00A26A6B">
              <w:rPr>
                <w:rFonts w:ascii="Arial" w:hAnsi="Arial" w:cs="Arial"/>
                <w:color w:val="000000"/>
                <w:szCs w:val="21"/>
              </w:rPr>
              <w:t>6</w:t>
            </w:r>
            <w:r w:rsidRPr="00A26A6B">
              <w:rPr>
                <w:rFonts w:ascii="Arial" w:hAnsi="Arial" w:cs="Arial"/>
                <w:color w:val="000000"/>
                <w:szCs w:val="21"/>
              </w:rPr>
              <w:t>个月定期开放债券型证券投资基金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中国邮政储蓄银行股份有限公司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9</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嘉实致业一年定期开放纯债债券型发起式证券投资基金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兴业银行股份有限公司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10</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嘉实稳瑞纯债债券型证券投资基金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上海银行股份有限公司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11</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嘉实稳盛债券型证券投资基金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平安银行股份有限公司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12</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嘉实致安</w:t>
            </w:r>
            <w:r w:rsidRPr="00A26A6B">
              <w:rPr>
                <w:rFonts w:ascii="Arial" w:hAnsi="Arial" w:cs="Arial"/>
                <w:color w:val="000000"/>
                <w:szCs w:val="21"/>
              </w:rPr>
              <w:t>3</w:t>
            </w:r>
            <w:r w:rsidRPr="00A26A6B">
              <w:rPr>
                <w:rFonts w:ascii="Arial" w:hAnsi="Arial" w:cs="Arial"/>
                <w:color w:val="000000"/>
                <w:szCs w:val="21"/>
              </w:rPr>
              <w:t>个月定期开放债券型发起式证券投资基金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平安银行股份有限公司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13</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嘉实致宁</w:t>
            </w:r>
            <w:r w:rsidRPr="00A26A6B">
              <w:rPr>
                <w:rFonts w:ascii="Arial" w:hAnsi="Arial" w:cs="Arial"/>
                <w:color w:val="000000"/>
                <w:szCs w:val="21"/>
              </w:rPr>
              <w:t>3</w:t>
            </w:r>
            <w:r w:rsidRPr="00A26A6B">
              <w:rPr>
                <w:rFonts w:ascii="Arial" w:hAnsi="Arial" w:cs="Arial"/>
                <w:color w:val="000000"/>
                <w:szCs w:val="21"/>
              </w:rPr>
              <w:t>个月定期开放纯债债券型证券投资基金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南京银行股份有限公司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14</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嘉实新思路灵活配置混合型证券投资基金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中国民生银行股份有限公司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15</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嘉实稳荣债券型证券投资基金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交通银行股份有限公司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16</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嘉实新添益定期开放混合型证券投资基金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交通银行股份有限公司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17</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嘉实商业银行精选债券型证券投资基金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徽商银行股份有限公司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18</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嘉实致华纯债债券型证券投资基金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华夏银行股份有限公司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19</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嘉实致元</w:t>
            </w:r>
            <w:r w:rsidRPr="00A26A6B">
              <w:rPr>
                <w:rFonts w:ascii="Arial" w:hAnsi="Arial" w:cs="Arial"/>
                <w:color w:val="000000"/>
                <w:szCs w:val="21"/>
              </w:rPr>
              <w:t>42</w:t>
            </w:r>
            <w:r w:rsidRPr="00A26A6B">
              <w:rPr>
                <w:rFonts w:ascii="Arial" w:hAnsi="Arial" w:cs="Arial"/>
                <w:color w:val="000000"/>
                <w:szCs w:val="21"/>
              </w:rPr>
              <w:t>个月定期开放债券型证券投资基金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中国光大银行股份有限公司</w:t>
            </w:r>
          </w:p>
        </w:tc>
      </w:tr>
      <w:tr w:rsidR="00DC5EF2" w:rsidRPr="00A26A6B" w:rsidTr="00A26A6B">
        <w:trPr>
          <w:jc w:val="center"/>
        </w:trPr>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20</w:t>
            </w:r>
          </w:p>
        </w:tc>
        <w:tc>
          <w:tcPr>
            <w:tcW w:w="524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嘉实现金宝货币市场基金</w:t>
            </w:r>
          </w:p>
        </w:tc>
        <w:tc>
          <w:tcPr>
            <w:tcW w:w="283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中国邮政储蓄银行股份有限公司</w:t>
            </w:r>
          </w:p>
        </w:tc>
      </w:tr>
    </w:tbl>
    <w:p w:rsidR="00DC5EF2" w:rsidRDefault="00DC5EF2" w:rsidP="00266307">
      <w:pPr>
        <w:autoSpaceDE w:val="0"/>
        <w:autoSpaceDN w:val="0"/>
        <w:adjustRightInd w:val="0"/>
        <w:spacing w:line="360" w:lineRule="auto"/>
        <w:ind w:firstLineChars="200" w:firstLine="422"/>
        <w:rPr>
          <w:rFonts w:ascii="Arial" w:hAnsi="Arial" w:cs="Arial"/>
          <w:b/>
          <w:szCs w:val="21"/>
        </w:rPr>
      </w:pPr>
    </w:p>
    <w:p w:rsidR="00DC5EF2" w:rsidRDefault="00DC5EF2">
      <w:pPr>
        <w:widowControl/>
        <w:jc w:val="left"/>
        <w:rPr>
          <w:rFonts w:ascii="Arial" w:hAnsi="Arial" w:cs="Arial"/>
          <w:b/>
          <w:szCs w:val="21"/>
        </w:rPr>
      </w:pPr>
      <w:r>
        <w:rPr>
          <w:rFonts w:ascii="Arial" w:hAnsi="Arial" w:cs="Arial"/>
          <w:b/>
          <w:szCs w:val="21"/>
        </w:rPr>
        <w:br w:type="page"/>
      </w:r>
    </w:p>
    <w:p w:rsidR="00266307" w:rsidRDefault="00266307" w:rsidP="00266307">
      <w:pPr>
        <w:autoSpaceDE w:val="0"/>
        <w:autoSpaceDN w:val="0"/>
        <w:adjustRightInd w:val="0"/>
        <w:spacing w:line="360" w:lineRule="auto"/>
        <w:ind w:firstLineChars="200" w:firstLine="422"/>
        <w:rPr>
          <w:rFonts w:ascii="Arial" w:hAnsi="Arial" w:cs="Arial"/>
          <w:b/>
          <w:szCs w:val="21"/>
        </w:rPr>
      </w:pPr>
      <w:r>
        <w:rPr>
          <w:rFonts w:ascii="Arial" w:hAnsi="Arial" w:cs="Arial" w:hint="eastAsia"/>
          <w:b/>
          <w:szCs w:val="21"/>
        </w:rPr>
        <w:lastRenderedPageBreak/>
        <w:t>二、本次修订的主要内容</w:t>
      </w:r>
    </w:p>
    <w:tbl>
      <w:tblPr>
        <w:tblStyle w:val="a5"/>
        <w:tblW w:w="8784" w:type="dxa"/>
        <w:tblLook w:val="04A0"/>
      </w:tblPr>
      <w:tblGrid>
        <w:gridCol w:w="704"/>
        <w:gridCol w:w="1985"/>
        <w:gridCol w:w="6095"/>
      </w:tblGrid>
      <w:tr w:rsidR="00DC5EF2" w:rsidRPr="00282088" w:rsidTr="008D5940">
        <w:tc>
          <w:tcPr>
            <w:tcW w:w="704" w:type="dxa"/>
          </w:tcPr>
          <w:p w:rsidR="00DC5EF2" w:rsidRPr="00A26A6B" w:rsidRDefault="00DC5EF2" w:rsidP="00DC5EF2">
            <w:pPr>
              <w:widowControl/>
              <w:jc w:val="left"/>
              <w:rPr>
                <w:rFonts w:ascii="Arial" w:hAnsi="Arial" w:cs="Arial"/>
                <w:szCs w:val="21"/>
              </w:rPr>
            </w:pPr>
            <w:r w:rsidRPr="00A26A6B">
              <w:rPr>
                <w:rFonts w:ascii="Arial" w:hAnsi="Arial" w:cs="Arial"/>
                <w:b/>
                <w:szCs w:val="21"/>
              </w:rPr>
              <w:t>序号</w:t>
            </w:r>
          </w:p>
        </w:tc>
        <w:tc>
          <w:tcPr>
            <w:tcW w:w="1985" w:type="dxa"/>
            <w:vAlign w:val="bottom"/>
          </w:tcPr>
          <w:p w:rsidR="00DC5EF2" w:rsidRPr="00A26A6B" w:rsidRDefault="00DC5EF2" w:rsidP="00DC5EF2">
            <w:pPr>
              <w:widowControl/>
              <w:jc w:val="left"/>
              <w:rPr>
                <w:rFonts w:ascii="Arial" w:hAnsi="Arial" w:cs="Arial"/>
                <w:szCs w:val="21"/>
              </w:rPr>
            </w:pPr>
            <w:r w:rsidRPr="00A26A6B">
              <w:rPr>
                <w:rFonts w:ascii="Arial" w:hAnsi="Arial" w:cs="Arial"/>
                <w:b/>
                <w:szCs w:val="21"/>
              </w:rPr>
              <w:t>基金名称</w:t>
            </w:r>
          </w:p>
        </w:tc>
        <w:tc>
          <w:tcPr>
            <w:tcW w:w="6095" w:type="dxa"/>
          </w:tcPr>
          <w:p w:rsidR="00DC5EF2" w:rsidRPr="00A26A6B" w:rsidRDefault="00DC5EF2" w:rsidP="00DC5EF2">
            <w:pPr>
              <w:widowControl/>
              <w:jc w:val="left"/>
              <w:rPr>
                <w:rFonts w:ascii="Arial" w:hAnsi="Arial" w:cs="Arial"/>
                <w:szCs w:val="21"/>
              </w:rPr>
            </w:pPr>
            <w:r w:rsidRPr="00A26A6B">
              <w:rPr>
                <w:rFonts w:ascii="Arial" w:hAnsi="Arial" w:cs="Arial"/>
                <w:b/>
                <w:szCs w:val="21"/>
              </w:rPr>
              <w:t>《托管协议》修改对照表</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嘉实致信一年定期开放纯债债券型发起式证券投资基金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第七条</w:t>
            </w:r>
            <w:r w:rsidRPr="00A26A6B">
              <w:rPr>
                <w:rFonts w:ascii="Arial" w:hAnsi="Arial" w:cs="Arial"/>
                <w:color w:val="000000"/>
                <w:szCs w:val="21"/>
              </w:rPr>
              <w:t xml:space="preserve"> </w:t>
            </w:r>
            <w:r w:rsidRPr="00A26A6B">
              <w:rPr>
                <w:rFonts w:ascii="Arial" w:hAnsi="Arial" w:cs="Arial"/>
                <w:color w:val="000000"/>
                <w:szCs w:val="21"/>
              </w:rPr>
              <w:t>交易及清算交收安排：</w:t>
            </w:r>
            <w:r w:rsidRPr="00A26A6B">
              <w:rPr>
                <w:rFonts w:ascii="Arial" w:hAnsi="Arial" w:cs="Arial"/>
                <w:color w:val="000000"/>
                <w:szCs w:val="21"/>
              </w:rPr>
              <w:t>7.4.3</w:t>
            </w:r>
            <w:r w:rsidRPr="00A26A6B">
              <w:rPr>
                <w:rFonts w:ascii="Arial" w:hAnsi="Arial" w:cs="Arial"/>
                <w:color w:val="000000"/>
                <w:szCs w:val="21"/>
              </w:rPr>
              <w:t>基金的资金清算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注册登记清算账户</w:t>
            </w:r>
            <w:r w:rsidRPr="00A26A6B">
              <w:rPr>
                <w:rFonts w:ascii="Arial" w:hAnsi="Arial" w:cs="Arial"/>
                <w:color w:val="000000"/>
                <w:szCs w:val="21"/>
              </w:rPr>
              <w:t>”</w:t>
            </w:r>
            <w:r w:rsidRPr="00A26A6B">
              <w:rPr>
                <w:rFonts w:ascii="Arial" w:hAnsi="Arial" w:cs="Arial"/>
                <w:color w:val="000000"/>
                <w:szCs w:val="21"/>
              </w:rPr>
              <w:t>间的资金清算遵循</w:t>
            </w:r>
            <w:r w:rsidRPr="00A26A6B">
              <w:rPr>
                <w:rFonts w:ascii="Arial" w:hAnsi="Arial" w:cs="Arial"/>
                <w:color w:val="000000"/>
                <w:szCs w:val="21"/>
              </w:rPr>
              <w:t>“</w:t>
            </w:r>
            <w:r w:rsidRPr="00A26A6B">
              <w:rPr>
                <w:rFonts w:ascii="Arial" w:hAnsi="Arial" w:cs="Arial"/>
                <w:color w:val="000000"/>
                <w:szCs w:val="21"/>
              </w:rPr>
              <w:t>净额清算、净额交收</w:t>
            </w:r>
            <w:r w:rsidRPr="00A26A6B">
              <w:rPr>
                <w:rFonts w:ascii="Arial" w:hAnsi="Arial" w:cs="Arial"/>
                <w:color w:val="000000"/>
                <w:szCs w:val="21"/>
              </w:rPr>
              <w:t>”</w:t>
            </w:r>
            <w:r w:rsidRPr="00A26A6B">
              <w:rPr>
                <w:rFonts w:ascii="Arial" w:hAnsi="Arial" w:cs="Arial"/>
                <w:color w:val="000000"/>
                <w:szCs w:val="21"/>
              </w:rPr>
              <w:t>的原则，每日（</w:t>
            </w:r>
            <w:r w:rsidRPr="00A26A6B">
              <w:rPr>
                <w:rFonts w:ascii="Arial" w:hAnsi="Arial" w:cs="Arial"/>
                <w:color w:val="000000"/>
                <w:szCs w:val="21"/>
              </w:rPr>
              <w:t>T</w:t>
            </w:r>
            <w:r w:rsidRPr="00A26A6B">
              <w:rPr>
                <w:rFonts w:ascii="Arial" w:hAnsi="Arial" w:cs="Arial"/>
                <w:color w:val="000000"/>
                <w:szCs w:val="21"/>
              </w:rPr>
              <w:t>日：资金交收日，下同）按照托管账户应收资金（</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申购申请对应申购净额与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基金转换转入申请对应净额之和）与应付资金（</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赎回申请对应赎回金额扣除归基金资产的费用与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基金转换转出申请对应金额扣除归基金资产的费用之和）的差额来确定托管账户净应收额或净应付额，以此确定资金交收额。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2</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嘉实致益纯债债券型证券投资基金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七、交易及清算交收安排：（四）开放式基金申购、赎回和基金转换的资金清算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间的资金清算遵循</w:t>
            </w:r>
            <w:r w:rsidRPr="00A26A6B">
              <w:rPr>
                <w:rFonts w:ascii="Arial" w:hAnsi="Arial" w:cs="Arial"/>
                <w:color w:val="000000"/>
                <w:szCs w:val="21"/>
              </w:rPr>
              <w:t>“</w:t>
            </w:r>
            <w:r w:rsidRPr="00A26A6B">
              <w:rPr>
                <w:rFonts w:ascii="Arial" w:hAnsi="Arial" w:cs="Arial"/>
                <w:color w:val="000000"/>
                <w:szCs w:val="21"/>
              </w:rPr>
              <w:t>净额清算、净额交收</w:t>
            </w:r>
            <w:r w:rsidRPr="00A26A6B">
              <w:rPr>
                <w:rFonts w:ascii="Arial" w:hAnsi="Arial" w:cs="Arial"/>
                <w:color w:val="000000"/>
                <w:szCs w:val="21"/>
              </w:rPr>
              <w:t>”</w:t>
            </w:r>
            <w:r w:rsidRPr="00A26A6B">
              <w:rPr>
                <w:rFonts w:ascii="Arial" w:hAnsi="Arial" w:cs="Arial"/>
                <w:color w:val="000000"/>
                <w:szCs w:val="21"/>
              </w:rPr>
              <w:t>的原则，即按照托管账户当日应收资金（包括</w:t>
            </w:r>
            <w:r w:rsidRPr="00A26A6B">
              <w:rPr>
                <w:rFonts w:ascii="Arial" w:hAnsi="Arial" w:cs="Arial"/>
                <w:color w:val="000000"/>
                <w:szCs w:val="21"/>
              </w:rPr>
              <w:t xml:space="preserve"> 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申购资金及基金转换转入款）与托管账户应付额（含</w:t>
            </w:r>
            <w:r w:rsidRPr="00A26A6B">
              <w:rPr>
                <w:rFonts w:ascii="Arial" w:hAnsi="Arial" w:cs="Arial"/>
                <w:color w:val="000000"/>
                <w:szCs w:val="21"/>
              </w:rPr>
              <w:t xml:space="preserve"> T+3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赎回资金及扣除归基金财产的赎回费、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基金转换转出款及扣除归基金财产的转换费）的差额来确定托管账户净应收额或净应付额，以此确定资金交收额。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3</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嘉实新兴市场债券型证券投资基金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 xml:space="preserve">“8. </w:t>
            </w:r>
            <w:r w:rsidRPr="00A26A6B">
              <w:rPr>
                <w:rFonts w:ascii="Arial" w:hAnsi="Arial" w:cs="Arial"/>
                <w:color w:val="000000"/>
                <w:szCs w:val="21"/>
              </w:rPr>
              <w:t>交易及清算交收安排：</w:t>
            </w:r>
            <w:r w:rsidRPr="00A26A6B">
              <w:rPr>
                <w:rFonts w:ascii="Arial" w:hAnsi="Arial" w:cs="Arial"/>
                <w:color w:val="000000"/>
                <w:szCs w:val="21"/>
              </w:rPr>
              <w:t>8.3</w:t>
            </w:r>
            <w:r w:rsidRPr="00A26A6B">
              <w:rPr>
                <w:rFonts w:ascii="Arial" w:hAnsi="Arial" w:cs="Arial"/>
                <w:color w:val="000000"/>
                <w:szCs w:val="21"/>
              </w:rPr>
              <w:t>基金申购和赎回业务处理的基本规定</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“……4</w:t>
            </w:r>
            <w:r w:rsidRPr="00A26A6B">
              <w:rPr>
                <w:rFonts w:ascii="Arial" w:hAnsi="Arial" w:cs="Arial"/>
                <w:color w:val="000000"/>
                <w:szCs w:val="21"/>
              </w:rPr>
              <w:t>、基金申购、赎回等款项采用轧差交收的结算方式，对于</w:t>
            </w:r>
            <w:r w:rsidRPr="00A26A6B">
              <w:rPr>
                <w:rFonts w:ascii="Arial" w:hAnsi="Arial" w:cs="Arial"/>
                <w:color w:val="000000"/>
                <w:szCs w:val="21"/>
              </w:rPr>
              <w:t>T</w:t>
            </w:r>
            <w:r w:rsidRPr="00A26A6B">
              <w:rPr>
                <w:rFonts w:ascii="Arial" w:hAnsi="Arial" w:cs="Arial"/>
                <w:color w:val="000000"/>
                <w:szCs w:val="21"/>
              </w:rPr>
              <w:t>日的有效申请业务，申购资金</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交收，赎回资金</w:t>
            </w:r>
            <w:r w:rsidRPr="00A26A6B">
              <w:rPr>
                <w:rFonts w:ascii="Arial" w:hAnsi="Arial" w:cs="Arial"/>
                <w:color w:val="000000"/>
                <w:szCs w:val="21"/>
              </w:rPr>
              <w:t>T+7</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交收，转换资金的交收日期由基金管理人与基金托管人另行协商，轧差款在最晚不迟于交收日</w:t>
            </w:r>
            <w:r w:rsidRPr="00A26A6B">
              <w:rPr>
                <w:rFonts w:ascii="Arial" w:hAnsi="Arial" w:cs="Arial"/>
                <w:color w:val="000000"/>
                <w:szCs w:val="21"/>
              </w:rPr>
              <w:t>15:00</w:t>
            </w:r>
            <w:r w:rsidRPr="00A26A6B">
              <w:rPr>
                <w:rFonts w:ascii="Arial" w:hAnsi="Arial" w:cs="Arial"/>
                <w:color w:val="000000"/>
                <w:szCs w:val="21"/>
              </w:rPr>
              <w:t>前在基金管理人总清算账户和资产托管专户之间交收。</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4</w:t>
            </w:r>
          </w:p>
        </w:tc>
        <w:tc>
          <w:tcPr>
            <w:tcW w:w="1985" w:type="dxa"/>
            <w:vAlign w:val="center"/>
          </w:tcPr>
          <w:p w:rsidR="00DC5EF2" w:rsidRPr="00A26A6B" w:rsidRDefault="00DC5EF2" w:rsidP="00DC5EF2">
            <w:pPr>
              <w:widowControl/>
              <w:rPr>
                <w:rFonts w:ascii="Arial" w:hAnsi="Arial" w:cs="Arial"/>
                <w:color w:val="000000"/>
                <w:szCs w:val="21"/>
              </w:rPr>
            </w:pPr>
            <w:r w:rsidRPr="00A26A6B">
              <w:rPr>
                <w:rFonts w:ascii="Arial" w:hAnsi="Arial" w:cs="Arial"/>
                <w:color w:val="000000"/>
                <w:szCs w:val="21"/>
              </w:rPr>
              <w:t>嘉实对冲套利定期开放混合型发起式</w:t>
            </w:r>
          </w:p>
          <w:p w:rsidR="00DC5EF2" w:rsidRPr="00A26A6B" w:rsidRDefault="00DC5EF2" w:rsidP="00DC5EF2">
            <w:pPr>
              <w:widowControl/>
              <w:jc w:val="left"/>
              <w:rPr>
                <w:rFonts w:ascii="Arial" w:hAnsi="Arial" w:cs="Arial"/>
                <w:szCs w:val="21"/>
              </w:rPr>
            </w:pPr>
            <w:r w:rsidRPr="00A26A6B">
              <w:rPr>
                <w:rFonts w:ascii="Arial" w:hAnsi="Arial" w:cs="Arial"/>
                <w:color w:val="000000"/>
                <w:szCs w:val="21"/>
              </w:rPr>
              <w:t>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七、交易及清算交收安排：（四）资金净额结算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的原则，每日按照托管账户应收资金（包括</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申购资金及基金转换转入款）与应付资金（含</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赎回资金及扣除归基金资产的赎回费、</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基金转换转出款及扣除归基金资产的转换费）的差额来确定托管账户净应收额或净应付额，以此确定资金交收额。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5</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嘉实新趋势灵活配置混合型证券投资基金</w:t>
            </w:r>
          </w:p>
        </w:tc>
        <w:tc>
          <w:tcPr>
            <w:tcW w:w="6095" w:type="dxa"/>
            <w:vAlign w:val="center"/>
          </w:tcPr>
          <w:p w:rsidR="00DC5EF2" w:rsidRPr="00A26A6B" w:rsidRDefault="00DC5EF2" w:rsidP="00DC5EF2">
            <w:pPr>
              <w:widowControl/>
              <w:rPr>
                <w:rFonts w:ascii="Arial" w:hAnsi="Arial" w:cs="Arial"/>
                <w:color w:val="000000"/>
                <w:szCs w:val="21"/>
              </w:rPr>
            </w:pPr>
            <w:r w:rsidRPr="00A26A6B">
              <w:rPr>
                <w:rFonts w:ascii="Arial" w:hAnsi="Arial" w:cs="Arial"/>
                <w:color w:val="000000"/>
                <w:szCs w:val="21"/>
              </w:rPr>
              <w:t>“</w:t>
            </w:r>
            <w:r w:rsidRPr="00A26A6B">
              <w:rPr>
                <w:rFonts w:ascii="Arial" w:hAnsi="Arial" w:cs="Arial"/>
                <w:color w:val="000000"/>
                <w:szCs w:val="21"/>
              </w:rPr>
              <w:t>七、交易及清算交收安排：（四）资金净额结算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间，申购实行</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清算，赎回实行</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清算。</w:t>
            </w:r>
          </w:p>
          <w:p w:rsidR="00DC5EF2" w:rsidRPr="00A26A6B" w:rsidRDefault="00DC5EF2" w:rsidP="00DC5EF2">
            <w:pPr>
              <w:widowControl/>
              <w:jc w:val="left"/>
              <w:rPr>
                <w:rFonts w:ascii="Arial" w:hAnsi="Arial" w:cs="Arial"/>
                <w:szCs w:val="21"/>
              </w:rPr>
            </w:pPr>
            <w:r w:rsidRPr="00A26A6B">
              <w:rPr>
                <w:rFonts w:ascii="Arial" w:hAnsi="Arial" w:cs="Arial"/>
                <w:color w:val="000000"/>
                <w:szCs w:val="21"/>
              </w:rPr>
              <w:t>基金资金账户与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的原则，每日按照资金账户应收资金（包括</w:t>
            </w:r>
            <w:r w:rsidRPr="00A26A6B">
              <w:rPr>
                <w:rFonts w:ascii="Arial" w:hAnsi="Arial" w:cs="Arial"/>
                <w:color w:val="000000"/>
                <w:szCs w:val="21"/>
              </w:rPr>
              <w:t xml:space="preserve"> 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申购资金及基金转换转入款）与应付资金（含</w:t>
            </w:r>
            <w:r w:rsidRPr="00A26A6B">
              <w:rPr>
                <w:rFonts w:ascii="Arial" w:hAnsi="Arial" w:cs="Arial"/>
                <w:color w:val="000000"/>
                <w:szCs w:val="21"/>
              </w:rPr>
              <w:t xml:space="preserve"> 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赎回资金及扣除归基金资产的赎回费、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基金转换转出款及扣除归基金资产的转换费）的差额来确定资金账户净应收额或净应付额，以此确定资金交收额，基金托管人应当为基金管理人提供适当方式，便于基金管理人进行查询和账务管理。</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6</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嘉实稳元纯债债券型证券投资基金</w:t>
            </w:r>
          </w:p>
        </w:tc>
        <w:tc>
          <w:tcPr>
            <w:tcW w:w="6095" w:type="dxa"/>
            <w:vAlign w:val="center"/>
          </w:tcPr>
          <w:p w:rsidR="00DC5EF2" w:rsidRPr="00A26A6B" w:rsidRDefault="00DC5EF2" w:rsidP="00DC5EF2">
            <w:pPr>
              <w:widowControl/>
              <w:rPr>
                <w:rFonts w:ascii="Arial" w:hAnsi="Arial" w:cs="Arial"/>
                <w:color w:val="000000"/>
                <w:szCs w:val="21"/>
              </w:rPr>
            </w:pPr>
            <w:r w:rsidRPr="00A26A6B">
              <w:rPr>
                <w:rFonts w:ascii="Arial" w:hAnsi="Arial" w:cs="Arial"/>
                <w:color w:val="000000"/>
                <w:szCs w:val="21"/>
              </w:rPr>
              <w:t>“</w:t>
            </w:r>
            <w:r w:rsidRPr="00A26A6B">
              <w:rPr>
                <w:rFonts w:ascii="Arial" w:hAnsi="Arial" w:cs="Arial"/>
                <w:color w:val="000000"/>
                <w:szCs w:val="21"/>
              </w:rPr>
              <w:t>七、交易及清算交收安排：（四）资金净额结算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间，申购实行</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清</w:t>
            </w:r>
            <w:r w:rsidRPr="00A26A6B">
              <w:rPr>
                <w:rFonts w:ascii="Arial" w:hAnsi="Arial" w:cs="Arial"/>
                <w:color w:val="000000"/>
                <w:szCs w:val="21"/>
              </w:rPr>
              <w:lastRenderedPageBreak/>
              <w:t>算，赎回实行</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清算。</w:t>
            </w:r>
          </w:p>
          <w:p w:rsidR="00DC5EF2" w:rsidRPr="00A26A6B" w:rsidRDefault="00DC5EF2" w:rsidP="00DC5EF2">
            <w:pPr>
              <w:widowControl/>
              <w:jc w:val="left"/>
              <w:rPr>
                <w:rFonts w:ascii="Arial" w:hAnsi="Arial" w:cs="Arial"/>
                <w:szCs w:val="21"/>
              </w:rPr>
            </w:pPr>
            <w:r w:rsidRPr="00A26A6B">
              <w:rPr>
                <w:rFonts w:ascii="Arial" w:hAnsi="Arial" w:cs="Arial"/>
                <w:color w:val="000000"/>
                <w:szCs w:val="21"/>
              </w:rPr>
              <w:t>基金资金账户与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的原则，每日按照资金账户应收资金（包括</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申购资金及基金转换转入款）与应付资金（含</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赎回资金及扣除归基金资产的赎回费、</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基金转换转出款及扣除归基金资产的转换费）的差额来确定资金账户净应收额或净应付额，以此确定资金交收额，基金托管人应当为基金管理人提供适当方式，便于基金管理人进行查询和账务管理。</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lastRenderedPageBreak/>
              <w:t>7</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嘉实稳怡债券型证券投资基金</w:t>
            </w:r>
          </w:p>
        </w:tc>
        <w:tc>
          <w:tcPr>
            <w:tcW w:w="6095" w:type="dxa"/>
            <w:vAlign w:val="center"/>
          </w:tcPr>
          <w:p w:rsidR="00DC5EF2" w:rsidRPr="00A26A6B" w:rsidRDefault="00DC5EF2" w:rsidP="00DC5EF2">
            <w:pPr>
              <w:widowControl/>
              <w:rPr>
                <w:rFonts w:ascii="Arial" w:hAnsi="Arial" w:cs="Arial"/>
                <w:color w:val="000000"/>
                <w:szCs w:val="21"/>
              </w:rPr>
            </w:pPr>
            <w:r w:rsidRPr="00A26A6B">
              <w:rPr>
                <w:rFonts w:ascii="Arial" w:hAnsi="Arial" w:cs="Arial"/>
                <w:color w:val="000000"/>
                <w:szCs w:val="21"/>
              </w:rPr>
              <w:t>“</w:t>
            </w:r>
            <w:r w:rsidRPr="00A26A6B">
              <w:rPr>
                <w:rFonts w:ascii="Arial" w:hAnsi="Arial" w:cs="Arial"/>
                <w:color w:val="000000"/>
                <w:szCs w:val="21"/>
              </w:rPr>
              <w:t>七、交易及清算交收安排：（四）资金净额结算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间，申购实行</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清算，赎回实行</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清算。</w:t>
            </w:r>
          </w:p>
          <w:p w:rsidR="00DC5EF2" w:rsidRPr="00A26A6B" w:rsidRDefault="00DC5EF2" w:rsidP="00DC5EF2">
            <w:pPr>
              <w:widowControl/>
              <w:jc w:val="left"/>
              <w:rPr>
                <w:rFonts w:ascii="Arial" w:hAnsi="Arial" w:cs="Arial"/>
                <w:szCs w:val="21"/>
              </w:rPr>
            </w:pPr>
            <w:r w:rsidRPr="00A26A6B">
              <w:rPr>
                <w:rFonts w:ascii="Arial" w:hAnsi="Arial" w:cs="Arial"/>
                <w:color w:val="000000"/>
                <w:szCs w:val="21"/>
              </w:rPr>
              <w:t>基金资金账户与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的原则，每日按照资金账户应收资金（包括</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申购资金及基金转换转入款）与应付资金（含</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赎回资金及扣除归基金资产的赎回费、</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基金转换转出款及扣除归基金资产的转换费）的差额来确定资金账户净应收额或净应付额，以此确定资金交收额，基金托管人应当为基金管理人提供适当方式，便于基金管理人进行查询和账务管理。</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8</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嘉实丰安</w:t>
            </w:r>
            <w:r w:rsidRPr="00A26A6B">
              <w:rPr>
                <w:rFonts w:ascii="Arial" w:hAnsi="Arial" w:cs="Arial"/>
                <w:color w:val="000000"/>
                <w:szCs w:val="21"/>
              </w:rPr>
              <w:t>6</w:t>
            </w:r>
            <w:r w:rsidRPr="00A26A6B">
              <w:rPr>
                <w:rFonts w:ascii="Arial" w:hAnsi="Arial" w:cs="Arial"/>
                <w:color w:val="000000"/>
                <w:szCs w:val="21"/>
              </w:rPr>
              <w:t>个月定期开放债券型证券投资基金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w:t>
            </w:r>
            <w:r w:rsidRPr="00A26A6B">
              <w:rPr>
                <w:rFonts w:ascii="Arial" w:hAnsi="Arial" w:cs="Arial"/>
                <w:color w:val="000000"/>
                <w:szCs w:val="21"/>
              </w:rPr>
              <w:t>3</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w:t>
            </w:r>
            <w:r w:rsidRPr="00A26A6B">
              <w:rPr>
                <w:rFonts w:ascii="Arial" w:hAnsi="Arial" w:cs="Arial"/>
                <w:b/>
                <w:color w:val="000000"/>
                <w:szCs w:val="21"/>
                <w:u w:val="single"/>
              </w:rPr>
              <w:t>直销申购款交收日为</w:t>
            </w:r>
            <w:r w:rsidRPr="00A26A6B">
              <w:rPr>
                <w:rFonts w:ascii="Arial" w:hAnsi="Arial" w:cs="Arial"/>
                <w:b/>
                <w:color w:val="000000"/>
                <w:szCs w:val="21"/>
                <w:u w:val="single"/>
              </w:rPr>
              <w:t>T+1</w:t>
            </w:r>
            <w:r w:rsidRPr="00A26A6B">
              <w:rPr>
                <w:rFonts w:ascii="Arial" w:hAnsi="Arial" w:cs="Arial"/>
                <w:b/>
                <w:color w:val="000000"/>
                <w:szCs w:val="21"/>
                <w:u w:val="single"/>
              </w:rPr>
              <w:t>日</w:t>
            </w:r>
            <w:r w:rsidRPr="00A26A6B">
              <w:rPr>
                <w:rFonts w:ascii="Arial" w:hAnsi="Arial" w:cs="Arial"/>
                <w:color w:val="000000"/>
                <w:szCs w:val="21"/>
              </w:rPr>
              <w:t>，</w:t>
            </w:r>
            <w:r w:rsidRPr="00A26A6B">
              <w:rPr>
                <w:rFonts w:ascii="Arial" w:hAnsi="Arial" w:cs="Arial"/>
                <w:b/>
                <w:color w:val="000000"/>
                <w:szCs w:val="21"/>
                <w:u w:val="single"/>
              </w:rPr>
              <w:t>代销</w:t>
            </w:r>
            <w:r w:rsidRPr="00A26A6B">
              <w:rPr>
                <w:rFonts w:ascii="Arial" w:hAnsi="Arial" w:cs="Arial"/>
                <w:color w:val="000000"/>
                <w:szCs w:val="21"/>
              </w:rPr>
              <w:t>申购款交收日为</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，赎回款交收日为</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，转换款交收日为</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。每日按照托管账户应收资金与应付资金的差额来确定托管账户净应收额或净应付额，以此确定资金交收额。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9</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嘉实致业一年定期开放纯债债券型发起式证券投资基金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七、交易及清算交收安排：六、申赎净额结算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基金银行账户与基金总清算账户间的资金清算遵循</w:t>
            </w:r>
            <w:r w:rsidRPr="00A26A6B">
              <w:rPr>
                <w:rFonts w:ascii="Arial" w:hAnsi="Arial" w:cs="Arial"/>
                <w:color w:val="000000"/>
                <w:szCs w:val="21"/>
              </w:rPr>
              <w:t>“</w:t>
            </w:r>
            <w:r w:rsidRPr="00A26A6B">
              <w:rPr>
                <w:rFonts w:ascii="Arial" w:hAnsi="Arial" w:cs="Arial"/>
                <w:color w:val="000000"/>
                <w:szCs w:val="21"/>
              </w:rPr>
              <w:t>净额清算、轧差交收</w:t>
            </w:r>
            <w:r w:rsidRPr="00A26A6B">
              <w:rPr>
                <w:rFonts w:ascii="Arial" w:hAnsi="Arial" w:cs="Arial"/>
                <w:color w:val="000000"/>
                <w:szCs w:val="21"/>
              </w:rPr>
              <w:t>”</w:t>
            </w:r>
            <w:r w:rsidRPr="00A26A6B">
              <w:rPr>
                <w:rFonts w:ascii="Arial" w:hAnsi="Arial" w:cs="Arial"/>
                <w:color w:val="000000"/>
                <w:szCs w:val="21"/>
              </w:rPr>
              <w:t>的原则，即注册登记机构在</w:t>
            </w:r>
            <w:r w:rsidRPr="00A26A6B">
              <w:rPr>
                <w:rFonts w:ascii="Arial" w:hAnsi="Arial" w:cs="Arial"/>
                <w:color w:val="000000"/>
                <w:szCs w:val="21"/>
              </w:rPr>
              <w:t xml:space="preserve"> 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将全部申购款项、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将转换转入等基金银行账户应收款划到基金银行账户，托管人在接到指令后于</w:t>
            </w:r>
            <w:r w:rsidRPr="00A26A6B">
              <w:rPr>
                <w:rFonts w:ascii="Arial" w:hAnsi="Arial" w:cs="Arial"/>
                <w:color w:val="000000"/>
                <w:szCs w:val="21"/>
              </w:rPr>
              <w:t xml:space="preserve"> T+3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将全部赎回款项、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将全部转换转出款项、转换费等基金银行账户应付款划至注册登记机构基金总清算账户。</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10</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嘉实稳瑞纯债债券型证券投资基金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的原则，每日</w:t>
            </w:r>
            <w:r w:rsidRPr="00A26A6B">
              <w:rPr>
                <w:rFonts w:ascii="Arial" w:hAnsi="Arial" w:cs="Arial"/>
                <w:color w:val="000000"/>
                <w:szCs w:val="21"/>
              </w:rPr>
              <w:t xml:space="preserve">(T </w:t>
            </w:r>
            <w:r w:rsidRPr="00A26A6B">
              <w:rPr>
                <w:rFonts w:ascii="Arial" w:hAnsi="Arial" w:cs="Arial"/>
                <w:color w:val="000000"/>
                <w:szCs w:val="21"/>
              </w:rPr>
              <w:t>日：资金交收日，下同</w:t>
            </w:r>
            <w:r w:rsidRPr="00A26A6B">
              <w:rPr>
                <w:rFonts w:ascii="Arial" w:hAnsi="Arial" w:cs="Arial"/>
                <w:color w:val="000000"/>
                <w:szCs w:val="21"/>
              </w:rPr>
              <w:t>)</w:t>
            </w:r>
            <w:r w:rsidRPr="00A26A6B">
              <w:rPr>
                <w:rFonts w:ascii="Arial" w:hAnsi="Arial" w:cs="Arial"/>
                <w:color w:val="000000"/>
                <w:szCs w:val="21"/>
              </w:rPr>
              <w:t>按照托管账户应收资金</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申购申请对应申购金额与</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基金转换入申请对应金额之和</w:t>
            </w:r>
            <w:r w:rsidRPr="00A26A6B">
              <w:rPr>
                <w:rFonts w:ascii="Arial" w:hAnsi="Arial" w:cs="Arial"/>
                <w:color w:val="000000"/>
                <w:szCs w:val="21"/>
              </w:rPr>
              <w:t>)</w:t>
            </w:r>
            <w:r w:rsidRPr="00A26A6B">
              <w:rPr>
                <w:rFonts w:ascii="Arial" w:hAnsi="Arial" w:cs="Arial"/>
                <w:color w:val="000000"/>
                <w:szCs w:val="21"/>
              </w:rPr>
              <w:t>与应付资金</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赎回申请对应赎回金额与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基金转换出申请对应金额之和</w:t>
            </w:r>
            <w:r w:rsidRPr="00A26A6B">
              <w:rPr>
                <w:rFonts w:ascii="Arial" w:hAnsi="Arial" w:cs="Arial"/>
                <w:color w:val="000000"/>
                <w:szCs w:val="21"/>
              </w:rPr>
              <w:t>)</w:t>
            </w:r>
            <w:r w:rsidRPr="00A26A6B">
              <w:rPr>
                <w:rFonts w:ascii="Arial" w:hAnsi="Arial" w:cs="Arial"/>
                <w:color w:val="000000"/>
                <w:szCs w:val="21"/>
              </w:rPr>
              <w:t>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11</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嘉实稳盛债券型证券投资基金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注册登记清算账户</w:t>
            </w:r>
            <w:r w:rsidRPr="00A26A6B">
              <w:rPr>
                <w:rFonts w:ascii="Arial" w:hAnsi="Arial" w:cs="Arial"/>
                <w:color w:val="000000"/>
                <w:szCs w:val="21"/>
              </w:rPr>
              <w:t>”</w:t>
            </w:r>
            <w:r w:rsidRPr="00A26A6B">
              <w:rPr>
                <w:rFonts w:ascii="Arial" w:hAnsi="Arial" w:cs="Arial"/>
                <w:color w:val="000000"/>
                <w:szCs w:val="21"/>
              </w:rPr>
              <w:t>间的资金清算遵循</w:t>
            </w:r>
            <w:r w:rsidRPr="00A26A6B">
              <w:rPr>
                <w:rFonts w:ascii="Arial" w:hAnsi="Arial" w:cs="Arial"/>
                <w:color w:val="000000"/>
                <w:szCs w:val="21"/>
              </w:rPr>
              <w:t>“</w:t>
            </w:r>
            <w:r w:rsidRPr="00A26A6B">
              <w:rPr>
                <w:rFonts w:ascii="Arial" w:hAnsi="Arial" w:cs="Arial"/>
                <w:color w:val="000000"/>
                <w:szCs w:val="21"/>
              </w:rPr>
              <w:t>净额清算、净额交收</w:t>
            </w:r>
            <w:r w:rsidRPr="00A26A6B">
              <w:rPr>
                <w:rFonts w:ascii="Arial" w:hAnsi="Arial" w:cs="Arial"/>
                <w:color w:val="000000"/>
                <w:szCs w:val="21"/>
              </w:rPr>
              <w:t>”</w:t>
            </w:r>
            <w:r w:rsidRPr="00A26A6B">
              <w:rPr>
                <w:rFonts w:ascii="Arial" w:hAnsi="Arial" w:cs="Arial"/>
                <w:color w:val="000000"/>
                <w:szCs w:val="21"/>
              </w:rPr>
              <w:t>的原则，每日（</w:t>
            </w:r>
            <w:r w:rsidRPr="00A26A6B">
              <w:rPr>
                <w:rFonts w:ascii="Arial" w:hAnsi="Arial" w:cs="Arial"/>
                <w:color w:val="000000"/>
                <w:szCs w:val="21"/>
              </w:rPr>
              <w:t>T</w:t>
            </w:r>
            <w:r w:rsidRPr="00A26A6B">
              <w:rPr>
                <w:rFonts w:ascii="Arial" w:hAnsi="Arial" w:cs="Arial"/>
                <w:color w:val="000000"/>
                <w:szCs w:val="21"/>
              </w:rPr>
              <w:t>日：资金交收日，下同）按照托管账户应收资金（</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申购申请对应申购净额与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基金转换转入申请对应净额之和）与应付资金（</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赎回申请对应赎回金额扣除归基金资产的费用与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基金转换转出申请对应金额扣除归基金资产的费用之和）的差额来确定托管账户净应收额或净应付额，以此确定资金交收额。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12</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嘉实致安</w:t>
            </w:r>
            <w:r w:rsidRPr="00A26A6B">
              <w:rPr>
                <w:rFonts w:ascii="Arial" w:hAnsi="Arial" w:cs="Arial"/>
                <w:color w:val="000000"/>
                <w:szCs w:val="21"/>
              </w:rPr>
              <w:t>3</w:t>
            </w:r>
            <w:r w:rsidRPr="00A26A6B">
              <w:rPr>
                <w:rFonts w:ascii="Arial" w:hAnsi="Arial" w:cs="Arial"/>
                <w:color w:val="000000"/>
                <w:szCs w:val="21"/>
              </w:rPr>
              <w:t>个月定期开放债券型发起式证券投资基金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注册登记清算账户</w:t>
            </w:r>
            <w:r w:rsidRPr="00A26A6B">
              <w:rPr>
                <w:rFonts w:ascii="Arial" w:hAnsi="Arial" w:cs="Arial"/>
                <w:color w:val="000000"/>
                <w:szCs w:val="21"/>
              </w:rPr>
              <w:t>”</w:t>
            </w:r>
            <w:r w:rsidRPr="00A26A6B">
              <w:rPr>
                <w:rFonts w:ascii="Arial" w:hAnsi="Arial" w:cs="Arial"/>
                <w:color w:val="000000"/>
                <w:szCs w:val="21"/>
              </w:rPr>
              <w:t>间的资金清算遵循</w:t>
            </w:r>
            <w:r w:rsidRPr="00A26A6B">
              <w:rPr>
                <w:rFonts w:ascii="Arial" w:hAnsi="Arial" w:cs="Arial"/>
                <w:color w:val="000000"/>
                <w:szCs w:val="21"/>
              </w:rPr>
              <w:t>“</w:t>
            </w:r>
            <w:r w:rsidRPr="00A26A6B">
              <w:rPr>
                <w:rFonts w:ascii="Arial" w:hAnsi="Arial" w:cs="Arial"/>
                <w:color w:val="000000"/>
                <w:szCs w:val="21"/>
              </w:rPr>
              <w:t>净额清算、净额交收</w:t>
            </w:r>
            <w:r w:rsidRPr="00A26A6B">
              <w:rPr>
                <w:rFonts w:ascii="Arial" w:hAnsi="Arial" w:cs="Arial"/>
                <w:color w:val="000000"/>
                <w:szCs w:val="21"/>
              </w:rPr>
              <w:t>”</w:t>
            </w:r>
            <w:r w:rsidRPr="00A26A6B">
              <w:rPr>
                <w:rFonts w:ascii="Arial" w:hAnsi="Arial" w:cs="Arial"/>
                <w:color w:val="000000"/>
                <w:szCs w:val="21"/>
              </w:rPr>
              <w:t>的原则，每日（</w:t>
            </w:r>
            <w:r w:rsidRPr="00A26A6B">
              <w:rPr>
                <w:rFonts w:ascii="Arial" w:hAnsi="Arial" w:cs="Arial"/>
                <w:color w:val="000000"/>
                <w:szCs w:val="21"/>
              </w:rPr>
              <w:t>T</w:t>
            </w:r>
            <w:r w:rsidRPr="00A26A6B">
              <w:rPr>
                <w:rFonts w:ascii="Arial" w:hAnsi="Arial" w:cs="Arial"/>
                <w:color w:val="000000"/>
                <w:szCs w:val="21"/>
              </w:rPr>
              <w:t>日：资金交收日，下同）按照托管账户应收资金（</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申购申请对应申购净额与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基金转换转入申请对应净额之和）与应付资金（</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赎回申请对应赎回金额扣除归基金资产的费用与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基金转换转出申请对应金额扣除归基金资产的费用之和）的差额来确定托管账户净应收额或净应付额，以此确定资金交收额。</w:t>
            </w:r>
            <w:r w:rsidRPr="00A26A6B">
              <w:rPr>
                <w:rFonts w:ascii="Arial" w:hAnsi="Arial" w:cs="Arial"/>
                <w:color w:val="000000"/>
                <w:szCs w:val="21"/>
              </w:rPr>
              <w:t>……”</w:t>
            </w:r>
          </w:p>
        </w:tc>
      </w:tr>
      <w:tr w:rsidR="00DC5EF2" w:rsidRPr="00761A1A"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13</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嘉实致宁</w:t>
            </w:r>
            <w:r w:rsidRPr="00A26A6B">
              <w:rPr>
                <w:rFonts w:ascii="Arial" w:hAnsi="Arial" w:cs="Arial"/>
                <w:color w:val="000000"/>
                <w:szCs w:val="21"/>
              </w:rPr>
              <w:t>3</w:t>
            </w:r>
            <w:r w:rsidRPr="00A26A6B">
              <w:rPr>
                <w:rFonts w:ascii="Arial" w:hAnsi="Arial" w:cs="Arial"/>
                <w:color w:val="000000"/>
                <w:szCs w:val="21"/>
              </w:rPr>
              <w:t>个月定期开放纯债债券型证券投资基金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基金托管账户与基金清算账户间的资金结算遵循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的原则，每日（</w:t>
            </w:r>
            <w:r w:rsidRPr="00A26A6B">
              <w:rPr>
                <w:rFonts w:ascii="Arial" w:hAnsi="Arial" w:cs="Arial"/>
                <w:color w:val="000000"/>
                <w:szCs w:val="21"/>
              </w:rPr>
              <w:t>T</w:t>
            </w:r>
            <w:r w:rsidRPr="00A26A6B">
              <w:rPr>
                <w:rFonts w:ascii="Arial" w:hAnsi="Arial" w:cs="Arial"/>
                <w:color w:val="000000"/>
                <w:szCs w:val="21"/>
              </w:rPr>
              <w:t>日：资金交收日，下同）按照托管账户应收资金（</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申购申请对应申购净额与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基金转换转入申请对应净额之和）与应付资金（</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赎回申请对应赎回金额扣除归基金资产的费用与</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基金转换转出申请对应金额扣除归基金资产的费用之和）的差额来确定托管账户净应收额或净应付额，以此确定资金交收额。</w:t>
            </w:r>
            <w:r w:rsidRPr="00A26A6B">
              <w:rPr>
                <w:rFonts w:ascii="Arial" w:hAnsi="Arial" w:cs="Arial"/>
                <w:color w:val="000000"/>
                <w:szCs w:val="21"/>
              </w:rPr>
              <w:t>……”</w:t>
            </w:r>
          </w:p>
        </w:tc>
      </w:tr>
      <w:tr w:rsidR="00DC5EF2" w:rsidRPr="008E7CCC"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14</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嘉实新思路灵活配置混合型证券投资基金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基金申购、赎回等款项采用轧差交收的结算方式，基金托管账户与</w:t>
            </w:r>
            <w:r w:rsidRPr="00A26A6B">
              <w:rPr>
                <w:rFonts w:ascii="Arial" w:hAnsi="Arial" w:cs="Arial"/>
                <w:color w:val="000000"/>
                <w:szCs w:val="21"/>
              </w:rPr>
              <w:t>“</w:t>
            </w:r>
            <w:r w:rsidRPr="00A26A6B">
              <w:rPr>
                <w:rFonts w:ascii="Arial" w:hAnsi="Arial" w:cs="Arial"/>
                <w:color w:val="000000"/>
                <w:szCs w:val="21"/>
              </w:rPr>
              <w:t>注册登记清算账户</w:t>
            </w:r>
            <w:r w:rsidRPr="00A26A6B">
              <w:rPr>
                <w:rFonts w:ascii="Arial" w:hAnsi="Arial" w:cs="Arial"/>
                <w:color w:val="000000"/>
                <w:szCs w:val="21"/>
              </w:rPr>
              <w:t>”</w:t>
            </w:r>
            <w:r w:rsidRPr="00A26A6B">
              <w:rPr>
                <w:rFonts w:ascii="Arial" w:hAnsi="Arial" w:cs="Arial"/>
                <w:color w:val="000000"/>
                <w:szCs w:val="21"/>
              </w:rPr>
              <w:t>间，申购款、基金转换转入款及基金转换转出款实行</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交收；赎回款实行</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交收。</w:t>
            </w:r>
            <w:r w:rsidRPr="00A26A6B">
              <w:rPr>
                <w:rFonts w:ascii="Arial" w:hAnsi="Arial" w:cs="Arial"/>
                <w:color w:val="000000"/>
                <w:szCs w:val="21"/>
              </w:rPr>
              <w:t>……”</w:t>
            </w:r>
          </w:p>
        </w:tc>
      </w:tr>
      <w:tr w:rsidR="00DC5EF2" w:rsidRPr="008E7CCC"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15</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嘉实稳荣债券型证券投资基金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七、交易及清算交收安排：（四）申购、赎回、转换开放式基金的资金清算和数据传递的时间、程序及托管协议当事人的责任界定</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w:t>
            </w:r>
            <w:r w:rsidRPr="00A26A6B">
              <w:rPr>
                <w:rFonts w:ascii="Arial" w:hAnsi="Arial" w:cs="Arial"/>
                <w:color w:val="000000"/>
                <w:szCs w:val="21"/>
              </w:rPr>
              <w:t>3</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的原则，申购款交收日为</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，赎回款交收日为</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，转换款交收日为</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。每日按照托管账户应收资金与应付资金的差额来确定托管账户净应收额或净应付额，以此确定资金交收额。</w:t>
            </w:r>
            <w:r w:rsidRPr="00A26A6B">
              <w:rPr>
                <w:rFonts w:ascii="Arial" w:hAnsi="Arial" w:cs="Arial"/>
                <w:color w:val="000000"/>
                <w:szCs w:val="21"/>
              </w:rPr>
              <w:t>……”</w:t>
            </w:r>
          </w:p>
        </w:tc>
      </w:tr>
      <w:tr w:rsidR="00DC5EF2"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16</w:t>
            </w:r>
          </w:p>
        </w:tc>
        <w:tc>
          <w:tcPr>
            <w:tcW w:w="1985" w:type="dxa"/>
            <w:vAlign w:val="center"/>
          </w:tcPr>
          <w:p w:rsidR="00DC5EF2" w:rsidRPr="00A26A6B" w:rsidRDefault="00DC5EF2" w:rsidP="00DC5EF2">
            <w:pPr>
              <w:widowControl/>
              <w:jc w:val="left"/>
              <w:rPr>
                <w:rFonts w:ascii="Arial" w:hAnsi="Arial" w:cs="Arial"/>
                <w:sz w:val="22"/>
                <w:szCs w:val="22"/>
              </w:rPr>
            </w:pPr>
            <w:r w:rsidRPr="00A26A6B">
              <w:rPr>
                <w:rFonts w:ascii="Arial" w:hAnsi="Arial" w:cs="Arial"/>
                <w:color w:val="000000"/>
                <w:szCs w:val="21"/>
              </w:rPr>
              <w:t>嘉实新添益定期开放混合型证券投资基金</w:t>
            </w:r>
          </w:p>
        </w:tc>
        <w:tc>
          <w:tcPr>
            <w:tcW w:w="6095" w:type="dxa"/>
            <w:vAlign w:val="center"/>
          </w:tcPr>
          <w:p w:rsidR="00DC5EF2" w:rsidRPr="00A26A6B" w:rsidRDefault="00DC5EF2" w:rsidP="00DC5EF2">
            <w:pPr>
              <w:widowControl/>
              <w:jc w:val="left"/>
              <w:rPr>
                <w:rFonts w:ascii="Arial" w:eastAsia="仿宋" w:hAnsi="Arial" w:cs="Arial"/>
                <w:sz w:val="24"/>
              </w:rPr>
            </w:pPr>
            <w:r w:rsidRPr="00A26A6B">
              <w:rPr>
                <w:rFonts w:ascii="Arial" w:hAnsi="Arial" w:cs="Arial"/>
                <w:color w:val="000000"/>
                <w:szCs w:val="21"/>
              </w:rPr>
              <w:t>“</w:t>
            </w:r>
            <w:r w:rsidRPr="00A26A6B">
              <w:rPr>
                <w:rFonts w:ascii="Arial" w:hAnsi="Arial" w:cs="Arial"/>
                <w:color w:val="000000"/>
                <w:szCs w:val="21"/>
              </w:rPr>
              <w:t>七、交易及清算交收安排：（四）申购、赎回、转换开放式基金的资金清算和数据传递的时间、程序及托管协议当事人的责任界定</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 xml:space="preserve">“……3. </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间的资金结算遵循</w:t>
            </w:r>
            <w:r w:rsidRPr="00A26A6B">
              <w:rPr>
                <w:rFonts w:ascii="Arial" w:hAnsi="Arial" w:cs="Arial"/>
                <w:color w:val="000000"/>
                <w:szCs w:val="21"/>
              </w:rPr>
              <w:t>“</w:t>
            </w:r>
            <w:r w:rsidRPr="00A26A6B">
              <w:rPr>
                <w:rFonts w:ascii="Arial" w:hAnsi="Arial" w:cs="Arial"/>
                <w:color w:val="000000"/>
                <w:szCs w:val="21"/>
              </w:rPr>
              <w:t>全额清算、净额交收</w:t>
            </w:r>
            <w:r w:rsidRPr="00A26A6B">
              <w:rPr>
                <w:rFonts w:ascii="Arial" w:hAnsi="Arial" w:cs="Arial"/>
                <w:color w:val="000000"/>
                <w:szCs w:val="21"/>
              </w:rPr>
              <w:t>”</w:t>
            </w:r>
            <w:r w:rsidRPr="00A26A6B">
              <w:rPr>
                <w:rFonts w:ascii="Arial" w:hAnsi="Arial" w:cs="Arial"/>
                <w:color w:val="000000"/>
                <w:szCs w:val="21"/>
              </w:rPr>
              <w:t>的原则，申购款交收日为</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，赎回款交收日为</w:t>
            </w:r>
            <w:r w:rsidRPr="00A26A6B">
              <w:rPr>
                <w:rFonts w:ascii="Arial" w:hAnsi="Arial" w:cs="Arial"/>
                <w:color w:val="000000"/>
                <w:szCs w:val="21"/>
              </w:rPr>
              <w:t>T+3</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，转换款交收日为</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。每日按照托管账户应收资金与应付资金的差额来确定托管账户净应收额或净应付额，以此确定资金交收额。</w:t>
            </w:r>
            <w:r w:rsidRPr="00A26A6B">
              <w:rPr>
                <w:rFonts w:ascii="Arial" w:hAnsi="Arial" w:cs="Arial"/>
                <w:color w:val="000000"/>
                <w:szCs w:val="21"/>
              </w:rPr>
              <w:t>……”</w:t>
            </w:r>
          </w:p>
        </w:tc>
      </w:tr>
      <w:tr w:rsidR="00DC5EF2"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17</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嘉实商业银行精选债券型证券投资基金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基金申购、赎回等款项采用轧差交收的结算方式，基金托管账户与</w:t>
            </w:r>
            <w:r w:rsidRPr="00A26A6B">
              <w:rPr>
                <w:rFonts w:ascii="Arial" w:hAnsi="Arial" w:cs="Arial"/>
                <w:color w:val="000000"/>
                <w:szCs w:val="21"/>
              </w:rPr>
              <w:t>“</w:t>
            </w:r>
            <w:r w:rsidRPr="00A26A6B">
              <w:rPr>
                <w:rFonts w:ascii="Arial" w:hAnsi="Arial" w:cs="Arial"/>
                <w:color w:val="000000"/>
                <w:szCs w:val="21"/>
              </w:rPr>
              <w:t>注册登记清算账户</w:t>
            </w:r>
            <w:r w:rsidRPr="00A26A6B">
              <w:rPr>
                <w:rFonts w:ascii="Arial" w:hAnsi="Arial" w:cs="Arial"/>
                <w:color w:val="000000"/>
                <w:szCs w:val="21"/>
              </w:rPr>
              <w:t>”</w:t>
            </w:r>
            <w:r w:rsidRPr="00A26A6B">
              <w:rPr>
                <w:rFonts w:ascii="Arial" w:hAnsi="Arial" w:cs="Arial"/>
                <w:color w:val="000000"/>
                <w:szCs w:val="21"/>
              </w:rPr>
              <w:t>间，申购款、转换款实行</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交收；赎回款实行</w:t>
            </w:r>
            <w:r w:rsidRPr="00A26A6B">
              <w:rPr>
                <w:rFonts w:ascii="Arial" w:hAnsi="Arial" w:cs="Arial"/>
                <w:color w:val="000000"/>
                <w:szCs w:val="21"/>
              </w:rPr>
              <w:t>T+2</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交收</w:t>
            </w:r>
            <w:r w:rsidRPr="00A26A6B">
              <w:rPr>
                <w:rFonts w:ascii="Arial" w:hAnsi="Arial" w:cs="Arial"/>
                <w:color w:val="000000"/>
                <w:szCs w:val="21"/>
              </w:rPr>
              <w:t>……”</w:t>
            </w:r>
          </w:p>
        </w:tc>
      </w:tr>
      <w:tr w:rsidR="00DC5EF2"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18</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嘉实致华纯债债券型证券投资基金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七、交易及清算交收安排：（四）申购、赎回、转换开放式基金的资金清算、数据传递及托管协议当事人的责任</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“……3</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间的资金清算遵循</w:t>
            </w:r>
            <w:r w:rsidRPr="00A26A6B">
              <w:rPr>
                <w:rFonts w:ascii="Arial" w:hAnsi="Arial" w:cs="Arial"/>
                <w:color w:val="000000"/>
                <w:szCs w:val="21"/>
              </w:rPr>
              <w:t>“</w:t>
            </w:r>
            <w:r w:rsidRPr="00A26A6B">
              <w:rPr>
                <w:rFonts w:ascii="Arial" w:hAnsi="Arial" w:cs="Arial"/>
                <w:color w:val="000000"/>
                <w:szCs w:val="21"/>
              </w:rPr>
              <w:t>净额清算、净额交收</w:t>
            </w:r>
            <w:r w:rsidRPr="00A26A6B">
              <w:rPr>
                <w:rFonts w:ascii="Arial" w:hAnsi="Arial" w:cs="Arial"/>
                <w:color w:val="000000"/>
                <w:szCs w:val="21"/>
              </w:rPr>
              <w:t>”</w:t>
            </w:r>
            <w:r w:rsidRPr="00A26A6B">
              <w:rPr>
                <w:rFonts w:ascii="Arial" w:hAnsi="Arial" w:cs="Arial"/>
                <w:color w:val="000000"/>
                <w:szCs w:val="21"/>
              </w:rPr>
              <w:t>的原则，即按照托管账户当日应收资金（包括</w:t>
            </w:r>
            <w:r w:rsidRPr="00A26A6B">
              <w:rPr>
                <w:rFonts w:ascii="Arial" w:hAnsi="Arial" w:cs="Arial"/>
                <w:color w:val="000000"/>
                <w:szCs w:val="21"/>
              </w:rPr>
              <w:t xml:space="preserve"> 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申购资金及基金转换转入款）与托管账户应付额（含</w:t>
            </w:r>
            <w:r w:rsidRPr="00A26A6B">
              <w:rPr>
                <w:rFonts w:ascii="Arial" w:hAnsi="Arial" w:cs="Arial"/>
                <w:color w:val="000000"/>
                <w:szCs w:val="21"/>
              </w:rPr>
              <w:t xml:space="preserve"> T+3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赎回资金及扣除归基金财产的赎回费、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基金转换转出款及扣除归基金财产的转换费）的差额来确定托管账户净应收额或净应付额，以此确定资金交收额。</w:t>
            </w:r>
            <w:r w:rsidRPr="00A26A6B">
              <w:rPr>
                <w:rFonts w:ascii="Arial" w:hAnsi="Arial" w:cs="Arial"/>
                <w:color w:val="000000"/>
                <w:szCs w:val="21"/>
              </w:rPr>
              <w:t>……”</w:t>
            </w:r>
          </w:p>
        </w:tc>
      </w:tr>
      <w:tr w:rsidR="00DC5EF2"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19</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嘉实致元</w:t>
            </w:r>
            <w:r w:rsidRPr="00A26A6B">
              <w:rPr>
                <w:rFonts w:ascii="Arial" w:hAnsi="Arial" w:cs="Arial"/>
                <w:color w:val="000000"/>
                <w:szCs w:val="21"/>
              </w:rPr>
              <w:t>42</w:t>
            </w:r>
            <w:r w:rsidRPr="00A26A6B">
              <w:rPr>
                <w:rFonts w:ascii="Arial" w:hAnsi="Arial" w:cs="Arial"/>
                <w:color w:val="000000"/>
                <w:szCs w:val="21"/>
              </w:rPr>
              <w:t>个月定期开放债券型证券投资基金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基金托管账户与</w:t>
            </w:r>
            <w:r w:rsidRPr="00A26A6B">
              <w:rPr>
                <w:rFonts w:ascii="Arial" w:hAnsi="Arial" w:cs="Arial"/>
                <w:color w:val="000000"/>
                <w:szCs w:val="21"/>
              </w:rPr>
              <w:t>“</w:t>
            </w:r>
            <w:r w:rsidRPr="00A26A6B">
              <w:rPr>
                <w:rFonts w:ascii="Arial" w:hAnsi="Arial" w:cs="Arial"/>
                <w:color w:val="000000"/>
                <w:szCs w:val="21"/>
              </w:rPr>
              <w:t>基金清算账户</w:t>
            </w:r>
            <w:r w:rsidRPr="00A26A6B">
              <w:rPr>
                <w:rFonts w:ascii="Arial" w:hAnsi="Arial" w:cs="Arial"/>
                <w:color w:val="000000"/>
                <w:szCs w:val="21"/>
              </w:rPr>
              <w:t>”</w:t>
            </w:r>
            <w:r w:rsidRPr="00A26A6B">
              <w:rPr>
                <w:rFonts w:ascii="Arial" w:hAnsi="Arial" w:cs="Arial"/>
                <w:color w:val="000000"/>
                <w:szCs w:val="21"/>
              </w:rPr>
              <w:t>间的资金清算遵循</w:t>
            </w:r>
            <w:r w:rsidRPr="00A26A6B">
              <w:rPr>
                <w:rFonts w:ascii="Arial" w:hAnsi="Arial" w:cs="Arial"/>
                <w:color w:val="000000"/>
                <w:szCs w:val="21"/>
              </w:rPr>
              <w:t>“</w:t>
            </w:r>
            <w:r w:rsidRPr="00A26A6B">
              <w:rPr>
                <w:rFonts w:ascii="Arial" w:hAnsi="Arial" w:cs="Arial"/>
                <w:color w:val="000000"/>
                <w:szCs w:val="21"/>
              </w:rPr>
              <w:t>净额清算、净额交收</w:t>
            </w:r>
            <w:r w:rsidRPr="00A26A6B">
              <w:rPr>
                <w:rFonts w:ascii="Arial" w:hAnsi="Arial" w:cs="Arial"/>
                <w:color w:val="000000"/>
                <w:szCs w:val="21"/>
              </w:rPr>
              <w:t>”</w:t>
            </w:r>
            <w:r w:rsidRPr="00A26A6B">
              <w:rPr>
                <w:rFonts w:ascii="Arial" w:hAnsi="Arial" w:cs="Arial"/>
                <w:color w:val="000000"/>
                <w:szCs w:val="21"/>
              </w:rPr>
              <w:t>的原则，即按照托管账户当日应收资金（包括</w:t>
            </w:r>
            <w:r w:rsidRPr="00A26A6B">
              <w:rPr>
                <w:rFonts w:ascii="Arial" w:hAnsi="Arial" w:cs="Arial"/>
                <w:color w:val="000000"/>
                <w:szCs w:val="21"/>
              </w:rPr>
              <w:t xml:space="preserve"> 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申购资金及基金转换转入款）与托管账户应付额（含</w:t>
            </w:r>
            <w:r w:rsidRPr="00A26A6B">
              <w:rPr>
                <w:rFonts w:ascii="Arial" w:hAnsi="Arial" w:cs="Arial"/>
                <w:color w:val="000000"/>
                <w:szCs w:val="21"/>
              </w:rPr>
              <w:t xml:space="preserve"> T+3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赎回资金及扣除归基金财产的赎回费、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基金转换转出款及扣除归基金财产的转换费）的差额来确定托管账户净应收额或净应付额，以此确定资金交收额。</w:t>
            </w:r>
            <w:r w:rsidRPr="00A26A6B">
              <w:rPr>
                <w:rFonts w:ascii="Arial" w:hAnsi="Arial" w:cs="Arial"/>
                <w:color w:val="000000"/>
                <w:szCs w:val="21"/>
              </w:rPr>
              <w:t>……”</w:t>
            </w:r>
          </w:p>
        </w:tc>
      </w:tr>
      <w:tr w:rsidR="00DC5EF2" w:rsidTr="001812B5">
        <w:tc>
          <w:tcPr>
            <w:tcW w:w="704"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20</w:t>
            </w:r>
          </w:p>
        </w:tc>
        <w:tc>
          <w:tcPr>
            <w:tcW w:w="198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嘉实现金宝货币市场基金</w:t>
            </w:r>
          </w:p>
        </w:tc>
        <w:tc>
          <w:tcPr>
            <w:tcW w:w="6095" w:type="dxa"/>
            <w:vAlign w:val="center"/>
          </w:tcPr>
          <w:p w:rsidR="00DC5EF2" w:rsidRPr="00A26A6B" w:rsidRDefault="00DC5EF2" w:rsidP="00DC5EF2">
            <w:pPr>
              <w:widowControl/>
              <w:jc w:val="left"/>
              <w:rPr>
                <w:rFonts w:ascii="Arial" w:hAnsi="Arial" w:cs="Arial"/>
                <w:szCs w:val="21"/>
              </w:rPr>
            </w:pPr>
            <w:r w:rsidRPr="00A26A6B">
              <w:rPr>
                <w:rFonts w:ascii="Arial" w:hAnsi="Arial" w:cs="Arial"/>
                <w:color w:val="000000"/>
                <w:szCs w:val="21"/>
              </w:rPr>
              <w:t>“</w:t>
            </w:r>
            <w:r w:rsidRPr="00A26A6B">
              <w:rPr>
                <w:rFonts w:ascii="Arial" w:hAnsi="Arial" w:cs="Arial"/>
                <w:color w:val="000000"/>
                <w:szCs w:val="21"/>
              </w:rPr>
              <w:t>七、交易及清算交收安排：（四）申赎净额结算</w:t>
            </w:r>
            <w:r w:rsidRPr="00A26A6B">
              <w:rPr>
                <w:rFonts w:ascii="Arial" w:hAnsi="Arial" w:cs="Arial"/>
                <w:color w:val="000000"/>
                <w:szCs w:val="21"/>
              </w:rPr>
              <w:t>”</w:t>
            </w:r>
            <w:r w:rsidRPr="00A26A6B">
              <w:rPr>
                <w:rFonts w:ascii="Arial" w:hAnsi="Arial" w:cs="Arial"/>
                <w:color w:val="000000"/>
                <w:szCs w:val="21"/>
              </w:rPr>
              <w:t>增加划线内容：</w:t>
            </w:r>
            <w:r w:rsidRPr="00A26A6B">
              <w:rPr>
                <w:rFonts w:ascii="Arial" w:hAnsi="Arial" w:cs="Arial"/>
                <w:color w:val="000000"/>
                <w:szCs w:val="21"/>
              </w:rPr>
              <w:t>“……</w:t>
            </w:r>
            <w:r w:rsidRPr="00A26A6B">
              <w:rPr>
                <w:rFonts w:ascii="Arial" w:hAnsi="Arial" w:cs="Arial"/>
                <w:color w:val="000000"/>
                <w:szCs w:val="21"/>
              </w:rPr>
              <w:t>基金管理人和基金托管人据此进行申购赎回的基金会计处理。基金银行账户与基金总清算账户间的资金清算遵循</w:t>
            </w:r>
            <w:r w:rsidRPr="00A26A6B">
              <w:rPr>
                <w:rFonts w:ascii="Arial" w:hAnsi="Arial" w:cs="Arial"/>
                <w:color w:val="000000"/>
                <w:szCs w:val="21"/>
              </w:rPr>
              <w:t>“</w:t>
            </w:r>
            <w:r w:rsidRPr="00A26A6B">
              <w:rPr>
                <w:rFonts w:ascii="Arial" w:hAnsi="Arial" w:cs="Arial"/>
                <w:color w:val="000000"/>
                <w:szCs w:val="21"/>
              </w:rPr>
              <w:t>净额清算、轧差交收</w:t>
            </w:r>
            <w:r w:rsidRPr="00A26A6B">
              <w:rPr>
                <w:rFonts w:ascii="Arial" w:hAnsi="Arial" w:cs="Arial"/>
                <w:color w:val="000000"/>
                <w:szCs w:val="21"/>
              </w:rPr>
              <w:t>”</w:t>
            </w:r>
            <w:r w:rsidRPr="00A26A6B">
              <w:rPr>
                <w:rFonts w:ascii="Arial" w:hAnsi="Arial" w:cs="Arial"/>
                <w:color w:val="000000"/>
                <w:szCs w:val="21"/>
              </w:rPr>
              <w:t>的原则，即注册登记机构在</w:t>
            </w:r>
            <w:r w:rsidRPr="00A26A6B">
              <w:rPr>
                <w:rFonts w:ascii="Arial" w:hAnsi="Arial" w:cs="Arial"/>
                <w:color w:val="000000"/>
                <w:szCs w:val="21"/>
              </w:rPr>
              <w:t xml:space="preserve"> T+1 </w:t>
            </w:r>
            <w:r w:rsidRPr="00A26A6B">
              <w:rPr>
                <w:rFonts w:ascii="Arial" w:hAnsi="Arial" w:cs="Arial"/>
                <w:color w:val="000000"/>
                <w:szCs w:val="21"/>
              </w:rPr>
              <w:t>日将全部直销申购款项、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将全部代销申购款项、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将转换转入等基金银行账户应收款划到基金银行账户，托管人在接到指令后于</w:t>
            </w:r>
            <w:r w:rsidRPr="00A26A6B">
              <w:rPr>
                <w:rFonts w:ascii="Arial" w:hAnsi="Arial" w:cs="Arial"/>
                <w:color w:val="000000"/>
                <w:szCs w:val="21"/>
              </w:rPr>
              <w:t xml:space="preserve"> T+1 </w:t>
            </w:r>
            <w:r w:rsidRPr="00A26A6B">
              <w:rPr>
                <w:rFonts w:ascii="Arial" w:hAnsi="Arial" w:cs="Arial"/>
                <w:color w:val="000000"/>
                <w:szCs w:val="21"/>
              </w:rPr>
              <w:t>日将全部赎回款项、</w:t>
            </w:r>
            <w:r w:rsidRPr="00A26A6B">
              <w:rPr>
                <w:rFonts w:ascii="Arial" w:hAnsi="Arial" w:cs="Arial"/>
                <w:color w:val="000000"/>
                <w:szCs w:val="21"/>
              </w:rPr>
              <w:t xml:space="preserve">T+2 </w:t>
            </w:r>
            <w:r w:rsidRPr="00A26A6B">
              <w:rPr>
                <w:rFonts w:ascii="Arial" w:hAnsi="Arial" w:cs="Arial"/>
                <w:color w:val="000000"/>
                <w:szCs w:val="21"/>
              </w:rPr>
              <w:t>日</w:t>
            </w:r>
            <w:r w:rsidRPr="00A26A6B">
              <w:rPr>
                <w:rFonts w:ascii="Arial" w:hAnsi="Arial" w:cs="Arial"/>
                <w:b/>
                <w:color w:val="000000"/>
                <w:szCs w:val="21"/>
                <w:u w:val="single"/>
              </w:rPr>
              <w:t>内</w:t>
            </w:r>
            <w:r w:rsidRPr="00A26A6B">
              <w:rPr>
                <w:rFonts w:ascii="Arial" w:hAnsi="Arial" w:cs="Arial"/>
                <w:color w:val="000000"/>
                <w:szCs w:val="21"/>
              </w:rPr>
              <w:t>将全部转换转出款项、转换费等基金银行账户应付款划至注册登记机构基金总清算账户。</w:t>
            </w:r>
            <w:r w:rsidRPr="00A26A6B">
              <w:rPr>
                <w:rFonts w:ascii="Arial" w:hAnsi="Arial" w:cs="Arial"/>
                <w:color w:val="000000"/>
                <w:szCs w:val="21"/>
              </w:rPr>
              <w:t>…</w:t>
            </w:r>
            <w:r w:rsidRPr="00A26A6B">
              <w:rPr>
                <w:rFonts w:ascii="Arial" w:eastAsia="仿宋" w:hAnsi="Arial" w:cs="Arial"/>
                <w:sz w:val="24"/>
              </w:rPr>
              <w:t>…”</w:t>
            </w:r>
          </w:p>
        </w:tc>
      </w:tr>
    </w:tbl>
    <w:p w:rsidR="00266307" w:rsidRDefault="00266307" w:rsidP="00266307">
      <w:pPr>
        <w:autoSpaceDE w:val="0"/>
        <w:autoSpaceDN w:val="0"/>
        <w:adjustRightInd w:val="0"/>
        <w:spacing w:line="360" w:lineRule="auto"/>
        <w:ind w:firstLineChars="200" w:firstLine="420"/>
        <w:rPr>
          <w:rFonts w:ascii="Arial" w:hAnsi="Arial" w:cs="Arial"/>
          <w:szCs w:val="21"/>
        </w:rPr>
      </w:pPr>
      <w:r>
        <w:rPr>
          <w:rFonts w:ascii="Arial" w:hAnsi="Arial" w:cs="Arial" w:hint="eastAsia"/>
          <w:szCs w:val="21"/>
        </w:rPr>
        <w:t>本次修订对基金份额持有人利益无实质性不利影响，根据法律法规及各基金合同的约定，无需召开基金份额持有人大会进行表决。</w:t>
      </w:r>
    </w:p>
    <w:p w:rsidR="00266307" w:rsidRDefault="00266307" w:rsidP="00266307">
      <w:pPr>
        <w:autoSpaceDE w:val="0"/>
        <w:autoSpaceDN w:val="0"/>
        <w:adjustRightInd w:val="0"/>
        <w:spacing w:line="360" w:lineRule="auto"/>
        <w:ind w:firstLineChars="200" w:firstLine="420"/>
        <w:rPr>
          <w:rFonts w:ascii="Arial" w:hAnsi="Arial" w:cs="Arial"/>
          <w:szCs w:val="21"/>
        </w:rPr>
      </w:pPr>
      <w:r>
        <w:rPr>
          <w:rFonts w:ascii="Arial" w:hAnsi="Arial" w:cs="Arial" w:hint="eastAsia"/>
          <w:szCs w:val="21"/>
        </w:rPr>
        <w:t>本次修订自</w:t>
      </w:r>
      <w:r w:rsidR="00DC5EF2">
        <w:rPr>
          <w:rFonts w:ascii="Arial" w:hAnsi="Arial" w:cs="Arial"/>
          <w:szCs w:val="21"/>
        </w:rPr>
        <w:t>2023</w:t>
      </w:r>
      <w:r w:rsidR="00DC5EF2">
        <w:rPr>
          <w:rFonts w:ascii="Arial" w:hAnsi="Arial" w:cs="Arial" w:hint="eastAsia"/>
          <w:szCs w:val="21"/>
        </w:rPr>
        <w:t>年</w:t>
      </w:r>
      <w:r w:rsidR="003C298A">
        <w:rPr>
          <w:rFonts w:ascii="Arial" w:hAnsi="Arial" w:cs="Arial"/>
          <w:szCs w:val="21"/>
        </w:rPr>
        <w:t>5</w:t>
      </w:r>
      <w:r w:rsidR="003C298A">
        <w:rPr>
          <w:rFonts w:ascii="Arial" w:hAnsi="Arial" w:cs="Arial"/>
          <w:szCs w:val="21"/>
        </w:rPr>
        <w:t>月</w:t>
      </w:r>
      <w:r w:rsidR="003C298A">
        <w:rPr>
          <w:rFonts w:ascii="Arial" w:hAnsi="Arial" w:cs="Arial"/>
          <w:szCs w:val="21"/>
        </w:rPr>
        <w:t>30</w:t>
      </w:r>
      <w:r w:rsidR="003C298A">
        <w:rPr>
          <w:rFonts w:ascii="Arial" w:hAnsi="Arial" w:cs="Arial"/>
          <w:szCs w:val="21"/>
        </w:rPr>
        <w:t>日</w:t>
      </w:r>
      <w:r>
        <w:rPr>
          <w:rFonts w:ascii="Arial" w:hAnsi="Arial" w:cs="Arial" w:hint="eastAsia"/>
          <w:szCs w:val="21"/>
        </w:rPr>
        <w:t>起生效。投资者可拨打嘉实基金管理有限公司客户服务电话</w:t>
      </w:r>
      <w:r>
        <w:rPr>
          <w:rFonts w:ascii="Arial" w:hAnsi="Arial" w:cs="Arial" w:hint="eastAsia"/>
          <w:szCs w:val="21"/>
        </w:rPr>
        <w:t>400-600-8800</w:t>
      </w:r>
      <w:r>
        <w:rPr>
          <w:rFonts w:ascii="Arial" w:hAnsi="Arial" w:cs="Arial" w:hint="eastAsia"/>
          <w:szCs w:val="21"/>
        </w:rPr>
        <w:t>或登录本公司网站（</w:t>
      </w:r>
      <w:hyperlink r:id="rId6" w:history="1">
        <w:r>
          <w:rPr>
            <w:rStyle w:val="a6"/>
            <w:rFonts w:ascii="Arial" w:hAnsi="Arial" w:cs="Arial" w:hint="eastAsia"/>
            <w:szCs w:val="21"/>
          </w:rPr>
          <w:t>www.jsfund.cn</w:t>
        </w:r>
      </w:hyperlink>
      <w:r>
        <w:rPr>
          <w:rFonts w:ascii="Arial" w:hAnsi="Arial" w:cs="Arial" w:hint="eastAsia"/>
          <w:szCs w:val="21"/>
        </w:rPr>
        <w:t>）和中国证监会基金电子披露网站（</w:t>
      </w:r>
      <w:hyperlink r:id="rId7" w:history="1">
        <w:r>
          <w:rPr>
            <w:rStyle w:val="a6"/>
            <w:rFonts w:ascii="Arial" w:hAnsi="Arial" w:cs="Arial" w:hint="eastAsia"/>
            <w:szCs w:val="21"/>
          </w:rPr>
          <w:t>http://eid.csrc.gov.cn/fund</w:t>
        </w:r>
      </w:hyperlink>
      <w:r>
        <w:rPr>
          <w:rFonts w:ascii="Arial" w:hAnsi="Arial" w:cs="Arial" w:hint="eastAsia"/>
          <w:szCs w:val="21"/>
        </w:rPr>
        <w:t>）咨询、了解相关情况。</w:t>
      </w:r>
    </w:p>
    <w:p w:rsidR="00266307" w:rsidRDefault="00266307" w:rsidP="00266307">
      <w:pPr>
        <w:autoSpaceDE w:val="0"/>
        <w:autoSpaceDN w:val="0"/>
        <w:adjustRightInd w:val="0"/>
        <w:spacing w:line="360" w:lineRule="auto"/>
        <w:ind w:firstLineChars="200" w:firstLine="420"/>
        <w:jc w:val="left"/>
        <w:rPr>
          <w:rFonts w:ascii="Arial" w:hAnsi="Arial" w:cs="Arial"/>
          <w:szCs w:val="21"/>
        </w:rPr>
      </w:pPr>
      <w:r>
        <w:rPr>
          <w:rFonts w:ascii="Arial" w:hAnsi="Arial" w:cs="Arial" w:hint="eastAsia"/>
          <w:szCs w:val="21"/>
        </w:rPr>
        <w:t>风险提示：本公司承诺以诚实信用、勤勉尽责的原则管理和运用基金资产，但不保证基金一定盈利，也不保证最低收益。敬请投资人注意投资风险。投资者投资于上述基金前应认真阅读基金的基金合同、更新的基金产品资料</w:t>
      </w:r>
      <w:r>
        <w:rPr>
          <w:rFonts w:ascii="Arial" w:hAnsi="Arial" w:cs="Arial"/>
          <w:szCs w:val="21"/>
        </w:rPr>
        <w:t>概要</w:t>
      </w:r>
      <w:r>
        <w:rPr>
          <w:rFonts w:ascii="Arial" w:hAnsi="Arial" w:cs="Arial" w:hint="eastAsia"/>
          <w:szCs w:val="21"/>
        </w:rPr>
        <w:t>及招募说明书。</w:t>
      </w:r>
    </w:p>
    <w:p w:rsidR="00266307" w:rsidRDefault="00266307" w:rsidP="00266307">
      <w:pPr>
        <w:autoSpaceDE w:val="0"/>
        <w:autoSpaceDN w:val="0"/>
        <w:adjustRightInd w:val="0"/>
        <w:spacing w:line="360" w:lineRule="auto"/>
        <w:ind w:firstLineChars="200" w:firstLine="420"/>
        <w:jc w:val="left"/>
        <w:rPr>
          <w:rFonts w:ascii="Arial" w:hAnsi="Arial" w:cs="Arial"/>
          <w:szCs w:val="21"/>
        </w:rPr>
      </w:pPr>
      <w:r>
        <w:rPr>
          <w:rFonts w:ascii="Arial" w:hAnsi="Arial" w:cs="Arial" w:hint="eastAsia"/>
          <w:szCs w:val="21"/>
        </w:rPr>
        <w:t>特此公告。</w:t>
      </w:r>
    </w:p>
    <w:p w:rsidR="00266307" w:rsidRDefault="00266307" w:rsidP="00266307">
      <w:pPr>
        <w:autoSpaceDE w:val="0"/>
        <w:autoSpaceDN w:val="0"/>
        <w:adjustRightInd w:val="0"/>
        <w:spacing w:line="360" w:lineRule="auto"/>
        <w:ind w:firstLineChars="2950" w:firstLine="6195"/>
        <w:jc w:val="left"/>
        <w:rPr>
          <w:rFonts w:ascii="Arial" w:hAnsi="Arial" w:cs="Arial"/>
          <w:szCs w:val="21"/>
        </w:rPr>
      </w:pPr>
      <w:r>
        <w:rPr>
          <w:rFonts w:ascii="Arial" w:hAnsi="Arial" w:cs="Arial" w:hint="eastAsia"/>
          <w:szCs w:val="21"/>
        </w:rPr>
        <w:t>嘉实基金管理有限公司</w:t>
      </w:r>
    </w:p>
    <w:p w:rsidR="00977824" w:rsidRPr="00CB2F91" w:rsidRDefault="00DC5EF2" w:rsidP="00CB2F91">
      <w:pPr>
        <w:wordWrap w:val="0"/>
        <w:adjustRightInd w:val="0"/>
        <w:snapToGrid w:val="0"/>
        <w:spacing w:line="400" w:lineRule="exact"/>
        <w:jc w:val="right"/>
        <w:rPr>
          <w:rFonts w:ascii="Arial" w:hAnsi="Arial" w:cs="Arial"/>
          <w:szCs w:val="21"/>
        </w:rPr>
      </w:pPr>
      <w:r>
        <w:rPr>
          <w:rFonts w:ascii="Arial" w:hAnsi="Arial" w:cs="Arial"/>
          <w:szCs w:val="21"/>
        </w:rPr>
        <w:t>2023</w:t>
      </w:r>
      <w:r>
        <w:rPr>
          <w:rFonts w:ascii="Arial" w:hAnsi="Arial" w:cs="Arial" w:hint="eastAsia"/>
          <w:szCs w:val="21"/>
        </w:rPr>
        <w:t>年</w:t>
      </w:r>
      <w:r w:rsidR="003C298A">
        <w:rPr>
          <w:rFonts w:ascii="Arial" w:hAnsi="Arial" w:cs="Arial"/>
          <w:szCs w:val="21"/>
        </w:rPr>
        <w:t>5</w:t>
      </w:r>
      <w:r w:rsidR="003C298A">
        <w:rPr>
          <w:rFonts w:ascii="Arial" w:hAnsi="Arial" w:cs="Arial"/>
          <w:szCs w:val="21"/>
        </w:rPr>
        <w:t>月</w:t>
      </w:r>
      <w:r w:rsidR="003C298A">
        <w:rPr>
          <w:rFonts w:ascii="Arial" w:hAnsi="Arial" w:cs="Arial"/>
          <w:szCs w:val="21"/>
        </w:rPr>
        <w:t>30</w:t>
      </w:r>
      <w:r w:rsidR="003C298A">
        <w:rPr>
          <w:rFonts w:ascii="Arial" w:hAnsi="Arial" w:cs="Arial"/>
          <w:szCs w:val="21"/>
        </w:rPr>
        <w:t>日</w:t>
      </w:r>
    </w:p>
    <w:sectPr w:rsidR="00977824" w:rsidRPr="00CB2F91" w:rsidSect="00517C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E90" w:rsidRDefault="00A10E90" w:rsidP="00266307">
      <w:r>
        <w:separator/>
      </w:r>
    </w:p>
  </w:endnote>
  <w:endnote w:type="continuationSeparator" w:id="0">
    <w:p w:rsidR="00A10E90" w:rsidRDefault="00A10E90" w:rsidP="0026630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E90" w:rsidRDefault="00A10E90" w:rsidP="00266307">
      <w:r>
        <w:separator/>
      </w:r>
    </w:p>
  </w:footnote>
  <w:footnote w:type="continuationSeparator" w:id="0">
    <w:p w:rsidR="00A10E90" w:rsidRDefault="00A10E90" w:rsidP="002663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6091"/>
    <w:rsid w:val="00016AA0"/>
    <w:rsid w:val="00084DEA"/>
    <w:rsid w:val="00165105"/>
    <w:rsid w:val="00176661"/>
    <w:rsid w:val="001812B5"/>
    <w:rsid w:val="002425CD"/>
    <w:rsid w:val="00266307"/>
    <w:rsid w:val="00292B49"/>
    <w:rsid w:val="002B671E"/>
    <w:rsid w:val="003C0CF9"/>
    <w:rsid w:val="003C298A"/>
    <w:rsid w:val="00455332"/>
    <w:rsid w:val="004A65AC"/>
    <w:rsid w:val="00517CFE"/>
    <w:rsid w:val="00695FFF"/>
    <w:rsid w:val="00730E4A"/>
    <w:rsid w:val="0076653E"/>
    <w:rsid w:val="0079400D"/>
    <w:rsid w:val="0089770D"/>
    <w:rsid w:val="008A574E"/>
    <w:rsid w:val="008D5940"/>
    <w:rsid w:val="008D59CF"/>
    <w:rsid w:val="00921038"/>
    <w:rsid w:val="00935D8B"/>
    <w:rsid w:val="00941471"/>
    <w:rsid w:val="00943412"/>
    <w:rsid w:val="00974F57"/>
    <w:rsid w:val="00977824"/>
    <w:rsid w:val="00981661"/>
    <w:rsid w:val="00A10E90"/>
    <w:rsid w:val="00A26A6B"/>
    <w:rsid w:val="00AA5A0B"/>
    <w:rsid w:val="00CB2F91"/>
    <w:rsid w:val="00DC5EF2"/>
    <w:rsid w:val="00DD1D47"/>
    <w:rsid w:val="00DE0C17"/>
    <w:rsid w:val="00DE3187"/>
    <w:rsid w:val="00DF3050"/>
    <w:rsid w:val="00E20918"/>
    <w:rsid w:val="00E541D3"/>
    <w:rsid w:val="00E62C9A"/>
    <w:rsid w:val="00F05DE8"/>
    <w:rsid w:val="00F45C29"/>
    <w:rsid w:val="00F673F6"/>
    <w:rsid w:val="00F8324F"/>
    <w:rsid w:val="00FA4C0F"/>
    <w:rsid w:val="00FC6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63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6307"/>
    <w:rPr>
      <w:sz w:val="18"/>
      <w:szCs w:val="18"/>
    </w:rPr>
  </w:style>
  <w:style w:type="paragraph" w:styleId="a4">
    <w:name w:val="footer"/>
    <w:basedOn w:val="a"/>
    <w:link w:val="Char0"/>
    <w:uiPriority w:val="99"/>
    <w:unhideWhenUsed/>
    <w:rsid w:val="002663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6307"/>
    <w:rPr>
      <w:sz w:val="18"/>
      <w:szCs w:val="18"/>
    </w:rPr>
  </w:style>
  <w:style w:type="table" w:styleId="a5">
    <w:name w:val="Table Grid"/>
    <w:basedOn w:val="a1"/>
    <w:uiPriority w:val="59"/>
    <w:rsid w:val="00266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266307"/>
    <w:rPr>
      <w:color w:val="0000FF"/>
      <w:u w:val="single"/>
    </w:rPr>
  </w:style>
  <w:style w:type="character" w:customStyle="1" w:styleId="da">
    <w:name w:val="da"/>
    <w:basedOn w:val="a0"/>
    <w:rsid w:val="00266307"/>
  </w:style>
  <w:style w:type="character" w:styleId="a7">
    <w:name w:val="annotation reference"/>
    <w:basedOn w:val="a0"/>
    <w:uiPriority w:val="99"/>
    <w:semiHidden/>
    <w:unhideWhenUsed/>
    <w:rsid w:val="00E20918"/>
    <w:rPr>
      <w:sz w:val="21"/>
      <w:szCs w:val="21"/>
    </w:rPr>
  </w:style>
  <w:style w:type="paragraph" w:styleId="a8">
    <w:name w:val="annotation text"/>
    <w:basedOn w:val="a"/>
    <w:link w:val="Char1"/>
    <w:uiPriority w:val="99"/>
    <w:semiHidden/>
    <w:unhideWhenUsed/>
    <w:rsid w:val="00E20918"/>
    <w:pPr>
      <w:jc w:val="left"/>
    </w:pPr>
  </w:style>
  <w:style w:type="character" w:customStyle="1" w:styleId="Char1">
    <w:name w:val="批注文字 Char"/>
    <w:basedOn w:val="a0"/>
    <w:link w:val="a8"/>
    <w:uiPriority w:val="99"/>
    <w:semiHidden/>
    <w:rsid w:val="00E20918"/>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E20918"/>
    <w:rPr>
      <w:b/>
      <w:bCs/>
    </w:rPr>
  </w:style>
  <w:style w:type="character" w:customStyle="1" w:styleId="Char2">
    <w:name w:val="批注主题 Char"/>
    <w:basedOn w:val="Char1"/>
    <w:link w:val="a9"/>
    <w:uiPriority w:val="99"/>
    <w:semiHidden/>
    <w:rsid w:val="00E20918"/>
    <w:rPr>
      <w:rFonts w:ascii="Times New Roman" w:eastAsia="宋体" w:hAnsi="Times New Roman" w:cs="Times New Roman"/>
      <w:b/>
      <w:bCs/>
      <w:szCs w:val="24"/>
    </w:rPr>
  </w:style>
  <w:style w:type="paragraph" w:styleId="aa">
    <w:name w:val="Balloon Text"/>
    <w:basedOn w:val="a"/>
    <w:link w:val="Char3"/>
    <w:uiPriority w:val="99"/>
    <w:semiHidden/>
    <w:unhideWhenUsed/>
    <w:rsid w:val="00E20918"/>
    <w:rPr>
      <w:sz w:val="18"/>
      <w:szCs w:val="18"/>
    </w:rPr>
  </w:style>
  <w:style w:type="character" w:customStyle="1" w:styleId="Char3">
    <w:name w:val="批注框文本 Char"/>
    <w:basedOn w:val="a0"/>
    <w:link w:val="aa"/>
    <w:uiPriority w:val="99"/>
    <w:semiHidden/>
    <w:rsid w:val="00E2091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fund.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5202</Characters>
  <Application>Microsoft Office Word</Application>
  <DocSecurity>4</DocSecurity>
  <Lines>43</Lines>
  <Paragraphs>12</Paragraphs>
  <ScaleCrop>false</ScaleCrop>
  <Company>1</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米悦心</dc:creator>
  <cp:keywords/>
  <dc:description/>
  <cp:lastModifiedBy>ZHONGM</cp:lastModifiedBy>
  <cp:revision>2</cp:revision>
  <dcterms:created xsi:type="dcterms:W3CDTF">2023-05-29T16:01:00Z</dcterms:created>
  <dcterms:modified xsi:type="dcterms:W3CDTF">2023-05-29T16:01:00Z</dcterms:modified>
</cp:coreProperties>
</file>