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34218B" w:rsidRDefault="003E5CB0">
      <w:pPr>
        <w:pStyle w:val="Default"/>
        <w:spacing w:line="360" w:lineRule="auto"/>
        <w:ind w:firstLineChars="200" w:firstLine="480"/>
        <w:jc w:val="both"/>
        <w:rPr>
          <w:rFonts w:ascii="Times New Roman" w:eastAsiaTheme="minorEastAsia" w:hAnsiTheme="minorEastAsia" w:cs="Times New Roman"/>
          <w:color w:val="auto"/>
          <w:kern w:val="2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</w:t>
      </w:r>
      <w:r w:rsidR="008F2F79" w:rsidRPr="00F23AE3">
        <w:rPr>
          <w:rFonts w:ascii="Times New Roman" w:eastAsiaTheme="minorEastAsia" w:hAnsiTheme="minorEastAsia" w:cs="Times New Roman"/>
          <w:color w:val="auto"/>
          <w:kern w:val="2"/>
        </w:rPr>
        <w:t>基金管理有限公司（以下简称“本公司”）旗下部分公募基金</w:t>
      </w:r>
      <w:r w:rsidR="0005750C" w:rsidRPr="00F23AE3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0C1C5A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湖南航天环宇通信科技股份有限公司</w:t>
      </w:r>
      <w:r w:rsidR="004F33DC" w:rsidRPr="00F23AE3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0C1C5A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航天环宇</w:t>
      </w:r>
      <w:r w:rsidR="004F33DC" w:rsidRPr="00F23AE3">
        <w:rPr>
          <w:rFonts w:ascii="Times New Roman" w:eastAsiaTheme="minorEastAsia" w:hAnsiTheme="minorEastAsia" w:cs="Times New Roman" w:hint="eastAsia"/>
          <w:color w:val="auto"/>
          <w:kern w:val="2"/>
        </w:rPr>
        <w:t>”）首次公</w:t>
      </w:r>
      <w:r w:rsidR="004F33DC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开发行</w:t>
      </w:r>
      <w:r w:rsidR="004F33DC" w:rsidRPr="000C1C5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C1C5A">
        <w:rPr>
          <w:rFonts w:ascii="Times New Roman" w:eastAsiaTheme="minorEastAsia" w:hAnsiTheme="minorEastAsia" w:cs="Times New Roman"/>
          <w:color w:val="auto"/>
          <w:kern w:val="2"/>
        </w:rPr>
        <w:t>A</w:t>
      </w:r>
      <w:r w:rsidR="004F33DC" w:rsidRPr="000C1C5A">
        <w:rPr>
          <w:rFonts w:ascii="Times New Roman" w:eastAsiaTheme="minorEastAsia" w:hAnsiTheme="minorEastAsia" w:cs="Times New Roman"/>
          <w:color w:val="auto"/>
          <w:kern w:val="2"/>
        </w:rPr>
        <w:t>股）的网下申购</w:t>
      </w:r>
      <w:r w:rsidR="00BA1995">
        <w:rPr>
          <w:rFonts w:ascii="Times New Roman" w:eastAsiaTheme="minorEastAsia" w:hAnsiTheme="minorEastAsia" w:cs="Times New Roman"/>
          <w:color w:val="auto"/>
          <w:kern w:val="2"/>
        </w:rPr>
        <w:t>以及</w:t>
      </w:r>
      <w:r w:rsidR="00BA1995" w:rsidRPr="00301D28">
        <w:rPr>
          <w:rFonts w:ascii="Times New Roman" w:eastAsiaTheme="minorEastAsia" w:hAnsiTheme="minorEastAsia" w:cs="Times New Roman" w:hint="eastAsia"/>
          <w:color w:val="auto"/>
          <w:kern w:val="2"/>
        </w:rPr>
        <w:t>越秀地产股份有限公司（以下简称</w:t>
      </w:r>
      <w:r w:rsidR="00BA1995" w:rsidRPr="00301D28">
        <w:rPr>
          <w:rFonts w:ascii="Times New Roman" w:eastAsiaTheme="minorEastAsia" w:hAnsiTheme="minorEastAsia" w:cs="Times New Roman"/>
          <w:color w:val="auto"/>
          <w:kern w:val="2"/>
        </w:rPr>
        <w:t>“</w:t>
      </w:r>
      <w:r w:rsidR="00BA1995" w:rsidRPr="00301D28">
        <w:rPr>
          <w:rFonts w:ascii="Times New Roman" w:eastAsiaTheme="minorEastAsia" w:hAnsiTheme="minorEastAsia" w:cs="Times New Roman" w:hint="eastAsia"/>
          <w:color w:val="auto"/>
          <w:kern w:val="2"/>
        </w:rPr>
        <w:t>越秀地产</w:t>
      </w:r>
      <w:r w:rsidR="00BA1995" w:rsidRPr="00301D28">
        <w:rPr>
          <w:rFonts w:ascii="Times New Roman" w:eastAsiaTheme="minorEastAsia" w:hAnsiTheme="minorEastAsia" w:cs="Times New Roman"/>
          <w:color w:val="auto"/>
          <w:kern w:val="2"/>
        </w:rPr>
        <w:t>”</w:t>
      </w:r>
      <w:r w:rsidR="00BA1995" w:rsidRPr="00301D28">
        <w:rPr>
          <w:rFonts w:ascii="Times New Roman" w:eastAsiaTheme="minorEastAsia" w:hAnsiTheme="minorEastAsia" w:cs="Times New Roman" w:hint="eastAsia"/>
          <w:color w:val="auto"/>
          <w:kern w:val="2"/>
        </w:rPr>
        <w:t>）的港股供股（以下</w:t>
      </w:r>
      <w:r w:rsidR="00BA1995" w:rsidRPr="00301D28">
        <w:rPr>
          <w:rFonts w:ascii="Times New Roman" w:eastAsiaTheme="minorEastAsia" w:hAnsiTheme="minorEastAsia" w:cs="Times New Roman"/>
          <w:color w:val="auto"/>
          <w:kern w:val="2"/>
        </w:rPr>
        <w:t>简称“</w:t>
      </w:r>
      <w:r w:rsidR="00BA1995" w:rsidRPr="00301D28">
        <w:rPr>
          <w:rFonts w:ascii="Times New Roman" w:eastAsiaTheme="minorEastAsia" w:hAnsiTheme="minorEastAsia" w:cs="Times New Roman" w:hint="eastAsia"/>
          <w:color w:val="auto"/>
          <w:kern w:val="2"/>
        </w:rPr>
        <w:t>本次供股</w:t>
      </w:r>
      <w:r w:rsidR="00BA1995" w:rsidRPr="00301D28">
        <w:rPr>
          <w:rFonts w:ascii="Times New Roman" w:eastAsiaTheme="minorEastAsia" w:hAnsiTheme="minorEastAsia" w:cs="Times New Roman"/>
          <w:color w:val="auto"/>
          <w:kern w:val="2"/>
        </w:rPr>
        <w:t>”）</w:t>
      </w:r>
      <w:r w:rsidR="004F33DC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现将有关情况公告如下：</w:t>
      </w:r>
    </w:p>
    <w:p w:rsidR="004F33DC" w:rsidRDefault="004F33DC" w:rsidP="004F33DC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  <w:kern w:val="2"/>
        </w:rPr>
      </w:pPr>
      <w:r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一、</w:t>
      </w:r>
      <w:r w:rsidR="003152F0" w:rsidRPr="00B52BD6">
        <w:rPr>
          <w:rFonts w:asciiTheme="minorEastAsia" w:eastAsiaTheme="minorEastAsia" w:hAnsiTheme="minorEastAsia" w:cs="Times New Roman" w:hint="eastAsia"/>
          <w:color w:val="auto"/>
          <w:kern w:val="2"/>
        </w:rPr>
        <w:t>参与</w:t>
      </w:r>
      <w:r w:rsidR="000C1C5A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航天环宇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首次公开发行</w:t>
      </w:r>
      <w:r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</w:t>
      </w:r>
      <w:r>
        <w:rPr>
          <w:rFonts w:asciiTheme="minorEastAsia" w:eastAsiaTheme="minorEastAsia" w:hAnsiTheme="minorEastAsia" w:cs="Times New Roman" w:hint="eastAsia"/>
          <w:color w:val="auto"/>
          <w:kern w:val="2"/>
        </w:rPr>
        <w:t>的网下申购情况</w:t>
      </w:r>
    </w:p>
    <w:p w:rsidR="0034218B" w:rsidRDefault="001B33C4">
      <w:pPr>
        <w:pStyle w:val="Default"/>
        <w:spacing w:line="360" w:lineRule="auto"/>
        <w:ind w:firstLineChars="200" w:firstLine="480"/>
        <w:jc w:val="both"/>
        <w:rPr>
          <w:rFonts w:ascii="Times New Roman" w:eastAsiaTheme="minorEastAsia" w:hAnsiTheme="minorEastAsia" w:cs="Times New Roman"/>
        </w:rPr>
      </w:pPr>
      <w:r w:rsidRPr="008A4E6F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本公司控股股东</w:t>
      </w:r>
      <w:r w:rsidRPr="00593E09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中信证券股份有限公司</w:t>
      </w:r>
      <w:r w:rsidRPr="008A4E6F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为</w:t>
      </w:r>
      <w:r w:rsidR="000C1C5A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航天环宇</w:t>
      </w:r>
      <w:r w:rsidDel="00CA37A5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0C1C5A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联席主承销商</w:t>
      </w:r>
      <w:r w:rsidDel="00CA37A5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0C1C5A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航天环宇</w:t>
      </w:r>
      <w:r w:rsidR="0071245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B52BD6">
        <w:rPr>
          <w:rFonts w:ascii="Times New Roman" w:eastAsiaTheme="minorEastAsia" w:hAnsiTheme="minorEastAsia" w:cs="Times New Roman"/>
        </w:rPr>
        <w:t>发行价格为人民币</w:t>
      </w:r>
      <w:r w:rsidR="000C1C5A" w:rsidRPr="000C1C5A">
        <w:rPr>
          <w:rFonts w:ascii="Times New Roman" w:eastAsiaTheme="minorEastAsia" w:cs="Times New Roman"/>
        </w:rPr>
        <w:t>21.86</w:t>
      </w:r>
      <w:r w:rsidR="0071245A" w:rsidRPr="00EA62D5">
        <w:rPr>
          <w:rFonts w:ascii="Times New Roman" w:eastAsiaTheme="minorEastAsia" w:cs="Times New Roman" w:hint="eastAsia"/>
        </w:rPr>
        <w:t>元</w:t>
      </w:r>
      <w:r w:rsidR="0071245A" w:rsidRPr="00EA62D5">
        <w:rPr>
          <w:rFonts w:ascii="Times New Roman" w:eastAsiaTheme="minorEastAsia" w:cs="Times New Roman" w:hint="eastAsia"/>
        </w:rPr>
        <w:t>/</w:t>
      </w:r>
      <w:r w:rsidR="0071245A" w:rsidRPr="00EA62D5">
        <w:rPr>
          <w:rFonts w:ascii="Times New Roman" w:eastAsiaTheme="minorEastAsia" w:cs="Times New Roman" w:hint="eastAsia"/>
        </w:rPr>
        <w:t>股</w:t>
      </w:r>
      <w:r w:rsidR="0071245A" w:rsidRPr="00B52BD6">
        <w:rPr>
          <w:rFonts w:ascii="Times New Roman" w:eastAsiaTheme="minorEastAsia" w:hAnsiTheme="minorEastAsia" w:cs="Times New Roman"/>
        </w:rPr>
        <w:t>，由</w:t>
      </w:r>
      <w:r w:rsidR="000C1C5A" w:rsidRPr="000C1C5A">
        <w:rPr>
          <w:rFonts w:ascii="Times New Roman" w:eastAsiaTheme="minorEastAsia" w:hAnsiTheme="minorEastAsia" w:cs="Times New Roman" w:hint="eastAsia"/>
        </w:rPr>
        <w:t>发行人与联席主承销商根据网下发行初步询价报价情况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="003C463A">
        <w:rPr>
          <w:rFonts w:ascii="Times New Roman" w:eastAsiaTheme="minorEastAsia" w:hAnsiTheme="minorEastAsia" w:cs="Times New Roman" w:hint="eastAsia"/>
        </w:rPr>
        <w:t>。</w:t>
      </w:r>
      <w:r w:rsidR="005832F0" w:rsidRPr="00B52BD6">
        <w:rPr>
          <w:rFonts w:ascii="Times New Roman" w:eastAsiaTheme="minorEastAsia" w:hAnsiTheme="minorEastAsia" w:cs="Times New Roman"/>
        </w:rPr>
        <w:t>本公司旗下</w:t>
      </w:r>
      <w:r w:rsidR="005832F0">
        <w:rPr>
          <w:rFonts w:ascii="Times New Roman" w:eastAsiaTheme="minorEastAsia" w:hAnsiTheme="minorEastAsia" w:cs="Times New Roman"/>
        </w:rPr>
        <w:t>部分</w:t>
      </w:r>
      <w:r w:rsidR="005832F0" w:rsidRPr="00B52BD6">
        <w:rPr>
          <w:rFonts w:ascii="Times New Roman" w:eastAsiaTheme="minorEastAsia" w:hAnsiTheme="minorEastAsia" w:cs="Times New Roman"/>
        </w:rPr>
        <w:t>公募基金参与</w:t>
      </w:r>
      <w:r w:rsidR="000C1C5A" w:rsidRPr="000C1C5A">
        <w:rPr>
          <w:rFonts w:ascii="Times New Roman" w:eastAsiaTheme="minorEastAsia" w:hAnsiTheme="minorEastAsia" w:cs="Times New Roman" w:hint="eastAsia"/>
          <w:color w:val="auto"/>
          <w:kern w:val="2"/>
        </w:rPr>
        <w:t>航天环宇</w:t>
      </w:r>
      <w:r w:rsidR="005832F0" w:rsidRPr="00B52BD6">
        <w:rPr>
          <w:rFonts w:ascii="Times New Roman" w:eastAsiaTheme="minorEastAsia" w:hAnsiTheme="minorEastAsia" w:cs="Times New Roman"/>
        </w:rPr>
        <w:t>本次发行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B52BD6">
        <w:rPr>
          <w:rFonts w:ascii="Times New Roman" w:eastAsiaTheme="minorEastAsia" w:hAnsiTheme="minorEastAsia" w:cs="Times New Roman"/>
        </w:rPr>
        <w:t>如下：</w:t>
      </w:r>
    </w:p>
    <w:tbl>
      <w:tblPr>
        <w:tblW w:w="8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134"/>
        <w:gridCol w:w="1134"/>
        <w:gridCol w:w="1161"/>
      </w:tblGrid>
      <w:tr w:rsidR="000C1C5A" w:rsidRPr="000C1C5A" w:rsidTr="001426D9">
        <w:trPr>
          <w:trHeight w:val="64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获配证券</w:t>
            </w:r>
          </w:p>
          <w:p w:rsidR="000C1C5A" w:rsidRPr="000C1C5A" w:rsidRDefault="000C1C5A" w:rsidP="000C1C5A">
            <w:pPr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获配数量</w:t>
            </w:r>
          </w:p>
          <w:p w:rsidR="000C1C5A" w:rsidRPr="000C1C5A" w:rsidRDefault="000C1C5A" w:rsidP="000C1C5A">
            <w:pPr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获配金额</w:t>
            </w:r>
          </w:p>
          <w:p w:rsidR="000C1C5A" w:rsidRPr="000C1C5A" w:rsidRDefault="000C1C5A" w:rsidP="000C1C5A">
            <w:pPr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（元）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华夏中证旅游主题交易型开放式指数证券投资基金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上证医药卫生交易型开放式指数发起式证券投资基金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1,537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33,598.82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0C1C5A">
              <w:rPr>
                <w:color w:val="000000"/>
                <w:kern w:val="0"/>
                <w:szCs w:val="21"/>
              </w:rPr>
              <w:t>1000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华夏永福混合型证券投资基金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华夏线上经济主题精选混合型证券投资基金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华夏量化优选股票型证券投资基金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华夏沪深</w:t>
            </w:r>
            <w:r w:rsidRPr="000C1C5A">
              <w:rPr>
                <w:color w:val="000000"/>
                <w:kern w:val="0"/>
                <w:szCs w:val="21"/>
              </w:rPr>
              <w:t>300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上证主要消费交易型开放式指数发起式证券投资基金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华夏沪深</w:t>
            </w:r>
            <w:r w:rsidRPr="000C1C5A">
              <w:rPr>
                <w:color w:val="000000"/>
                <w:kern w:val="0"/>
                <w:szCs w:val="21"/>
              </w:rPr>
              <w:t>300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交易型开放式指数证券投资基金联接基金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华夏盛世精选混合型证券投资基金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华夏中证机器人交易型开放式指数证券投资基金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3,843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84,007.98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华夏策略精选灵活配置混合型证券投资基金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华夏科技前沿</w:t>
            </w:r>
            <w:r w:rsidRPr="000C1C5A">
              <w:rPr>
                <w:color w:val="000000"/>
                <w:kern w:val="0"/>
                <w:szCs w:val="21"/>
              </w:rPr>
              <w:t>6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华夏鸿阳</w:t>
            </w:r>
            <w:r w:rsidRPr="000C1C5A">
              <w:rPr>
                <w:color w:val="000000"/>
                <w:kern w:val="0"/>
                <w:szCs w:val="21"/>
              </w:rPr>
              <w:t>6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华夏消费优选混合型证券投资基金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华夏核心科技</w:t>
            </w:r>
            <w:r w:rsidRPr="000C1C5A">
              <w:rPr>
                <w:color w:val="000000"/>
                <w:kern w:val="0"/>
                <w:szCs w:val="21"/>
              </w:rPr>
              <w:t>6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华夏乐享健康灵活配置混合型证券投资基金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华夏时代前沿一年持有期混合型证券投资基金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lastRenderedPageBreak/>
              <w:t>华夏中证</w:t>
            </w:r>
            <w:r w:rsidRPr="000C1C5A">
              <w:rPr>
                <w:color w:val="000000"/>
                <w:kern w:val="0"/>
                <w:szCs w:val="21"/>
              </w:rPr>
              <w:t>500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华夏智胜价值成长股票型发起式证券投资基金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华夏创新前沿股票型证券投资基金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华夏经济转型股票型证券投资基金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华夏永利一年持有期混合型证券投资基金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华夏军工安全灵活配置混合型证券投资基金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华夏高端制造灵活配置混合型证券投资基金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华夏领先股票型证券投资基金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华夏周期驱动混合型发起式证券投资基金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3,354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73,318.44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华夏国企改革灵活配置混合型证券投资基金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3,389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74,083.54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华夏消费升级灵活配置混合型证券投资基金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华夏智胜先锋股票型证券投资基金（</w:t>
            </w:r>
            <w:r w:rsidRPr="000C1C5A">
              <w:rPr>
                <w:color w:val="000000"/>
                <w:kern w:val="0"/>
                <w:szCs w:val="21"/>
              </w:rPr>
              <w:t>LOF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华夏医疗健康混合型发起式证券投资基金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华夏沪深</w:t>
            </w:r>
            <w:r w:rsidRPr="000C1C5A">
              <w:rPr>
                <w:color w:val="000000"/>
                <w:kern w:val="0"/>
                <w:szCs w:val="21"/>
              </w:rPr>
              <w:t>300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</w:t>
            </w:r>
            <w:r w:rsidRPr="000C1C5A">
              <w:rPr>
                <w:color w:val="000000"/>
                <w:kern w:val="0"/>
                <w:szCs w:val="21"/>
              </w:rPr>
              <w:t>MSCI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中国</w:t>
            </w:r>
            <w:r w:rsidRPr="000C1C5A">
              <w:rPr>
                <w:color w:val="000000"/>
                <w:kern w:val="0"/>
                <w:szCs w:val="21"/>
              </w:rPr>
              <w:t>A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0C1C5A">
              <w:rPr>
                <w:color w:val="000000"/>
                <w:kern w:val="0"/>
                <w:szCs w:val="21"/>
              </w:rPr>
              <w:t>1000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华夏核心价值混合型证券投资基金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3,354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73,318.44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华夏中证光伏产业指数发起式证券投资基金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华夏中证内地低碳经济主题交易型开放式指数证券投资基金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华夏先锋科技一年定期开放混合型证券投资基金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华夏国证消费电子主题交易型开放式指数证券投资基金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2,760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60,333.60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华夏安阳</w:t>
            </w:r>
            <w:r w:rsidRPr="000C1C5A">
              <w:rPr>
                <w:color w:val="000000"/>
                <w:kern w:val="0"/>
                <w:szCs w:val="21"/>
              </w:rPr>
              <w:t>6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华夏移动互联灵活配置混合型证券投资基金（</w:t>
            </w:r>
            <w:r w:rsidRPr="000C1C5A">
              <w:rPr>
                <w:color w:val="000000"/>
                <w:kern w:val="0"/>
                <w:szCs w:val="21"/>
              </w:rPr>
              <w:t>QDII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华夏半导体龙头混合型发起式证券投资基金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华夏消费龙头混合型证券投资基金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华夏内需驱动混合型证券投资基金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华夏优加生活混合型证券投资基金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华夏新兴成长股票型证券投资基金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华夏阿尔法精选混合型证券投资基金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华夏新能源车龙头混合型发起式证券投资基金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华夏见龙精选混合型证券投资基金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3,284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71,788.24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华夏沪港通上证</w:t>
            </w:r>
            <w:r w:rsidRPr="000C1C5A">
              <w:rPr>
                <w:color w:val="000000"/>
                <w:kern w:val="0"/>
                <w:szCs w:val="21"/>
              </w:rPr>
              <w:t>50AH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优选指数证券投资基金（</w:t>
            </w:r>
            <w:r w:rsidRPr="000C1C5A">
              <w:rPr>
                <w:color w:val="000000"/>
                <w:kern w:val="0"/>
                <w:szCs w:val="21"/>
              </w:rPr>
              <w:t>LOF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华夏先进制造龙头混合型证券投资基金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2,480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54,212.80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华夏网购精选灵活配置混合型证券投资基金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1,712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37,424.32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华夏永泓一年持有期混合型证券投资基金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华夏核心资产混合型证券投资基金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华夏价值精选混合型证券投资基金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华夏行业景气混合型证券投资基金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华夏国证半导体芯片交易型开放式指数证券投资基金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华夏新锦顺灵活配置混合型证券投资基金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lastRenderedPageBreak/>
              <w:t>华夏科技创新混合型证券投资基金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华夏创新医药龙头混合型证券投资基金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3,284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71,788.24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华夏永顺一年持有期混合型证券投资基金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华夏睿阳一年持有期混合型证券投资基金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0C1C5A">
              <w:rPr>
                <w:color w:val="000000"/>
                <w:kern w:val="0"/>
                <w:szCs w:val="21"/>
              </w:rPr>
              <w:t>5G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华夏常阳三年定期开放混合型证券投资基金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华夏稳盛灵活配置混合型证券投资基金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华夏中证科创创业</w:t>
            </w:r>
            <w:r w:rsidRPr="000C1C5A">
              <w:rPr>
                <w:color w:val="000000"/>
                <w:kern w:val="0"/>
                <w:szCs w:val="21"/>
              </w:rPr>
              <w:t>50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华夏行业龙头混合型证券投资基金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华夏翔阳两年定期开放混合型证券投资基金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0C1C5A">
              <w:rPr>
                <w:color w:val="000000"/>
                <w:kern w:val="0"/>
                <w:szCs w:val="21"/>
              </w:rPr>
              <w:t>500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华夏兴阳一年持有期混合型证券投资基金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华夏睿磐泰茂混合型证券投资基金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华夏睿磐泰利混合型证券投资基金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华夏中证新能源汽车交易型开放式指数证券投资基金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华夏能源革新股票型证券投资基金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华夏新锦升灵活配置混合型证券投资基金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1,712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37,424.32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华夏睿磐泰兴混合型证券投资基金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华夏研究精选股票型证券投资基金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3,843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84,007.98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华夏新兴经济一年持有期混合型证券投资基金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华夏中证全指房地产交易型开放式指数证券投资基金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华夏核心制造混合型证券投资基金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华夏新兴消费混合型证券投资基金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华夏中证全指证券公司交易型开放式指数证券投资基金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华夏中证浙江国资创新发展交易型开放式指数证券投资基金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3,284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71,788.24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华夏产业升级混合型证券投资基金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华夏养老目标日期</w:t>
            </w:r>
            <w:r w:rsidRPr="000C1C5A">
              <w:rPr>
                <w:color w:val="000000"/>
                <w:kern w:val="0"/>
                <w:szCs w:val="21"/>
              </w:rPr>
              <w:t>2040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三年持有期混合型基金中基金（</w:t>
            </w:r>
            <w:r w:rsidRPr="000C1C5A">
              <w:rPr>
                <w:color w:val="000000"/>
                <w:kern w:val="0"/>
                <w:szCs w:val="21"/>
              </w:rPr>
              <w:t>FOF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0C1C5A">
              <w:rPr>
                <w:color w:val="000000"/>
                <w:kern w:val="0"/>
                <w:szCs w:val="21"/>
              </w:rPr>
              <w:t>800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3,284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71,788.24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战略新兴成指交易型开放式指数证券投资基金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3,843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84,007.98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华夏中证银行交易型开放式指数证券投资基金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华夏兴融灵活配置混合型证券投资基金（</w:t>
            </w:r>
            <w:r w:rsidRPr="000C1C5A">
              <w:rPr>
                <w:color w:val="000000"/>
                <w:kern w:val="0"/>
                <w:szCs w:val="21"/>
              </w:rPr>
              <w:t>LOF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华夏数字经济龙头混合型发起式证券投资基金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华夏融盛可持续一年持有期混合型证券投资基金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2,900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63,394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华夏兴源稳健一年持有期混合型证券投资基金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华夏磐泰混合型证券投资基金（</w:t>
            </w:r>
            <w:r w:rsidRPr="000C1C5A">
              <w:rPr>
                <w:color w:val="000000"/>
                <w:kern w:val="0"/>
                <w:szCs w:val="21"/>
              </w:rPr>
              <w:t>LOF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华夏科技成长股票型证券投资基金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华夏永鑫六个月持有期混合型证券投资基金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华夏回报二号证券投资基金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华夏优势增长混合型证券投资基金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华夏科技龙头两年持有期混合型证券投资基金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华夏复兴混合型证券投资基金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华夏创新驱动混合型证券投资基金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华夏成长精选</w:t>
            </w:r>
            <w:r w:rsidRPr="000C1C5A">
              <w:rPr>
                <w:color w:val="000000"/>
                <w:kern w:val="0"/>
                <w:szCs w:val="21"/>
              </w:rPr>
              <w:t>6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个月定期开放混合型发起式证券投资基金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华夏创新未来混合型证券投资基金（</w:t>
            </w:r>
            <w:r w:rsidRPr="000C1C5A">
              <w:rPr>
                <w:color w:val="000000"/>
                <w:kern w:val="0"/>
                <w:szCs w:val="21"/>
              </w:rPr>
              <w:t>LOF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华夏回报证券投资基金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华夏大盘精选证券投资基金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上证</w:t>
            </w:r>
            <w:r w:rsidRPr="000C1C5A">
              <w:rPr>
                <w:color w:val="000000"/>
                <w:kern w:val="0"/>
                <w:szCs w:val="21"/>
              </w:rPr>
              <w:t>50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华夏兴华混合型证券投资基金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华夏兴和混合型证券投资基金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华夏蓝筹核心混合型证券投资基金（</w:t>
            </w:r>
            <w:r w:rsidRPr="000C1C5A">
              <w:rPr>
                <w:color w:val="000000"/>
                <w:kern w:val="0"/>
                <w:szCs w:val="21"/>
              </w:rPr>
              <w:t>LOF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华夏行业精选混合型证券投资基金（</w:t>
            </w:r>
            <w:r w:rsidRPr="000C1C5A">
              <w:rPr>
                <w:color w:val="000000"/>
                <w:kern w:val="0"/>
                <w:szCs w:val="21"/>
              </w:rPr>
              <w:t>LOF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华夏平稳增长混合型证券投资基金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华夏成长证券投资基金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华夏中证全指运输交易型开放式指数证券投资基金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1,083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23,674.38</w:t>
            </w:r>
          </w:p>
        </w:tc>
      </w:tr>
      <w:tr w:rsidR="000C1C5A" w:rsidRPr="000C1C5A" w:rsidTr="001426D9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华夏养老目标日期</w:t>
            </w:r>
            <w:r w:rsidRPr="000C1C5A">
              <w:rPr>
                <w:color w:val="000000"/>
                <w:kern w:val="0"/>
                <w:szCs w:val="21"/>
              </w:rPr>
              <w:t>2045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三年持有期混合型基金中基金（</w:t>
            </w:r>
            <w:r w:rsidRPr="000C1C5A">
              <w:rPr>
                <w:color w:val="000000"/>
                <w:kern w:val="0"/>
                <w:szCs w:val="21"/>
              </w:rPr>
              <w:t>FOF</w:t>
            </w:r>
            <w:r w:rsidRPr="000C1C5A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1C5A" w:rsidRPr="000C1C5A" w:rsidRDefault="000C1C5A" w:rsidP="000C1C5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C1C5A">
              <w:rPr>
                <w:rFonts w:hAnsi="宋体"/>
                <w:color w:val="000000"/>
                <w:kern w:val="0"/>
                <w:szCs w:val="21"/>
              </w:rPr>
              <w:t>航天环宇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4,717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C1C5A" w:rsidRPr="000C1C5A" w:rsidRDefault="000C1C5A" w:rsidP="000C1C5A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0C1C5A">
              <w:rPr>
                <w:color w:val="333333"/>
                <w:kern w:val="0"/>
                <w:szCs w:val="21"/>
              </w:rPr>
              <w:t>103,113.62</w:t>
            </w:r>
          </w:p>
        </w:tc>
      </w:tr>
    </w:tbl>
    <w:p w:rsidR="005832F0" w:rsidRPr="001B33C4" w:rsidRDefault="005832F0" w:rsidP="001B33C4">
      <w:pPr>
        <w:spacing w:line="360" w:lineRule="auto"/>
        <w:ind w:firstLineChars="200" w:firstLine="480"/>
        <w:rPr>
          <w:rFonts w:eastAsiaTheme="minorEastAsia" w:hAnsiTheme="minorEastAsia"/>
          <w:color w:val="000000" w:themeColor="text1"/>
          <w:sz w:val="24"/>
        </w:rPr>
      </w:pPr>
      <w:r w:rsidRPr="001B33C4">
        <w:rPr>
          <w:rFonts w:eastAsiaTheme="minorEastAsia" w:hAnsiTheme="minorEastAsia" w:hint="eastAsia"/>
          <w:color w:val="000000" w:themeColor="text1"/>
          <w:sz w:val="24"/>
        </w:rPr>
        <w:t>二、参与</w:t>
      </w:r>
      <w:r w:rsidR="00BA1995">
        <w:rPr>
          <w:rFonts w:eastAsiaTheme="minorEastAsia" w:hAnsiTheme="minorEastAsia" w:hint="eastAsia"/>
          <w:color w:val="000000" w:themeColor="text1"/>
          <w:sz w:val="24"/>
        </w:rPr>
        <w:t>越秀地产港股供股发行的</w:t>
      </w:r>
      <w:r w:rsidR="004F33DC" w:rsidRPr="001B33C4">
        <w:rPr>
          <w:rFonts w:eastAsiaTheme="minorEastAsia" w:hAnsiTheme="minorEastAsia" w:hint="eastAsia"/>
          <w:color w:val="000000" w:themeColor="text1"/>
          <w:sz w:val="24"/>
        </w:rPr>
        <w:t>情况</w:t>
      </w:r>
    </w:p>
    <w:p w:rsidR="0034218B" w:rsidRDefault="002179BA">
      <w:pPr>
        <w:pStyle w:val="Default"/>
        <w:spacing w:line="360" w:lineRule="auto"/>
        <w:ind w:firstLineChars="200" w:firstLine="480"/>
        <w:jc w:val="both"/>
        <w:rPr>
          <w:rFonts w:eastAsiaTheme="minorEastAsia"/>
        </w:rPr>
      </w:pPr>
      <w:r>
        <w:rPr>
          <w:rFonts w:eastAsiaTheme="minorEastAsia" w:hint="eastAsia"/>
        </w:rPr>
        <w:t>越秀地产本次供股的联席包销</w:t>
      </w:r>
      <w:r w:rsidRPr="002179BA">
        <w:rPr>
          <w:rFonts w:eastAsiaTheme="minorEastAsia" w:hint="eastAsia"/>
        </w:rPr>
        <w:t>商</w:t>
      </w:r>
      <w:r>
        <w:rPr>
          <w:rFonts w:eastAsiaTheme="minorEastAsia" w:hint="eastAsia"/>
        </w:rPr>
        <w:t>之一</w:t>
      </w:r>
      <w:r w:rsidRPr="005716E6">
        <w:rPr>
          <w:rFonts w:eastAsiaTheme="minorEastAsia" w:hint="eastAsia"/>
        </w:rPr>
        <w:t>中信里昂证券有限公司</w:t>
      </w:r>
      <w:r>
        <w:rPr>
          <w:rFonts w:eastAsiaTheme="minorEastAsia" w:hint="eastAsia"/>
        </w:rPr>
        <w:t>为本公司控股股东</w:t>
      </w:r>
      <w:r w:rsidRPr="00E24F74">
        <w:rPr>
          <w:rFonts w:eastAsiaTheme="minorEastAsia" w:hint="eastAsia"/>
        </w:rPr>
        <w:t>中信证券股份有限公</w:t>
      </w:r>
      <w:r w:rsidR="00BE3604" w:rsidRPr="00BE3604">
        <w:rPr>
          <w:rFonts w:ascii="Times New Roman" w:eastAsiaTheme="minorEastAsia" w:cs="Times New Roman" w:hint="eastAsia"/>
        </w:rPr>
        <w:t>司的全资子公司。本次供股按于供股记录日期每持有</w:t>
      </w:r>
      <w:r w:rsidR="00BE3604" w:rsidRPr="00BE3604">
        <w:rPr>
          <w:rFonts w:ascii="Times New Roman" w:eastAsiaTheme="minorEastAsia" w:cs="Times New Roman"/>
        </w:rPr>
        <w:t>100</w:t>
      </w:r>
      <w:r w:rsidR="00BE3604" w:rsidRPr="00BE3604">
        <w:rPr>
          <w:rFonts w:ascii="Times New Roman" w:eastAsiaTheme="minorEastAsia" w:cs="Times New Roman" w:hint="eastAsia"/>
        </w:rPr>
        <w:t>股现有股份可获发</w:t>
      </w:r>
      <w:r w:rsidR="00BE3604" w:rsidRPr="00BE3604">
        <w:rPr>
          <w:rFonts w:ascii="Times New Roman" w:eastAsiaTheme="minorEastAsia" w:cs="Times New Roman"/>
        </w:rPr>
        <w:t>30</w:t>
      </w:r>
      <w:r w:rsidR="00BE3604" w:rsidRPr="00BE3604">
        <w:rPr>
          <w:rFonts w:ascii="Times New Roman" w:eastAsiaTheme="minorEastAsia" w:cs="Times New Roman" w:hint="eastAsia"/>
        </w:rPr>
        <w:t>股供股股份的基准，以每股供股股份</w:t>
      </w:r>
      <w:r w:rsidR="00BE3604" w:rsidRPr="00BE3604">
        <w:rPr>
          <w:rFonts w:ascii="Times New Roman" w:eastAsiaTheme="minorEastAsia" w:cs="Times New Roman"/>
        </w:rPr>
        <w:t>9.00</w:t>
      </w:r>
      <w:r w:rsidR="00BE3604" w:rsidRPr="00BE3604">
        <w:rPr>
          <w:rFonts w:ascii="Times New Roman" w:eastAsiaTheme="minorEastAsia" w:cs="Times New Roman" w:hint="eastAsia"/>
        </w:rPr>
        <w:t>港元的认购价进行。认购价由越秀地产及联席包销商综合考虑</w:t>
      </w:r>
      <w:r w:rsidR="00BE3604" w:rsidRPr="00BE3604">
        <w:rPr>
          <w:rFonts w:ascii="宋体" w:eastAsia="宋体" w:hAnsi="宋体" w:cs="宋体" w:hint="eastAsia"/>
        </w:rPr>
        <w:t>①</w:t>
      </w:r>
      <w:r w:rsidR="00BE3604" w:rsidRPr="00BE3604">
        <w:rPr>
          <w:rFonts w:ascii="Times New Roman" w:eastAsiaTheme="minorEastAsia" w:cs="Times New Roman" w:hint="eastAsia"/>
        </w:rPr>
        <w:t>股份最近的过往成交价；</w:t>
      </w:r>
      <w:r w:rsidR="00BE3604" w:rsidRPr="00BE3604">
        <w:rPr>
          <w:rFonts w:ascii="宋体" w:eastAsia="宋体" w:hAnsi="宋体" w:cs="宋体" w:hint="eastAsia"/>
        </w:rPr>
        <w:t>②</w:t>
      </w:r>
      <w:r w:rsidR="00BE3604" w:rsidRPr="00BE3604">
        <w:rPr>
          <w:rFonts w:ascii="Times New Roman" w:eastAsiaTheme="minorEastAsia" w:cs="Times New Roman" w:hint="eastAsia"/>
        </w:rPr>
        <w:t>现行市</w:t>
      </w:r>
      <w:r w:rsidR="005C473B">
        <w:rPr>
          <w:rFonts w:ascii="Times New Roman" w:eastAsiaTheme="minorEastAsia" w:cs="Times New Roman" w:hint="eastAsia"/>
        </w:rPr>
        <w:t>况</w:t>
      </w:r>
      <w:r w:rsidR="00BE3604" w:rsidRPr="00BE3604">
        <w:rPr>
          <w:rFonts w:ascii="Times New Roman" w:eastAsiaTheme="minorEastAsia" w:cs="Times New Roman" w:hint="eastAsia"/>
        </w:rPr>
        <w:t>及集团的财务状况；</w:t>
      </w:r>
      <w:r w:rsidR="00BE3604" w:rsidRPr="00BE3604">
        <w:rPr>
          <w:rFonts w:ascii="宋体" w:eastAsia="宋体" w:hAnsi="宋体" w:cs="宋体" w:hint="eastAsia"/>
        </w:rPr>
        <w:t>③</w:t>
      </w:r>
      <w:r w:rsidR="00BE3604" w:rsidRPr="00BE3604">
        <w:rPr>
          <w:rFonts w:ascii="Times New Roman" w:eastAsiaTheme="minorEastAsia" w:cs="Times New Roman" w:hint="eastAsia"/>
        </w:rPr>
        <w:t>供股认购价，相对于其近年在香港的成交价；及</w:t>
      </w:r>
      <w:r w:rsidR="00BE3604" w:rsidRPr="00BE3604">
        <w:rPr>
          <w:rFonts w:ascii="宋体" w:eastAsia="宋体" w:hAnsi="宋体" w:cs="宋体" w:hint="eastAsia"/>
        </w:rPr>
        <w:t>④</w:t>
      </w:r>
      <w:r w:rsidR="00BE3604" w:rsidRPr="00BE3604">
        <w:rPr>
          <w:rFonts w:ascii="Times New Roman" w:eastAsiaTheme="minorEastAsia" w:cs="Times New Roman" w:hint="eastAsia"/>
        </w:rPr>
        <w:t>越秀地产拟根据供股筹集的资金金额后公平磋商而厘定。现将本公司旗下公募基</w:t>
      </w:r>
      <w:r>
        <w:rPr>
          <w:rFonts w:eastAsiaTheme="minorEastAsia" w:hint="eastAsia"/>
        </w:rPr>
        <w:t>金</w:t>
      </w:r>
      <w:r w:rsidRPr="00E24F74">
        <w:rPr>
          <w:rFonts w:eastAsiaTheme="minorEastAsia" w:hint="eastAsia"/>
        </w:rPr>
        <w:t>参与</w:t>
      </w:r>
      <w:r w:rsidR="00501448">
        <w:rPr>
          <w:rFonts w:eastAsiaTheme="minorEastAsia" w:hint="eastAsia"/>
        </w:rPr>
        <w:t>越秀地产</w:t>
      </w:r>
      <w:bookmarkStart w:id="0" w:name="_GoBack"/>
      <w:bookmarkEnd w:id="0"/>
      <w:r>
        <w:rPr>
          <w:rFonts w:eastAsiaTheme="minorEastAsia" w:hint="eastAsia"/>
        </w:rPr>
        <w:t>本次供股</w:t>
      </w:r>
      <w:r w:rsidRPr="00E24F74">
        <w:rPr>
          <w:rFonts w:eastAsiaTheme="minorEastAsia"/>
        </w:rPr>
        <w:t>的</w:t>
      </w:r>
      <w:r w:rsidRPr="00E24F74">
        <w:rPr>
          <w:rFonts w:eastAsiaTheme="minorEastAsia" w:hint="eastAsia"/>
        </w:rPr>
        <w:t>相关</w:t>
      </w:r>
      <w:r w:rsidRPr="00E24F74">
        <w:rPr>
          <w:rFonts w:eastAsiaTheme="minorEastAsia"/>
        </w:rPr>
        <w:t>信息公告如下：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4"/>
        <w:gridCol w:w="1275"/>
        <w:gridCol w:w="1118"/>
        <w:gridCol w:w="1689"/>
      </w:tblGrid>
      <w:tr w:rsidR="00FD76BB" w:rsidRPr="00FD76BB" w:rsidTr="00FD76BB">
        <w:trPr>
          <w:jc w:val="center"/>
        </w:trPr>
        <w:tc>
          <w:tcPr>
            <w:tcW w:w="2721" w:type="pct"/>
            <w:vAlign w:val="center"/>
          </w:tcPr>
          <w:p w:rsidR="002179BA" w:rsidRPr="00FD76BB" w:rsidRDefault="002179BA" w:rsidP="00FA08F4">
            <w:pPr>
              <w:tabs>
                <w:tab w:val="left" w:pos="10440"/>
              </w:tabs>
              <w:jc w:val="center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基金名称</w:t>
            </w:r>
          </w:p>
        </w:tc>
        <w:tc>
          <w:tcPr>
            <w:tcW w:w="712" w:type="pct"/>
            <w:vAlign w:val="center"/>
          </w:tcPr>
          <w:p w:rsidR="002179BA" w:rsidRPr="00FD76BB" w:rsidRDefault="002179BA" w:rsidP="00FA08F4">
            <w:pPr>
              <w:tabs>
                <w:tab w:val="left" w:pos="10440"/>
              </w:tabs>
              <w:jc w:val="center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获</w:t>
            </w:r>
            <w:r w:rsidR="00C20BFC">
              <w:rPr>
                <w:rFonts w:eastAsiaTheme="minorEastAsia" w:hAnsiTheme="minorEastAsia" w:hint="eastAsia"/>
                <w:color w:val="000000"/>
                <w:szCs w:val="21"/>
              </w:rPr>
              <w:t>发</w:t>
            </w:r>
            <w:r w:rsidRPr="00FD76BB">
              <w:rPr>
                <w:rFonts w:eastAsiaTheme="minorEastAsia" w:hAnsiTheme="minorEastAsia"/>
                <w:color w:val="000000"/>
                <w:szCs w:val="21"/>
              </w:rPr>
              <w:t>证券</w:t>
            </w:r>
          </w:p>
          <w:p w:rsidR="002179BA" w:rsidRPr="00FD76BB" w:rsidRDefault="002179BA" w:rsidP="00FA08F4">
            <w:pPr>
              <w:tabs>
                <w:tab w:val="left" w:pos="10440"/>
              </w:tabs>
              <w:jc w:val="center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名称</w:t>
            </w:r>
          </w:p>
        </w:tc>
        <w:tc>
          <w:tcPr>
            <w:tcW w:w="624" w:type="pct"/>
            <w:vAlign w:val="center"/>
          </w:tcPr>
          <w:p w:rsidR="002179BA" w:rsidRPr="00FD76BB" w:rsidRDefault="00FD76BB" w:rsidP="00FA08F4">
            <w:pPr>
              <w:tabs>
                <w:tab w:val="left" w:pos="10440"/>
              </w:tabs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获发</w:t>
            </w:r>
            <w:r w:rsidR="002179BA" w:rsidRPr="00FD76BB">
              <w:rPr>
                <w:rFonts w:eastAsiaTheme="minorEastAsia" w:hAnsiTheme="minorEastAsia"/>
                <w:color w:val="000000"/>
                <w:szCs w:val="21"/>
              </w:rPr>
              <w:t>数量</w:t>
            </w:r>
          </w:p>
          <w:p w:rsidR="002179BA" w:rsidRPr="00FD76BB" w:rsidRDefault="002179BA" w:rsidP="00FA08F4">
            <w:pPr>
              <w:tabs>
                <w:tab w:val="left" w:pos="10440"/>
              </w:tabs>
              <w:jc w:val="center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（股）</w:t>
            </w:r>
          </w:p>
        </w:tc>
        <w:tc>
          <w:tcPr>
            <w:tcW w:w="943" w:type="pct"/>
            <w:vAlign w:val="center"/>
          </w:tcPr>
          <w:p w:rsidR="002179BA" w:rsidRPr="00FD76BB" w:rsidRDefault="00FD76BB" w:rsidP="00FA08F4">
            <w:pPr>
              <w:tabs>
                <w:tab w:val="left" w:pos="10440"/>
              </w:tabs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认购</w:t>
            </w:r>
            <w:r w:rsidR="002179BA" w:rsidRPr="00FD76BB">
              <w:rPr>
                <w:rFonts w:eastAsiaTheme="minorEastAsia" w:hAnsiTheme="minorEastAsia"/>
                <w:color w:val="000000"/>
                <w:szCs w:val="21"/>
              </w:rPr>
              <w:t>金额</w:t>
            </w:r>
          </w:p>
          <w:p w:rsidR="002179BA" w:rsidRPr="00FD76BB" w:rsidRDefault="002179BA" w:rsidP="00FA08F4">
            <w:pPr>
              <w:tabs>
                <w:tab w:val="left" w:pos="10440"/>
              </w:tabs>
              <w:jc w:val="center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（港币元）</w:t>
            </w:r>
          </w:p>
        </w:tc>
      </w:tr>
      <w:tr w:rsidR="00FD76BB" w:rsidRPr="00FD76BB" w:rsidTr="00FD76BB">
        <w:trPr>
          <w:jc w:val="center"/>
        </w:trPr>
        <w:tc>
          <w:tcPr>
            <w:tcW w:w="2721" w:type="pct"/>
            <w:vAlign w:val="bottom"/>
          </w:tcPr>
          <w:p w:rsidR="00FD76BB" w:rsidRPr="00FD76BB" w:rsidRDefault="00FD76BB">
            <w:pPr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华夏核心价值混合型证券投资基金</w:t>
            </w:r>
          </w:p>
        </w:tc>
        <w:tc>
          <w:tcPr>
            <w:tcW w:w="712" w:type="pct"/>
          </w:tcPr>
          <w:p w:rsidR="00FD76BB" w:rsidRPr="00FD76BB" w:rsidRDefault="00FD76BB" w:rsidP="00C20BFC">
            <w:pPr>
              <w:jc w:val="center"/>
              <w:rPr>
                <w:rFonts w:eastAsiaTheme="minorEastAsia"/>
                <w:szCs w:val="21"/>
              </w:rPr>
            </w:pPr>
            <w:r w:rsidRPr="00FD76BB">
              <w:rPr>
                <w:rFonts w:eastAsiaTheme="minorEastAsia" w:hAnsiTheme="minorEastAsia"/>
                <w:color w:val="000000" w:themeColor="text1"/>
                <w:szCs w:val="21"/>
              </w:rPr>
              <w:t>越秀地产</w:t>
            </w:r>
          </w:p>
        </w:tc>
        <w:tc>
          <w:tcPr>
            <w:tcW w:w="624" w:type="pct"/>
            <w:vAlign w:val="center"/>
          </w:tcPr>
          <w:p w:rsidR="00FD76BB" w:rsidRPr="00FD76BB" w:rsidRDefault="00FD76BB">
            <w:pPr>
              <w:jc w:val="right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/>
                <w:color w:val="000000"/>
                <w:szCs w:val="21"/>
              </w:rPr>
              <w:t>98,700</w:t>
            </w:r>
          </w:p>
        </w:tc>
        <w:tc>
          <w:tcPr>
            <w:tcW w:w="943" w:type="pct"/>
            <w:vAlign w:val="bottom"/>
          </w:tcPr>
          <w:p w:rsidR="00FD76BB" w:rsidRPr="00FD76BB" w:rsidRDefault="00FD76BB" w:rsidP="00FD76BB">
            <w:pPr>
              <w:jc w:val="right"/>
              <w:rPr>
                <w:rFonts w:eastAsia="等线"/>
                <w:color w:val="000000"/>
                <w:szCs w:val="21"/>
              </w:rPr>
            </w:pPr>
            <w:r w:rsidRPr="00FD76BB">
              <w:rPr>
                <w:rFonts w:eastAsia="等线"/>
                <w:color w:val="000000"/>
                <w:szCs w:val="21"/>
              </w:rPr>
              <w:t>888,300.00</w:t>
            </w:r>
          </w:p>
        </w:tc>
      </w:tr>
      <w:tr w:rsidR="00FD76BB" w:rsidRPr="00FD76BB" w:rsidTr="00FD76BB">
        <w:trPr>
          <w:jc w:val="center"/>
        </w:trPr>
        <w:tc>
          <w:tcPr>
            <w:tcW w:w="2721" w:type="pct"/>
            <w:vAlign w:val="bottom"/>
          </w:tcPr>
          <w:p w:rsidR="00FD76BB" w:rsidRPr="00FD76BB" w:rsidRDefault="00FD76BB">
            <w:pPr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华夏永顺一年持有期混合型证券投资基金</w:t>
            </w:r>
          </w:p>
        </w:tc>
        <w:tc>
          <w:tcPr>
            <w:tcW w:w="712" w:type="pct"/>
          </w:tcPr>
          <w:p w:rsidR="00FD76BB" w:rsidRPr="00FD76BB" w:rsidRDefault="00FD76BB" w:rsidP="00C20BFC">
            <w:pPr>
              <w:jc w:val="center"/>
              <w:rPr>
                <w:rFonts w:eastAsiaTheme="minorEastAsia"/>
                <w:szCs w:val="21"/>
              </w:rPr>
            </w:pPr>
            <w:r w:rsidRPr="00FD76BB">
              <w:rPr>
                <w:rFonts w:eastAsiaTheme="minorEastAsia" w:hAnsiTheme="minorEastAsia"/>
                <w:color w:val="000000" w:themeColor="text1"/>
                <w:szCs w:val="21"/>
              </w:rPr>
              <w:t>越秀地产</w:t>
            </w:r>
          </w:p>
        </w:tc>
        <w:tc>
          <w:tcPr>
            <w:tcW w:w="624" w:type="pct"/>
            <w:vAlign w:val="center"/>
          </w:tcPr>
          <w:p w:rsidR="00FD76BB" w:rsidRPr="00FD76BB" w:rsidRDefault="00FD76BB">
            <w:pPr>
              <w:jc w:val="right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/>
                <w:color w:val="000000"/>
                <w:szCs w:val="21"/>
              </w:rPr>
              <w:t>118,800</w:t>
            </w:r>
          </w:p>
        </w:tc>
        <w:tc>
          <w:tcPr>
            <w:tcW w:w="943" w:type="pct"/>
            <w:vAlign w:val="bottom"/>
          </w:tcPr>
          <w:p w:rsidR="00FD76BB" w:rsidRPr="00FD76BB" w:rsidRDefault="00FD76BB" w:rsidP="00FD76BB">
            <w:pPr>
              <w:jc w:val="right"/>
              <w:rPr>
                <w:rFonts w:eastAsia="等线"/>
                <w:color w:val="000000"/>
                <w:szCs w:val="21"/>
              </w:rPr>
            </w:pPr>
            <w:r w:rsidRPr="00FD76BB">
              <w:rPr>
                <w:rFonts w:eastAsia="等线"/>
                <w:color w:val="000000"/>
                <w:szCs w:val="21"/>
              </w:rPr>
              <w:t>1,069,200.00</w:t>
            </w:r>
          </w:p>
        </w:tc>
      </w:tr>
      <w:tr w:rsidR="00FD76BB" w:rsidRPr="00FD76BB" w:rsidTr="00FD76BB">
        <w:trPr>
          <w:jc w:val="center"/>
        </w:trPr>
        <w:tc>
          <w:tcPr>
            <w:tcW w:w="2721" w:type="pct"/>
            <w:vAlign w:val="bottom"/>
          </w:tcPr>
          <w:p w:rsidR="00FD76BB" w:rsidRPr="00FD76BB" w:rsidRDefault="00FD76BB">
            <w:pPr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华夏核心资产混合型证券投资基金</w:t>
            </w:r>
          </w:p>
        </w:tc>
        <w:tc>
          <w:tcPr>
            <w:tcW w:w="712" w:type="pct"/>
          </w:tcPr>
          <w:p w:rsidR="00FD76BB" w:rsidRPr="00FD76BB" w:rsidRDefault="00FD76BB" w:rsidP="00C20BFC">
            <w:pPr>
              <w:jc w:val="center"/>
              <w:rPr>
                <w:rFonts w:eastAsiaTheme="minorEastAsia"/>
                <w:szCs w:val="21"/>
              </w:rPr>
            </w:pPr>
            <w:r w:rsidRPr="00FD76BB">
              <w:rPr>
                <w:rFonts w:eastAsiaTheme="minorEastAsia" w:hAnsiTheme="minorEastAsia"/>
                <w:color w:val="000000" w:themeColor="text1"/>
                <w:szCs w:val="21"/>
              </w:rPr>
              <w:t>越秀地产</w:t>
            </w:r>
          </w:p>
        </w:tc>
        <w:tc>
          <w:tcPr>
            <w:tcW w:w="624" w:type="pct"/>
            <w:vAlign w:val="center"/>
          </w:tcPr>
          <w:p w:rsidR="00FD76BB" w:rsidRPr="00FD76BB" w:rsidRDefault="00FD76BB">
            <w:pPr>
              <w:jc w:val="right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/>
                <w:color w:val="000000"/>
                <w:szCs w:val="21"/>
              </w:rPr>
              <w:t>600,000</w:t>
            </w:r>
          </w:p>
        </w:tc>
        <w:tc>
          <w:tcPr>
            <w:tcW w:w="943" w:type="pct"/>
            <w:vAlign w:val="bottom"/>
          </w:tcPr>
          <w:p w:rsidR="00FD76BB" w:rsidRPr="00FD76BB" w:rsidRDefault="00FD76BB" w:rsidP="00FD76BB">
            <w:pPr>
              <w:jc w:val="right"/>
              <w:rPr>
                <w:rFonts w:eastAsia="等线"/>
                <w:color w:val="000000"/>
                <w:szCs w:val="21"/>
              </w:rPr>
            </w:pPr>
            <w:r w:rsidRPr="00FD76BB">
              <w:rPr>
                <w:rFonts w:eastAsia="等线"/>
                <w:color w:val="000000"/>
                <w:szCs w:val="21"/>
              </w:rPr>
              <w:t>5,400,000.00</w:t>
            </w:r>
          </w:p>
        </w:tc>
      </w:tr>
      <w:tr w:rsidR="00FD76BB" w:rsidRPr="00FD76BB" w:rsidTr="00FD76BB">
        <w:trPr>
          <w:jc w:val="center"/>
        </w:trPr>
        <w:tc>
          <w:tcPr>
            <w:tcW w:w="2721" w:type="pct"/>
            <w:vAlign w:val="bottom"/>
          </w:tcPr>
          <w:p w:rsidR="00FD76BB" w:rsidRPr="00FD76BB" w:rsidRDefault="00FD76BB">
            <w:pPr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华夏永泓一年持有期混合型证券投资基金</w:t>
            </w:r>
          </w:p>
        </w:tc>
        <w:tc>
          <w:tcPr>
            <w:tcW w:w="712" w:type="pct"/>
          </w:tcPr>
          <w:p w:rsidR="00FD76BB" w:rsidRPr="00FD76BB" w:rsidRDefault="00FD76BB" w:rsidP="00C20BFC">
            <w:pPr>
              <w:jc w:val="center"/>
              <w:rPr>
                <w:rFonts w:eastAsiaTheme="minorEastAsia"/>
                <w:szCs w:val="21"/>
              </w:rPr>
            </w:pPr>
            <w:r w:rsidRPr="00FD76BB">
              <w:rPr>
                <w:rFonts w:eastAsiaTheme="minorEastAsia" w:hAnsiTheme="minorEastAsia"/>
                <w:color w:val="000000" w:themeColor="text1"/>
                <w:szCs w:val="21"/>
              </w:rPr>
              <w:t>越秀地产</w:t>
            </w:r>
          </w:p>
        </w:tc>
        <w:tc>
          <w:tcPr>
            <w:tcW w:w="624" w:type="pct"/>
            <w:vAlign w:val="center"/>
          </w:tcPr>
          <w:p w:rsidR="00FD76BB" w:rsidRPr="00FD76BB" w:rsidRDefault="00FD76BB">
            <w:pPr>
              <w:jc w:val="right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/>
                <w:color w:val="000000"/>
                <w:szCs w:val="21"/>
              </w:rPr>
              <w:t>450,300</w:t>
            </w:r>
          </w:p>
        </w:tc>
        <w:tc>
          <w:tcPr>
            <w:tcW w:w="943" w:type="pct"/>
            <w:vAlign w:val="bottom"/>
          </w:tcPr>
          <w:p w:rsidR="00FD76BB" w:rsidRPr="00FD76BB" w:rsidRDefault="00FD76BB" w:rsidP="00FD76BB">
            <w:pPr>
              <w:jc w:val="right"/>
              <w:rPr>
                <w:rFonts w:eastAsia="等线"/>
                <w:color w:val="000000"/>
                <w:szCs w:val="21"/>
              </w:rPr>
            </w:pPr>
            <w:r w:rsidRPr="00FD76BB">
              <w:rPr>
                <w:rFonts w:eastAsia="等线"/>
                <w:color w:val="000000"/>
                <w:szCs w:val="21"/>
              </w:rPr>
              <w:t>4,052,700.00</w:t>
            </w:r>
          </w:p>
        </w:tc>
      </w:tr>
      <w:tr w:rsidR="00FD76BB" w:rsidRPr="00FD76BB" w:rsidTr="00FD76BB">
        <w:trPr>
          <w:jc w:val="center"/>
        </w:trPr>
        <w:tc>
          <w:tcPr>
            <w:tcW w:w="2721" w:type="pct"/>
            <w:vAlign w:val="bottom"/>
          </w:tcPr>
          <w:p w:rsidR="00FD76BB" w:rsidRPr="00FD76BB" w:rsidRDefault="00FD76BB">
            <w:pPr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华夏翔阳两年定期开放混合型证券投资基金</w:t>
            </w:r>
          </w:p>
        </w:tc>
        <w:tc>
          <w:tcPr>
            <w:tcW w:w="712" w:type="pct"/>
          </w:tcPr>
          <w:p w:rsidR="00FD76BB" w:rsidRPr="00FD76BB" w:rsidRDefault="00FD76BB" w:rsidP="00C20BFC">
            <w:pPr>
              <w:jc w:val="center"/>
              <w:rPr>
                <w:rFonts w:eastAsiaTheme="minorEastAsia"/>
                <w:szCs w:val="21"/>
              </w:rPr>
            </w:pPr>
            <w:r w:rsidRPr="00FD76BB">
              <w:rPr>
                <w:rFonts w:eastAsiaTheme="minorEastAsia" w:hAnsiTheme="minorEastAsia"/>
                <w:color w:val="000000" w:themeColor="text1"/>
                <w:szCs w:val="21"/>
              </w:rPr>
              <w:t>越秀地产</w:t>
            </w:r>
          </w:p>
        </w:tc>
        <w:tc>
          <w:tcPr>
            <w:tcW w:w="624" w:type="pct"/>
            <w:vAlign w:val="center"/>
          </w:tcPr>
          <w:p w:rsidR="00FD76BB" w:rsidRPr="00FD76BB" w:rsidRDefault="00FD76BB">
            <w:pPr>
              <w:jc w:val="right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/>
                <w:color w:val="000000"/>
                <w:szCs w:val="21"/>
              </w:rPr>
              <w:t>965,100</w:t>
            </w:r>
          </w:p>
        </w:tc>
        <w:tc>
          <w:tcPr>
            <w:tcW w:w="943" w:type="pct"/>
            <w:vAlign w:val="bottom"/>
          </w:tcPr>
          <w:p w:rsidR="00FD76BB" w:rsidRPr="00FD76BB" w:rsidRDefault="00FD76BB" w:rsidP="00FD76BB">
            <w:pPr>
              <w:jc w:val="right"/>
              <w:rPr>
                <w:rFonts w:eastAsia="等线"/>
                <w:color w:val="000000"/>
                <w:szCs w:val="21"/>
              </w:rPr>
            </w:pPr>
            <w:r w:rsidRPr="00FD76BB">
              <w:rPr>
                <w:rFonts w:eastAsia="等线"/>
                <w:color w:val="000000"/>
                <w:szCs w:val="21"/>
              </w:rPr>
              <w:t>8,685,900.00</w:t>
            </w:r>
          </w:p>
        </w:tc>
      </w:tr>
      <w:tr w:rsidR="00FD76BB" w:rsidRPr="00FD76BB" w:rsidTr="00FD76BB">
        <w:trPr>
          <w:jc w:val="center"/>
        </w:trPr>
        <w:tc>
          <w:tcPr>
            <w:tcW w:w="2721" w:type="pct"/>
            <w:vAlign w:val="bottom"/>
          </w:tcPr>
          <w:p w:rsidR="00FD76BB" w:rsidRPr="00FD76BB" w:rsidRDefault="00FD76BB">
            <w:pPr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 w:hAnsiTheme="minorEastAsia"/>
                <w:color w:val="000000"/>
                <w:szCs w:val="21"/>
              </w:rPr>
              <w:t>华夏新时代灵活配置混合型证券投资基金（</w:t>
            </w:r>
            <w:r w:rsidRPr="00FD76BB">
              <w:rPr>
                <w:rFonts w:eastAsiaTheme="minorEastAsia"/>
                <w:color w:val="000000"/>
                <w:szCs w:val="21"/>
              </w:rPr>
              <w:t>QDII</w:t>
            </w:r>
            <w:r w:rsidRPr="00FD76BB">
              <w:rPr>
                <w:rFonts w:eastAsia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712" w:type="pct"/>
          </w:tcPr>
          <w:p w:rsidR="00FD76BB" w:rsidRPr="00FD76BB" w:rsidRDefault="00FD76BB" w:rsidP="00C20BFC">
            <w:pPr>
              <w:jc w:val="center"/>
              <w:rPr>
                <w:rFonts w:eastAsiaTheme="minorEastAsia"/>
                <w:szCs w:val="21"/>
              </w:rPr>
            </w:pPr>
            <w:r w:rsidRPr="00FD76BB">
              <w:rPr>
                <w:rFonts w:eastAsiaTheme="minorEastAsia" w:hAnsiTheme="minorEastAsia"/>
                <w:color w:val="000000" w:themeColor="text1"/>
                <w:szCs w:val="21"/>
              </w:rPr>
              <w:t>越秀地产</w:t>
            </w:r>
          </w:p>
        </w:tc>
        <w:tc>
          <w:tcPr>
            <w:tcW w:w="624" w:type="pct"/>
            <w:vAlign w:val="center"/>
          </w:tcPr>
          <w:p w:rsidR="00FD76BB" w:rsidRPr="00FD76BB" w:rsidRDefault="00FD76BB">
            <w:pPr>
              <w:jc w:val="right"/>
              <w:rPr>
                <w:rFonts w:eastAsiaTheme="minorEastAsia"/>
                <w:color w:val="000000"/>
                <w:szCs w:val="21"/>
              </w:rPr>
            </w:pPr>
            <w:r w:rsidRPr="00FD76BB">
              <w:rPr>
                <w:rFonts w:eastAsiaTheme="minorEastAsia"/>
                <w:color w:val="000000"/>
                <w:szCs w:val="21"/>
              </w:rPr>
              <w:t>54,900</w:t>
            </w:r>
          </w:p>
        </w:tc>
        <w:tc>
          <w:tcPr>
            <w:tcW w:w="943" w:type="pct"/>
            <w:vAlign w:val="bottom"/>
          </w:tcPr>
          <w:p w:rsidR="00FD76BB" w:rsidRPr="00FD76BB" w:rsidRDefault="00FD76BB" w:rsidP="00FD76BB">
            <w:pPr>
              <w:jc w:val="right"/>
              <w:rPr>
                <w:rFonts w:eastAsia="等线"/>
                <w:color w:val="000000"/>
                <w:szCs w:val="21"/>
              </w:rPr>
            </w:pPr>
            <w:r w:rsidRPr="00FD76BB">
              <w:rPr>
                <w:rFonts w:eastAsia="等线"/>
                <w:color w:val="000000"/>
                <w:szCs w:val="21"/>
              </w:rPr>
              <w:t>494,100.00</w:t>
            </w:r>
          </w:p>
        </w:tc>
      </w:tr>
    </w:tbl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0121AB">
        <w:rPr>
          <w:rFonts w:ascii="宋体" w:hAnsi="宋体" w:hint="eastAsia"/>
          <w:color w:val="000000"/>
          <w:sz w:val="24"/>
        </w:rPr>
        <w:t>三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0121AB">
        <w:rPr>
          <w:rFonts w:ascii="宋体" w:hAnsi="宋体" w:hint="eastAsia"/>
          <w:color w:val="000000"/>
          <w:sz w:val="24"/>
        </w:rPr>
        <w:t>五</w:t>
      </w:r>
      <w:r w:rsidR="002C2308" w:rsidRPr="00B52BD6">
        <w:rPr>
          <w:rFonts w:hAnsi="宋体"/>
          <w:color w:val="000000"/>
          <w:sz w:val="24"/>
        </w:rPr>
        <w:t>月</w:t>
      </w:r>
      <w:r w:rsidR="001C5789">
        <w:rPr>
          <w:rFonts w:hAnsi="宋体" w:hint="eastAsia"/>
          <w:color w:val="000000"/>
          <w:sz w:val="24"/>
        </w:rPr>
        <w:t>二十七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93" w:rsidRDefault="00BB4E93">
      <w:r>
        <w:separator/>
      </w:r>
    </w:p>
  </w:endnote>
  <w:endnote w:type="continuationSeparator" w:id="0">
    <w:p w:rsidR="00BB4E93" w:rsidRDefault="00BB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0C1D84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0C1D84" w:rsidP="000933A1">
    <w:pPr>
      <w:pStyle w:val="a4"/>
      <w:jc w:val="center"/>
    </w:pPr>
    <w:r w:rsidRPr="000C1D84">
      <w:fldChar w:fldCharType="begin"/>
    </w:r>
    <w:r w:rsidR="00E955E5">
      <w:instrText xml:space="preserve"> PAGE   \* MERGEFORMAT </w:instrText>
    </w:r>
    <w:r w:rsidRPr="000C1D84">
      <w:fldChar w:fldCharType="separate"/>
    </w:r>
    <w:r w:rsidR="00FE5303" w:rsidRPr="00FE530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93" w:rsidRDefault="00BB4E93">
      <w:r>
        <w:separator/>
      </w:r>
    </w:p>
  </w:footnote>
  <w:footnote w:type="continuationSeparator" w:id="0">
    <w:p w:rsidR="00BB4E93" w:rsidRDefault="00BB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615"/>
    <w:rsid w:val="00002706"/>
    <w:rsid w:val="00004238"/>
    <w:rsid w:val="00006D0F"/>
    <w:rsid w:val="000121AB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1C5A"/>
    <w:rsid w:val="000C1D84"/>
    <w:rsid w:val="000C4534"/>
    <w:rsid w:val="000C5FEC"/>
    <w:rsid w:val="000C691A"/>
    <w:rsid w:val="000D2119"/>
    <w:rsid w:val="000D277D"/>
    <w:rsid w:val="000D32CE"/>
    <w:rsid w:val="000D34E3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24AA"/>
    <w:rsid w:val="001364E6"/>
    <w:rsid w:val="0014097F"/>
    <w:rsid w:val="00140F4F"/>
    <w:rsid w:val="001426D9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B79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C4"/>
    <w:rsid w:val="001B33EC"/>
    <w:rsid w:val="001B37A5"/>
    <w:rsid w:val="001B559F"/>
    <w:rsid w:val="001C0BA4"/>
    <w:rsid w:val="001C5789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F2A"/>
    <w:rsid w:val="00207552"/>
    <w:rsid w:val="00215194"/>
    <w:rsid w:val="00216F3D"/>
    <w:rsid w:val="002171F8"/>
    <w:rsid w:val="00217452"/>
    <w:rsid w:val="002179BA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46563"/>
    <w:rsid w:val="00251D83"/>
    <w:rsid w:val="00253517"/>
    <w:rsid w:val="002625E8"/>
    <w:rsid w:val="002642FC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74F"/>
    <w:rsid w:val="00290A8B"/>
    <w:rsid w:val="002924BC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1F4F"/>
    <w:rsid w:val="002F2994"/>
    <w:rsid w:val="002F4329"/>
    <w:rsid w:val="002F662D"/>
    <w:rsid w:val="002F7333"/>
    <w:rsid w:val="003019F7"/>
    <w:rsid w:val="00301D28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218B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271A"/>
    <w:rsid w:val="003E3A67"/>
    <w:rsid w:val="003E48D4"/>
    <w:rsid w:val="003E4BBA"/>
    <w:rsid w:val="003E5CB0"/>
    <w:rsid w:val="003E7484"/>
    <w:rsid w:val="003E7CDD"/>
    <w:rsid w:val="003F4BEA"/>
    <w:rsid w:val="003F69F4"/>
    <w:rsid w:val="00403E50"/>
    <w:rsid w:val="0040455D"/>
    <w:rsid w:val="00404A7C"/>
    <w:rsid w:val="004054A7"/>
    <w:rsid w:val="00411EAA"/>
    <w:rsid w:val="0041241D"/>
    <w:rsid w:val="00414407"/>
    <w:rsid w:val="00414BEF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801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1475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1448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70C4"/>
    <w:rsid w:val="005B2EC3"/>
    <w:rsid w:val="005B3C05"/>
    <w:rsid w:val="005B461D"/>
    <w:rsid w:val="005B6551"/>
    <w:rsid w:val="005B6CA2"/>
    <w:rsid w:val="005B7718"/>
    <w:rsid w:val="005C473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5ED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6F39D0"/>
    <w:rsid w:val="006F492C"/>
    <w:rsid w:val="007009E2"/>
    <w:rsid w:val="00700C82"/>
    <w:rsid w:val="00700E45"/>
    <w:rsid w:val="00700F8A"/>
    <w:rsid w:val="0070363D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568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A0264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B1F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360A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69E7"/>
    <w:rsid w:val="00A47DD9"/>
    <w:rsid w:val="00A54FC6"/>
    <w:rsid w:val="00A554A3"/>
    <w:rsid w:val="00A55675"/>
    <w:rsid w:val="00A56DF7"/>
    <w:rsid w:val="00A57BF3"/>
    <w:rsid w:val="00A65825"/>
    <w:rsid w:val="00A665CA"/>
    <w:rsid w:val="00A677C6"/>
    <w:rsid w:val="00A714F2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1995"/>
    <w:rsid w:val="00BA2133"/>
    <w:rsid w:val="00BA2B6C"/>
    <w:rsid w:val="00BB19C3"/>
    <w:rsid w:val="00BB1BDD"/>
    <w:rsid w:val="00BB49EF"/>
    <w:rsid w:val="00BB4E93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3604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0BFC"/>
    <w:rsid w:val="00C21230"/>
    <w:rsid w:val="00C2387D"/>
    <w:rsid w:val="00C25377"/>
    <w:rsid w:val="00C25492"/>
    <w:rsid w:val="00C26BA6"/>
    <w:rsid w:val="00C339C4"/>
    <w:rsid w:val="00C40925"/>
    <w:rsid w:val="00C4491A"/>
    <w:rsid w:val="00C45A19"/>
    <w:rsid w:val="00C51B8E"/>
    <w:rsid w:val="00C55195"/>
    <w:rsid w:val="00C6217C"/>
    <w:rsid w:val="00C63E13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44E"/>
    <w:rsid w:val="00C925B4"/>
    <w:rsid w:val="00C96A06"/>
    <w:rsid w:val="00CA0106"/>
    <w:rsid w:val="00CA0F9D"/>
    <w:rsid w:val="00CA3531"/>
    <w:rsid w:val="00CA37A5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D3BED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3AE3"/>
    <w:rsid w:val="00F2520C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27D3"/>
    <w:rsid w:val="00FB7A38"/>
    <w:rsid w:val="00FC25C6"/>
    <w:rsid w:val="00FC4DE4"/>
    <w:rsid w:val="00FC5F23"/>
    <w:rsid w:val="00FC6189"/>
    <w:rsid w:val="00FC7FD9"/>
    <w:rsid w:val="00FD5B6A"/>
    <w:rsid w:val="00FD6E2E"/>
    <w:rsid w:val="00FD76BB"/>
    <w:rsid w:val="00FE0963"/>
    <w:rsid w:val="00FE1812"/>
    <w:rsid w:val="00FE444F"/>
    <w:rsid w:val="00FE5303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696B6-6D42-48CD-B343-BEEAF05C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5127</Characters>
  <Application>Microsoft Office Word</Application>
  <DocSecurity>4</DocSecurity>
  <Lines>42</Lines>
  <Paragraphs>12</Paragraphs>
  <ScaleCrop>false</ScaleCrop>
  <Company>CHINAAMC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2023-05-26T16:02:00Z</dcterms:created>
  <dcterms:modified xsi:type="dcterms:W3CDTF">2023-05-26T16:02:00Z</dcterms:modified>
</cp:coreProperties>
</file>