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095" w:rsidRDefault="003C5A31">
      <w:pPr>
        <w:spacing w:line="360" w:lineRule="auto"/>
        <w:jc w:val="center"/>
        <w:rPr>
          <w:rFonts w:asciiTheme="minorEastAsia" w:hAnsiTheme="minorEastAsia"/>
          <w:b/>
          <w:sz w:val="28"/>
          <w:szCs w:val="28"/>
        </w:rPr>
      </w:pPr>
      <w:r>
        <w:rPr>
          <w:rFonts w:asciiTheme="minorEastAsia" w:hAnsiTheme="minorEastAsia" w:hint="eastAsia"/>
          <w:b/>
          <w:sz w:val="28"/>
          <w:szCs w:val="28"/>
        </w:rPr>
        <w:t>上银基金管理有限公司关于旗下部分基金新增利得基金</w:t>
      </w:r>
    </w:p>
    <w:p w:rsidR="00DC6095" w:rsidRDefault="003C5A31">
      <w:pPr>
        <w:spacing w:line="360" w:lineRule="auto"/>
        <w:jc w:val="center"/>
        <w:rPr>
          <w:rFonts w:asciiTheme="minorEastAsia" w:hAnsiTheme="minorEastAsia"/>
          <w:b/>
          <w:sz w:val="28"/>
          <w:szCs w:val="28"/>
        </w:rPr>
      </w:pPr>
      <w:r>
        <w:rPr>
          <w:rFonts w:asciiTheme="minorEastAsia" w:hAnsiTheme="minorEastAsia" w:hint="eastAsia"/>
          <w:b/>
          <w:sz w:val="28"/>
          <w:szCs w:val="28"/>
        </w:rPr>
        <w:t>为销售机构及参加费率优惠活动的公告</w:t>
      </w:r>
    </w:p>
    <w:p w:rsidR="00DC6095" w:rsidRDefault="00DC6095">
      <w:pPr>
        <w:spacing w:line="360" w:lineRule="auto"/>
        <w:ind w:firstLineChars="200" w:firstLine="480"/>
        <w:rPr>
          <w:rFonts w:asciiTheme="minorEastAsia" w:hAnsiTheme="minorEastAsia"/>
          <w:sz w:val="24"/>
          <w:szCs w:val="24"/>
        </w:rPr>
      </w:pPr>
    </w:p>
    <w:p w:rsidR="00DC6095" w:rsidRDefault="003C5A31">
      <w:pPr>
        <w:spacing w:line="360" w:lineRule="auto"/>
        <w:ind w:firstLineChars="200" w:firstLine="420"/>
        <w:jc w:val="left"/>
        <w:rPr>
          <w:rFonts w:ascii="Times New Roman" w:hAnsi="Times New Roman" w:cs="Times New Roman"/>
          <w:color w:val="000000" w:themeColor="text1"/>
          <w:szCs w:val="21"/>
        </w:rPr>
      </w:pPr>
      <w:r>
        <w:rPr>
          <w:rFonts w:ascii="Times New Roman" w:hAnsi="Times New Roman" w:cs="Times New Roman"/>
          <w:szCs w:val="21"/>
        </w:rPr>
        <w:t>根据上银基金管理有限公司（以下简</w:t>
      </w:r>
      <w:r>
        <w:rPr>
          <w:rFonts w:ascii="宋体" w:eastAsia="宋体" w:hAnsi="宋体" w:cs="宋体" w:hint="eastAsia"/>
          <w:color w:val="000000" w:themeColor="text1"/>
          <w:szCs w:val="21"/>
        </w:rPr>
        <w:t>称“上银基金”）</w:t>
      </w:r>
      <w:r>
        <w:rPr>
          <w:rFonts w:ascii="Times New Roman" w:hAnsi="Times New Roman" w:cs="Times New Roman"/>
          <w:szCs w:val="21"/>
        </w:rPr>
        <w:t>与</w:t>
      </w:r>
      <w:r>
        <w:rPr>
          <w:rFonts w:ascii="Times New Roman" w:hAnsi="Times New Roman" w:cs="Times New Roman" w:hint="eastAsia"/>
          <w:color w:val="000000" w:themeColor="text1"/>
        </w:rPr>
        <w:t>上海利得基金销售有限公司</w:t>
      </w:r>
      <w:r>
        <w:rPr>
          <w:rFonts w:ascii="Times New Roman" w:hAnsi="Times New Roman" w:cs="Times New Roman" w:hint="eastAsia"/>
          <w:color w:val="000000" w:themeColor="text1"/>
          <w:szCs w:val="21"/>
        </w:rPr>
        <w:t>（</w:t>
      </w:r>
      <w:r>
        <w:rPr>
          <w:rFonts w:ascii="Times New Roman" w:hAnsi="Times New Roman" w:cs="Times New Roman"/>
          <w:color w:val="000000" w:themeColor="text1"/>
          <w:szCs w:val="21"/>
        </w:rPr>
        <w:t>以下简</w:t>
      </w:r>
      <w:r>
        <w:rPr>
          <w:rFonts w:ascii="宋体" w:eastAsia="宋体" w:hAnsi="宋体" w:cs="宋体" w:hint="eastAsia"/>
          <w:color w:val="000000" w:themeColor="text1"/>
          <w:szCs w:val="21"/>
        </w:rPr>
        <w:t>称“</w:t>
      </w:r>
      <w:r>
        <w:rPr>
          <w:rFonts w:ascii="宋体" w:eastAsia="宋体" w:hAnsi="宋体" w:cs="宋体" w:hint="eastAsia"/>
          <w:color w:val="000000" w:themeColor="text1"/>
        </w:rPr>
        <w:t>利得基金</w:t>
      </w:r>
      <w:r>
        <w:rPr>
          <w:rFonts w:ascii="宋体" w:eastAsia="宋体" w:hAnsi="宋体" w:cs="宋体" w:hint="eastAsia"/>
          <w:color w:val="000000" w:themeColor="text1"/>
          <w:szCs w:val="21"/>
        </w:rPr>
        <w:t>”</w:t>
      </w:r>
      <w:r>
        <w:rPr>
          <w:rFonts w:ascii="Times New Roman" w:hAnsi="Times New Roman" w:cs="Times New Roman" w:hint="eastAsia"/>
          <w:color w:val="000000" w:themeColor="text1"/>
          <w:szCs w:val="21"/>
        </w:rPr>
        <w:t>）</w:t>
      </w:r>
      <w:r>
        <w:rPr>
          <w:rFonts w:ascii="Times New Roman" w:hAnsi="Times New Roman" w:cs="Times New Roman"/>
          <w:color w:val="000000" w:themeColor="text1"/>
          <w:szCs w:val="21"/>
        </w:rPr>
        <w:t>签署的销售协议和相关业务准备情况，自</w:t>
      </w:r>
      <w:r>
        <w:rPr>
          <w:rFonts w:ascii="Times New Roman" w:hAnsi="Times New Roman" w:cs="Times New Roman"/>
          <w:color w:val="000000" w:themeColor="text1"/>
          <w:szCs w:val="21"/>
        </w:rPr>
        <w:t>202</w:t>
      </w:r>
      <w:r>
        <w:rPr>
          <w:rFonts w:ascii="Times New Roman" w:hAnsi="Times New Roman" w:cs="Times New Roman" w:hint="eastAsia"/>
          <w:color w:val="000000" w:themeColor="text1"/>
          <w:szCs w:val="21"/>
        </w:rPr>
        <w:t>3</w:t>
      </w:r>
      <w:r>
        <w:rPr>
          <w:rFonts w:ascii="Times New Roman" w:hAnsi="Times New Roman" w:cs="Times New Roman"/>
          <w:color w:val="000000" w:themeColor="text1"/>
          <w:szCs w:val="21"/>
        </w:rPr>
        <w:t>年</w:t>
      </w:r>
      <w:r>
        <w:rPr>
          <w:rFonts w:ascii="Times New Roman" w:hAnsi="Times New Roman" w:cs="Times New Roman" w:hint="eastAsia"/>
          <w:color w:val="000000" w:themeColor="text1"/>
          <w:szCs w:val="21"/>
        </w:rPr>
        <w:t>5</w:t>
      </w:r>
      <w:r>
        <w:rPr>
          <w:rFonts w:ascii="Times New Roman" w:hAnsi="Times New Roman" w:cs="Times New Roman"/>
          <w:color w:val="000000" w:themeColor="text1"/>
          <w:szCs w:val="21"/>
        </w:rPr>
        <w:t>月</w:t>
      </w:r>
      <w:r>
        <w:rPr>
          <w:rFonts w:ascii="Times New Roman" w:hAnsi="Times New Roman" w:cs="Times New Roman" w:hint="eastAsia"/>
          <w:color w:val="000000" w:themeColor="text1"/>
          <w:szCs w:val="21"/>
        </w:rPr>
        <w:t>23</w:t>
      </w:r>
      <w:r>
        <w:rPr>
          <w:rFonts w:ascii="Times New Roman" w:hAnsi="Times New Roman" w:cs="Times New Roman"/>
          <w:color w:val="000000" w:themeColor="text1"/>
          <w:szCs w:val="21"/>
        </w:rPr>
        <w:t>日起，</w:t>
      </w:r>
      <w:r>
        <w:rPr>
          <w:rFonts w:ascii="Times New Roman" w:hAnsi="Times New Roman" w:cs="Times New Roman" w:hint="eastAsia"/>
          <w:color w:val="000000" w:themeColor="text1"/>
          <w:szCs w:val="21"/>
        </w:rPr>
        <w:t>利得基金</w:t>
      </w:r>
      <w:r>
        <w:rPr>
          <w:rFonts w:ascii="Times New Roman" w:hAnsi="Times New Roman" w:cs="Times New Roman"/>
          <w:color w:val="000000" w:themeColor="text1"/>
          <w:szCs w:val="21"/>
        </w:rPr>
        <w:t>将开始销售本公司</w:t>
      </w:r>
      <w:r>
        <w:rPr>
          <w:rFonts w:ascii="Times New Roman" w:hAnsi="Times New Roman" w:cs="Times New Roman" w:hint="eastAsia"/>
          <w:color w:val="000000" w:themeColor="text1"/>
          <w:szCs w:val="21"/>
        </w:rPr>
        <w:t>如下基金：</w:t>
      </w:r>
    </w:p>
    <w:tbl>
      <w:tblPr>
        <w:tblStyle w:val="a8"/>
        <w:tblW w:w="5000" w:type="pct"/>
        <w:jc w:val="center"/>
        <w:tblLook w:val="04A0"/>
      </w:tblPr>
      <w:tblGrid>
        <w:gridCol w:w="813"/>
        <w:gridCol w:w="6524"/>
        <w:gridCol w:w="1185"/>
      </w:tblGrid>
      <w:tr w:rsidR="00DC6095">
        <w:trPr>
          <w:jc w:val="center"/>
        </w:trPr>
        <w:tc>
          <w:tcPr>
            <w:tcW w:w="477" w:type="pct"/>
            <w:vAlign w:val="center"/>
          </w:tcPr>
          <w:p w:rsidR="00DC6095" w:rsidRDefault="003C5A31">
            <w:pPr>
              <w:spacing w:line="360" w:lineRule="auto"/>
              <w:jc w:val="center"/>
              <w:rPr>
                <w:rFonts w:asciiTheme="minorEastAsia" w:hAnsiTheme="minorEastAsia"/>
                <w:b/>
                <w:bCs/>
                <w:szCs w:val="21"/>
              </w:rPr>
            </w:pPr>
            <w:r>
              <w:rPr>
                <w:rFonts w:asciiTheme="minorEastAsia" w:hAnsiTheme="minorEastAsia" w:hint="eastAsia"/>
                <w:b/>
                <w:bCs/>
                <w:szCs w:val="21"/>
              </w:rPr>
              <w:t>序号</w:t>
            </w:r>
          </w:p>
        </w:tc>
        <w:tc>
          <w:tcPr>
            <w:tcW w:w="3827" w:type="pct"/>
            <w:vAlign w:val="center"/>
          </w:tcPr>
          <w:p w:rsidR="00DC6095" w:rsidRDefault="003C5A31">
            <w:pPr>
              <w:spacing w:line="360" w:lineRule="auto"/>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基金名称</w:t>
            </w:r>
          </w:p>
        </w:tc>
        <w:tc>
          <w:tcPr>
            <w:tcW w:w="695" w:type="pct"/>
            <w:vAlign w:val="center"/>
          </w:tcPr>
          <w:p w:rsidR="00DC6095" w:rsidRDefault="003C5A31">
            <w:pPr>
              <w:spacing w:line="360" w:lineRule="auto"/>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基金代码</w:t>
            </w:r>
          </w:p>
        </w:tc>
      </w:tr>
      <w:tr w:rsidR="00DC6095">
        <w:trPr>
          <w:jc w:val="center"/>
        </w:trPr>
        <w:tc>
          <w:tcPr>
            <w:tcW w:w="477" w:type="pct"/>
            <w:vAlign w:val="center"/>
          </w:tcPr>
          <w:p w:rsidR="00DC6095" w:rsidRDefault="003C5A31">
            <w:pPr>
              <w:spacing w:line="360" w:lineRule="auto"/>
              <w:jc w:val="center"/>
              <w:rPr>
                <w:rFonts w:asciiTheme="minorEastAsia" w:hAnsiTheme="minorEastAsia"/>
                <w:szCs w:val="21"/>
              </w:rPr>
            </w:pPr>
            <w:r>
              <w:rPr>
                <w:rFonts w:asciiTheme="minorEastAsia" w:hAnsiTheme="minorEastAsia" w:hint="eastAsia"/>
                <w:szCs w:val="21"/>
              </w:rPr>
              <w:t>1</w:t>
            </w:r>
          </w:p>
        </w:tc>
        <w:tc>
          <w:tcPr>
            <w:tcW w:w="3827" w:type="pct"/>
            <w:vAlign w:val="center"/>
          </w:tcPr>
          <w:p w:rsidR="00DC6095" w:rsidRDefault="003C5A31">
            <w:pPr>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上银聚顺益一年定期开放债券型发起式证券投资基金</w:t>
            </w:r>
          </w:p>
        </w:tc>
        <w:tc>
          <w:tcPr>
            <w:tcW w:w="695" w:type="pct"/>
            <w:vAlign w:val="center"/>
          </w:tcPr>
          <w:p w:rsidR="00DC6095" w:rsidRDefault="003C5A31">
            <w:pPr>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013723</w:t>
            </w:r>
          </w:p>
        </w:tc>
      </w:tr>
      <w:tr w:rsidR="00DC6095">
        <w:trPr>
          <w:jc w:val="center"/>
        </w:trPr>
        <w:tc>
          <w:tcPr>
            <w:tcW w:w="477" w:type="pct"/>
            <w:vAlign w:val="center"/>
          </w:tcPr>
          <w:p w:rsidR="00DC6095" w:rsidRDefault="003C5A31">
            <w:pPr>
              <w:spacing w:line="360" w:lineRule="auto"/>
              <w:jc w:val="center"/>
              <w:rPr>
                <w:rFonts w:asciiTheme="minorEastAsia" w:hAnsiTheme="minorEastAsia"/>
                <w:szCs w:val="21"/>
              </w:rPr>
            </w:pPr>
            <w:r>
              <w:rPr>
                <w:rFonts w:asciiTheme="minorEastAsia" w:hAnsiTheme="minorEastAsia" w:hint="eastAsia"/>
                <w:szCs w:val="21"/>
              </w:rPr>
              <w:t>2</w:t>
            </w:r>
          </w:p>
        </w:tc>
        <w:tc>
          <w:tcPr>
            <w:tcW w:w="3827" w:type="pct"/>
            <w:vAlign w:val="center"/>
          </w:tcPr>
          <w:p w:rsidR="00DC6095" w:rsidRDefault="003C5A31">
            <w:pPr>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上银慧信利三个月定期开放债券型证券投资基金</w:t>
            </w:r>
          </w:p>
        </w:tc>
        <w:tc>
          <w:tcPr>
            <w:tcW w:w="695" w:type="pct"/>
            <w:vAlign w:val="center"/>
          </w:tcPr>
          <w:p w:rsidR="00DC6095" w:rsidRDefault="003C5A31">
            <w:pPr>
              <w:spacing w:line="360" w:lineRule="auto"/>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015335</w:t>
            </w:r>
          </w:p>
        </w:tc>
      </w:tr>
      <w:tr w:rsidR="00DC6095">
        <w:trPr>
          <w:jc w:val="center"/>
        </w:trPr>
        <w:tc>
          <w:tcPr>
            <w:tcW w:w="477" w:type="pct"/>
            <w:vAlign w:val="center"/>
          </w:tcPr>
          <w:p w:rsidR="00DC6095" w:rsidRDefault="003C5A31">
            <w:pPr>
              <w:spacing w:line="360" w:lineRule="auto"/>
              <w:jc w:val="center"/>
              <w:rPr>
                <w:rFonts w:asciiTheme="minorEastAsia" w:hAnsiTheme="minorEastAsia"/>
                <w:szCs w:val="21"/>
              </w:rPr>
            </w:pPr>
            <w:r>
              <w:rPr>
                <w:rFonts w:asciiTheme="minorEastAsia" w:hAnsiTheme="minorEastAsia" w:hint="eastAsia"/>
                <w:szCs w:val="21"/>
              </w:rPr>
              <w:t>3</w:t>
            </w:r>
          </w:p>
        </w:tc>
        <w:tc>
          <w:tcPr>
            <w:tcW w:w="3827" w:type="pct"/>
            <w:vAlign w:val="center"/>
          </w:tcPr>
          <w:p w:rsidR="00DC6095" w:rsidRDefault="003C5A31">
            <w:pPr>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上银聚恒益一年定期开放债券型发起式证券投资基金</w:t>
            </w:r>
          </w:p>
        </w:tc>
        <w:tc>
          <w:tcPr>
            <w:tcW w:w="695" w:type="pct"/>
            <w:vAlign w:val="center"/>
          </w:tcPr>
          <w:p w:rsidR="00DC6095" w:rsidRDefault="003C5A31">
            <w:pPr>
              <w:spacing w:line="360" w:lineRule="auto"/>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015949</w:t>
            </w:r>
          </w:p>
        </w:tc>
      </w:tr>
      <w:tr w:rsidR="00DC6095">
        <w:trPr>
          <w:jc w:val="center"/>
        </w:trPr>
        <w:tc>
          <w:tcPr>
            <w:tcW w:w="477" w:type="pct"/>
            <w:vAlign w:val="center"/>
          </w:tcPr>
          <w:p w:rsidR="00DC6095" w:rsidRDefault="003C5A31">
            <w:pPr>
              <w:spacing w:line="360" w:lineRule="auto"/>
              <w:jc w:val="center"/>
              <w:rPr>
                <w:rFonts w:asciiTheme="minorEastAsia" w:hAnsiTheme="minorEastAsia"/>
                <w:szCs w:val="21"/>
              </w:rPr>
            </w:pPr>
            <w:r>
              <w:rPr>
                <w:rFonts w:asciiTheme="minorEastAsia" w:hAnsiTheme="minorEastAsia" w:hint="eastAsia"/>
                <w:szCs w:val="21"/>
              </w:rPr>
              <w:t>4</w:t>
            </w:r>
          </w:p>
        </w:tc>
        <w:tc>
          <w:tcPr>
            <w:tcW w:w="3827" w:type="pct"/>
            <w:vAlign w:val="center"/>
          </w:tcPr>
          <w:p w:rsidR="00DC6095" w:rsidRDefault="003C5A31">
            <w:pPr>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上银恒睿养老目标日期</w:t>
            </w:r>
            <w:r>
              <w:rPr>
                <w:rFonts w:ascii="Times New Roman" w:hAnsi="Times New Roman" w:cs="Times New Roman"/>
                <w:color w:val="000000" w:themeColor="text1"/>
                <w:szCs w:val="21"/>
              </w:rPr>
              <w:t>2045</w:t>
            </w:r>
            <w:r>
              <w:rPr>
                <w:rFonts w:ascii="Times New Roman" w:hAnsi="Times New Roman" w:cs="Times New Roman"/>
                <w:color w:val="000000" w:themeColor="text1"/>
                <w:szCs w:val="21"/>
              </w:rPr>
              <w:t>三年持有期混合型发起式基金中基金（</w:t>
            </w:r>
            <w:r>
              <w:rPr>
                <w:rFonts w:ascii="Times New Roman" w:hAnsi="Times New Roman" w:cs="Times New Roman"/>
                <w:color w:val="000000" w:themeColor="text1"/>
                <w:szCs w:val="21"/>
              </w:rPr>
              <w:t>FOF</w:t>
            </w:r>
            <w:r>
              <w:rPr>
                <w:rFonts w:ascii="Times New Roman" w:hAnsi="Times New Roman" w:cs="Times New Roman"/>
                <w:color w:val="000000" w:themeColor="text1"/>
                <w:szCs w:val="21"/>
              </w:rPr>
              <w:t>）</w:t>
            </w:r>
          </w:p>
        </w:tc>
        <w:tc>
          <w:tcPr>
            <w:tcW w:w="695" w:type="pct"/>
            <w:vAlign w:val="center"/>
          </w:tcPr>
          <w:p w:rsidR="00DC6095" w:rsidRDefault="003C5A31">
            <w:pPr>
              <w:spacing w:line="360" w:lineRule="auto"/>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017004</w:t>
            </w:r>
          </w:p>
        </w:tc>
      </w:tr>
      <w:tr w:rsidR="00DC6095">
        <w:trPr>
          <w:jc w:val="center"/>
        </w:trPr>
        <w:tc>
          <w:tcPr>
            <w:tcW w:w="477" w:type="pct"/>
            <w:vAlign w:val="center"/>
          </w:tcPr>
          <w:p w:rsidR="00DC6095" w:rsidRDefault="003C5A31">
            <w:pPr>
              <w:spacing w:line="360" w:lineRule="auto"/>
              <w:jc w:val="center"/>
              <w:rPr>
                <w:rFonts w:asciiTheme="minorEastAsia" w:hAnsiTheme="minorEastAsia"/>
                <w:szCs w:val="21"/>
              </w:rPr>
            </w:pPr>
            <w:r>
              <w:rPr>
                <w:rFonts w:asciiTheme="minorEastAsia" w:hAnsiTheme="minorEastAsia" w:hint="eastAsia"/>
                <w:szCs w:val="21"/>
              </w:rPr>
              <w:t>5</w:t>
            </w:r>
          </w:p>
        </w:tc>
        <w:tc>
          <w:tcPr>
            <w:tcW w:w="3827" w:type="pct"/>
            <w:vAlign w:val="center"/>
          </w:tcPr>
          <w:p w:rsidR="00DC6095" w:rsidRDefault="003C5A31">
            <w:pPr>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上银慧鑫利债券型证券投资基金</w:t>
            </w:r>
          </w:p>
        </w:tc>
        <w:tc>
          <w:tcPr>
            <w:tcW w:w="695" w:type="pct"/>
            <w:vAlign w:val="center"/>
          </w:tcPr>
          <w:p w:rsidR="00DC6095" w:rsidRDefault="003C5A31">
            <w:pPr>
              <w:spacing w:line="360" w:lineRule="auto"/>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016537</w:t>
            </w:r>
          </w:p>
        </w:tc>
      </w:tr>
      <w:tr w:rsidR="00DC6095">
        <w:trPr>
          <w:jc w:val="center"/>
        </w:trPr>
        <w:tc>
          <w:tcPr>
            <w:tcW w:w="477" w:type="pct"/>
            <w:vAlign w:val="center"/>
          </w:tcPr>
          <w:p w:rsidR="00DC6095" w:rsidRDefault="003C5A31">
            <w:pPr>
              <w:spacing w:line="360" w:lineRule="auto"/>
              <w:jc w:val="center"/>
              <w:rPr>
                <w:rFonts w:asciiTheme="minorEastAsia" w:hAnsiTheme="minorEastAsia"/>
                <w:szCs w:val="21"/>
              </w:rPr>
            </w:pPr>
            <w:r>
              <w:rPr>
                <w:rFonts w:asciiTheme="minorEastAsia" w:hAnsiTheme="minorEastAsia" w:hint="eastAsia"/>
                <w:szCs w:val="21"/>
              </w:rPr>
              <w:t>6</w:t>
            </w:r>
          </w:p>
        </w:tc>
        <w:tc>
          <w:tcPr>
            <w:tcW w:w="3827" w:type="pct"/>
            <w:vAlign w:val="center"/>
          </w:tcPr>
          <w:p w:rsidR="00DC6095" w:rsidRDefault="003C5A31">
            <w:pPr>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上银聚嘉益一年定期开放债券型发起式证券投资基金</w:t>
            </w:r>
          </w:p>
        </w:tc>
        <w:tc>
          <w:tcPr>
            <w:tcW w:w="695" w:type="pct"/>
            <w:vAlign w:val="center"/>
          </w:tcPr>
          <w:p w:rsidR="00DC6095" w:rsidRDefault="003C5A31">
            <w:pPr>
              <w:spacing w:line="360" w:lineRule="auto"/>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016999</w:t>
            </w:r>
          </w:p>
        </w:tc>
      </w:tr>
      <w:tr w:rsidR="00DC6095">
        <w:trPr>
          <w:jc w:val="center"/>
        </w:trPr>
        <w:tc>
          <w:tcPr>
            <w:tcW w:w="477" w:type="pct"/>
            <w:vAlign w:val="center"/>
          </w:tcPr>
          <w:p w:rsidR="00DC6095" w:rsidRDefault="003C5A31">
            <w:pPr>
              <w:spacing w:line="360" w:lineRule="auto"/>
              <w:jc w:val="center"/>
              <w:rPr>
                <w:rFonts w:asciiTheme="minorEastAsia" w:hAnsiTheme="minorEastAsia"/>
                <w:szCs w:val="21"/>
              </w:rPr>
            </w:pPr>
            <w:r>
              <w:rPr>
                <w:rFonts w:asciiTheme="minorEastAsia" w:hAnsiTheme="minorEastAsia" w:hint="eastAsia"/>
                <w:szCs w:val="21"/>
              </w:rPr>
              <w:t>7</w:t>
            </w:r>
          </w:p>
        </w:tc>
        <w:tc>
          <w:tcPr>
            <w:tcW w:w="3827" w:type="pct"/>
            <w:vAlign w:val="center"/>
          </w:tcPr>
          <w:p w:rsidR="00DC6095" w:rsidRDefault="003C5A31">
            <w:pPr>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上银聚德益一年定期开放债券型发起式证券投资基金</w:t>
            </w:r>
          </w:p>
        </w:tc>
        <w:tc>
          <w:tcPr>
            <w:tcW w:w="695" w:type="pct"/>
            <w:vAlign w:val="center"/>
          </w:tcPr>
          <w:p w:rsidR="00DC6095" w:rsidRDefault="003C5A31">
            <w:pPr>
              <w:spacing w:line="360" w:lineRule="auto"/>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009578</w:t>
            </w:r>
          </w:p>
        </w:tc>
      </w:tr>
      <w:tr w:rsidR="00DC6095">
        <w:trPr>
          <w:jc w:val="center"/>
        </w:trPr>
        <w:tc>
          <w:tcPr>
            <w:tcW w:w="477" w:type="pct"/>
            <w:vAlign w:val="center"/>
          </w:tcPr>
          <w:p w:rsidR="00DC6095" w:rsidRDefault="003C5A31">
            <w:pPr>
              <w:spacing w:line="360" w:lineRule="auto"/>
              <w:jc w:val="center"/>
              <w:rPr>
                <w:rFonts w:asciiTheme="minorEastAsia" w:hAnsiTheme="minorEastAsia"/>
                <w:szCs w:val="21"/>
              </w:rPr>
            </w:pPr>
            <w:r>
              <w:rPr>
                <w:rFonts w:asciiTheme="minorEastAsia" w:hAnsiTheme="minorEastAsia" w:hint="eastAsia"/>
                <w:szCs w:val="21"/>
              </w:rPr>
              <w:t>8</w:t>
            </w:r>
          </w:p>
        </w:tc>
        <w:tc>
          <w:tcPr>
            <w:tcW w:w="3827" w:type="pct"/>
            <w:vAlign w:val="center"/>
          </w:tcPr>
          <w:p w:rsidR="00DC6095" w:rsidRDefault="003C5A31">
            <w:pPr>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上银聚鸿益三个月定期开放债券型发起式证券投资基金</w:t>
            </w:r>
          </w:p>
        </w:tc>
        <w:tc>
          <w:tcPr>
            <w:tcW w:w="695" w:type="pct"/>
            <w:vAlign w:val="center"/>
          </w:tcPr>
          <w:p w:rsidR="00DC6095" w:rsidRDefault="003C5A31">
            <w:pPr>
              <w:spacing w:line="360" w:lineRule="auto"/>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005432</w:t>
            </w:r>
          </w:p>
        </w:tc>
      </w:tr>
      <w:tr w:rsidR="00DC6095">
        <w:trPr>
          <w:jc w:val="center"/>
        </w:trPr>
        <w:tc>
          <w:tcPr>
            <w:tcW w:w="477" w:type="pct"/>
            <w:vAlign w:val="center"/>
          </w:tcPr>
          <w:p w:rsidR="00DC6095" w:rsidRDefault="003C5A31">
            <w:pPr>
              <w:spacing w:line="360" w:lineRule="auto"/>
              <w:jc w:val="center"/>
              <w:rPr>
                <w:rFonts w:asciiTheme="minorEastAsia" w:hAnsiTheme="minorEastAsia"/>
                <w:szCs w:val="21"/>
              </w:rPr>
            </w:pPr>
            <w:r>
              <w:rPr>
                <w:rFonts w:asciiTheme="minorEastAsia" w:hAnsiTheme="minorEastAsia" w:hint="eastAsia"/>
                <w:szCs w:val="21"/>
              </w:rPr>
              <w:t>9</w:t>
            </w:r>
          </w:p>
        </w:tc>
        <w:tc>
          <w:tcPr>
            <w:tcW w:w="3827" w:type="pct"/>
            <w:vAlign w:val="center"/>
          </w:tcPr>
          <w:p w:rsidR="00DC6095" w:rsidRDefault="003C5A31">
            <w:pPr>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上银聚增富定期开放债券型发起式证券投资基金</w:t>
            </w:r>
          </w:p>
        </w:tc>
        <w:tc>
          <w:tcPr>
            <w:tcW w:w="695" w:type="pct"/>
            <w:vAlign w:val="center"/>
          </w:tcPr>
          <w:p w:rsidR="00DC6095" w:rsidRDefault="003C5A31">
            <w:pPr>
              <w:spacing w:line="360" w:lineRule="auto"/>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005431</w:t>
            </w:r>
          </w:p>
        </w:tc>
      </w:tr>
      <w:tr w:rsidR="00DC6095">
        <w:trPr>
          <w:jc w:val="center"/>
        </w:trPr>
        <w:tc>
          <w:tcPr>
            <w:tcW w:w="477" w:type="pct"/>
            <w:vAlign w:val="center"/>
          </w:tcPr>
          <w:p w:rsidR="00DC6095" w:rsidRDefault="003C5A31">
            <w:pPr>
              <w:spacing w:line="360" w:lineRule="auto"/>
              <w:jc w:val="center"/>
              <w:rPr>
                <w:rFonts w:asciiTheme="minorEastAsia" w:hAnsiTheme="minorEastAsia"/>
                <w:szCs w:val="21"/>
              </w:rPr>
            </w:pPr>
            <w:r>
              <w:rPr>
                <w:rFonts w:asciiTheme="minorEastAsia" w:hAnsiTheme="minorEastAsia" w:hint="eastAsia"/>
                <w:szCs w:val="21"/>
              </w:rPr>
              <w:t>10</w:t>
            </w:r>
          </w:p>
        </w:tc>
        <w:tc>
          <w:tcPr>
            <w:tcW w:w="3827" w:type="pct"/>
            <w:vAlign w:val="center"/>
          </w:tcPr>
          <w:p w:rsidR="00DC6095" w:rsidRDefault="003C5A31">
            <w:pPr>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上银聚永益一年定期开放债券型发起式证券投资基金</w:t>
            </w:r>
          </w:p>
        </w:tc>
        <w:tc>
          <w:tcPr>
            <w:tcW w:w="695" w:type="pct"/>
            <w:vAlign w:val="center"/>
          </w:tcPr>
          <w:p w:rsidR="00DC6095" w:rsidRDefault="003C5A31">
            <w:pPr>
              <w:spacing w:line="360" w:lineRule="auto"/>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009577</w:t>
            </w:r>
          </w:p>
        </w:tc>
      </w:tr>
      <w:tr w:rsidR="00DC6095">
        <w:trPr>
          <w:jc w:val="center"/>
        </w:trPr>
        <w:tc>
          <w:tcPr>
            <w:tcW w:w="477" w:type="pct"/>
            <w:vAlign w:val="center"/>
          </w:tcPr>
          <w:p w:rsidR="00DC6095" w:rsidRDefault="003C5A31">
            <w:pPr>
              <w:spacing w:line="360" w:lineRule="auto"/>
              <w:jc w:val="center"/>
              <w:rPr>
                <w:rFonts w:asciiTheme="minorEastAsia" w:hAnsiTheme="minorEastAsia"/>
                <w:szCs w:val="21"/>
              </w:rPr>
            </w:pPr>
            <w:r>
              <w:rPr>
                <w:rFonts w:asciiTheme="minorEastAsia" w:hAnsiTheme="minorEastAsia" w:hint="eastAsia"/>
                <w:szCs w:val="21"/>
              </w:rPr>
              <w:t>11</w:t>
            </w:r>
          </w:p>
        </w:tc>
        <w:tc>
          <w:tcPr>
            <w:tcW w:w="3827" w:type="pct"/>
            <w:vAlign w:val="center"/>
          </w:tcPr>
          <w:p w:rsidR="00DC6095" w:rsidRDefault="003C5A31">
            <w:pPr>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上银聚远盈</w:t>
            </w:r>
            <w:r>
              <w:rPr>
                <w:rFonts w:ascii="Times New Roman" w:hAnsi="Times New Roman" w:cs="Times New Roman"/>
                <w:color w:val="000000" w:themeColor="text1"/>
                <w:szCs w:val="21"/>
              </w:rPr>
              <w:t>42</w:t>
            </w:r>
            <w:r>
              <w:rPr>
                <w:rFonts w:ascii="Times New Roman" w:hAnsi="Times New Roman" w:cs="Times New Roman"/>
                <w:color w:val="000000" w:themeColor="text1"/>
                <w:szCs w:val="21"/>
              </w:rPr>
              <w:t>个月定期开放债券型证券投资基金</w:t>
            </w:r>
          </w:p>
        </w:tc>
        <w:tc>
          <w:tcPr>
            <w:tcW w:w="695" w:type="pct"/>
            <w:vAlign w:val="center"/>
          </w:tcPr>
          <w:p w:rsidR="00DC6095" w:rsidRDefault="003C5A31">
            <w:pPr>
              <w:spacing w:line="360" w:lineRule="auto"/>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009851</w:t>
            </w:r>
          </w:p>
        </w:tc>
      </w:tr>
      <w:tr w:rsidR="00DC6095">
        <w:trPr>
          <w:trHeight w:val="447"/>
          <w:jc w:val="center"/>
        </w:trPr>
        <w:tc>
          <w:tcPr>
            <w:tcW w:w="477" w:type="pct"/>
            <w:vAlign w:val="center"/>
          </w:tcPr>
          <w:p w:rsidR="00DC6095" w:rsidRDefault="003C5A31">
            <w:pPr>
              <w:spacing w:line="360" w:lineRule="auto"/>
              <w:jc w:val="center"/>
              <w:rPr>
                <w:rFonts w:asciiTheme="minorEastAsia" w:hAnsiTheme="minorEastAsia"/>
                <w:szCs w:val="21"/>
              </w:rPr>
            </w:pPr>
            <w:r>
              <w:rPr>
                <w:rFonts w:asciiTheme="minorEastAsia" w:hAnsiTheme="minorEastAsia" w:hint="eastAsia"/>
                <w:szCs w:val="21"/>
              </w:rPr>
              <w:t>12</w:t>
            </w:r>
          </w:p>
        </w:tc>
        <w:tc>
          <w:tcPr>
            <w:tcW w:w="3827" w:type="pct"/>
            <w:vAlign w:val="center"/>
          </w:tcPr>
          <w:p w:rsidR="00DC6095" w:rsidRDefault="003C5A31">
            <w:pPr>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上银聚远鑫</w:t>
            </w:r>
            <w:r>
              <w:rPr>
                <w:rFonts w:ascii="Times New Roman" w:hAnsi="Times New Roman" w:cs="Times New Roman"/>
                <w:color w:val="000000" w:themeColor="text1"/>
                <w:szCs w:val="21"/>
              </w:rPr>
              <w:t>87</w:t>
            </w:r>
            <w:r>
              <w:rPr>
                <w:rFonts w:ascii="Times New Roman" w:hAnsi="Times New Roman" w:cs="Times New Roman"/>
                <w:color w:val="000000" w:themeColor="text1"/>
                <w:szCs w:val="21"/>
              </w:rPr>
              <w:t>个月定期开放债券型证券投资基金</w:t>
            </w:r>
          </w:p>
        </w:tc>
        <w:tc>
          <w:tcPr>
            <w:tcW w:w="695" w:type="pct"/>
            <w:vAlign w:val="center"/>
          </w:tcPr>
          <w:p w:rsidR="00DC6095" w:rsidRDefault="003C5A31">
            <w:pPr>
              <w:spacing w:line="360" w:lineRule="auto"/>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010639</w:t>
            </w:r>
          </w:p>
        </w:tc>
      </w:tr>
      <w:tr w:rsidR="00DC6095">
        <w:trPr>
          <w:jc w:val="center"/>
        </w:trPr>
        <w:tc>
          <w:tcPr>
            <w:tcW w:w="477" w:type="pct"/>
            <w:vAlign w:val="center"/>
          </w:tcPr>
          <w:p w:rsidR="00DC6095" w:rsidRDefault="003C5A31">
            <w:pPr>
              <w:spacing w:line="360" w:lineRule="auto"/>
              <w:jc w:val="center"/>
              <w:rPr>
                <w:rFonts w:asciiTheme="minorEastAsia" w:hAnsiTheme="minorEastAsia"/>
                <w:szCs w:val="21"/>
              </w:rPr>
            </w:pPr>
            <w:r>
              <w:rPr>
                <w:rFonts w:asciiTheme="minorEastAsia" w:hAnsiTheme="minorEastAsia" w:hint="eastAsia"/>
                <w:szCs w:val="21"/>
              </w:rPr>
              <w:t>13</w:t>
            </w:r>
          </w:p>
        </w:tc>
        <w:tc>
          <w:tcPr>
            <w:tcW w:w="3827" w:type="pct"/>
            <w:vAlign w:val="center"/>
          </w:tcPr>
          <w:p w:rsidR="00DC6095" w:rsidRDefault="003C5A31">
            <w:pPr>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上银慧兴盈债券型证券投资基金</w:t>
            </w:r>
          </w:p>
        </w:tc>
        <w:tc>
          <w:tcPr>
            <w:tcW w:w="695" w:type="pct"/>
            <w:vAlign w:val="center"/>
          </w:tcPr>
          <w:p w:rsidR="00DC6095" w:rsidRDefault="003C5A31">
            <w:pPr>
              <w:spacing w:line="360" w:lineRule="auto"/>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011529</w:t>
            </w:r>
          </w:p>
        </w:tc>
      </w:tr>
      <w:tr w:rsidR="00DC6095">
        <w:trPr>
          <w:jc w:val="center"/>
        </w:trPr>
        <w:tc>
          <w:tcPr>
            <w:tcW w:w="477" w:type="pct"/>
            <w:vAlign w:val="center"/>
          </w:tcPr>
          <w:p w:rsidR="00DC6095" w:rsidRDefault="003C5A31">
            <w:pPr>
              <w:spacing w:line="360" w:lineRule="auto"/>
              <w:jc w:val="center"/>
              <w:rPr>
                <w:rFonts w:asciiTheme="minorEastAsia" w:hAnsiTheme="minorEastAsia"/>
                <w:szCs w:val="21"/>
              </w:rPr>
            </w:pPr>
            <w:r>
              <w:rPr>
                <w:rFonts w:asciiTheme="minorEastAsia" w:hAnsiTheme="minorEastAsia" w:hint="eastAsia"/>
                <w:szCs w:val="21"/>
              </w:rPr>
              <w:t>14</w:t>
            </w:r>
          </w:p>
        </w:tc>
        <w:tc>
          <w:tcPr>
            <w:tcW w:w="3827" w:type="pct"/>
            <w:vAlign w:val="center"/>
          </w:tcPr>
          <w:p w:rsidR="00DC6095" w:rsidRDefault="003C5A31">
            <w:pPr>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上银慧嘉利债券型证券投资基金</w:t>
            </w:r>
          </w:p>
        </w:tc>
        <w:tc>
          <w:tcPr>
            <w:tcW w:w="695" w:type="pct"/>
            <w:vAlign w:val="center"/>
          </w:tcPr>
          <w:p w:rsidR="00DC6095" w:rsidRDefault="003C5A31">
            <w:pPr>
              <w:spacing w:line="360" w:lineRule="auto"/>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012465</w:t>
            </w:r>
          </w:p>
        </w:tc>
      </w:tr>
      <w:tr w:rsidR="00DC6095">
        <w:trPr>
          <w:jc w:val="center"/>
        </w:trPr>
        <w:tc>
          <w:tcPr>
            <w:tcW w:w="477" w:type="pct"/>
            <w:vMerge w:val="restart"/>
            <w:vAlign w:val="center"/>
          </w:tcPr>
          <w:p w:rsidR="00DC6095" w:rsidRDefault="003C5A31">
            <w:pPr>
              <w:spacing w:line="360" w:lineRule="auto"/>
              <w:jc w:val="center"/>
              <w:rPr>
                <w:rFonts w:asciiTheme="minorEastAsia" w:hAnsiTheme="minorEastAsia"/>
                <w:szCs w:val="21"/>
              </w:rPr>
            </w:pPr>
            <w:r>
              <w:rPr>
                <w:rFonts w:asciiTheme="minorEastAsia" w:hAnsiTheme="minorEastAsia" w:hint="eastAsia"/>
                <w:szCs w:val="21"/>
              </w:rPr>
              <w:t>15</w:t>
            </w:r>
          </w:p>
        </w:tc>
        <w:tc>
          <w:tcPr>
            <w:tcW w:w="3827" w:type="pct"/>
            <w:vAlign w:val="center"/>
          </w:tcPr>
          <w:p w:rsidR="00DC6095" w:rsidRDefault="003C5A31">
            <w:pPr>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上银慧祥利债券型证券投资基金</w:t>
            </w:r>
            <w:r>
              <w:rPr>
                <w:rFonts w:ascii="Times New Roman" w:hAnsi="Times New Roman" w:cs="Times New Roman"/>
                <w:color w:val="000000" w:themeColor="text1"/>
                <w:szCs w:val="21"/>
              </w:rPr>
              <w:t>A</w:t>
            </w:r>
            <w:r>
              <w:rPr>
                <w:rFonts w:ascii="Times New Roman" w:hAnsi="Times New Roman" w:cs="Times New Roman"/>
                <w:color w:val="000000" w:themeColor="text1"/>
                <w:szCs w:val="21"/>
              </w:rPr>
              <w:t>类</w:t>
            </w:r>
          </w:p>
        </w:tc>
        <w:tc>
          <w:tcPr>
            <w:tcW w:w="695" w:type="pct"/>
            <w:vAlign w:val="center"/>
          </w:tcPr>
          <w:p w:rsidR="00DC6095" w:rsidRDefault="003C5A31">
            <w:pPr>
              <w:spacing w:line="360" w:lineRule="auto"/>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006901</w:t>
            </w:r>
          </w:p>
        </w:tc>
      </w:tr>
      <w:tr w:rsidR="00DC6095">
        <w:trPr>
          <w:jc w:val="center"/>
        </w:trPr>
        <w:tc>
          <w:tcPr>
            <w:tcW w:w="477" w:type="pct"/>
            <w:vMerge/>
            <w:vAlign w:val="center"/>
          </w:tcPr>
          <w:p w:rsidR="00DC6095" w:rsidRDefault="00DC6095">
            <w:pPr>
              <w:spacing w:line="360" w:lineRule="auto"/>
              <w:jc w:val="center"/>
              <w:rPr>
                <w:rFonts w:asciiTheme="minorEastAsia" w:hAnsiTheme="minorEastAsia"/>
                <w:szCs w:val="21"/>
              </w:rPr>
            </w:pPr>
          </w:p>
        </w:tc>
        <w:tc>
          <w:tcPr>
            <w:tcW w:w="3827" w:type="pct"/>
            <w:vAlign w:val="center"/>
          </w:tcPr>
          <w:p w:rsidR="00DC6095" w:rsidRDefault="003C5A31">
            <w:pPr>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上银慧祥利债券型证券投资基金</w:t>
            </w:r>
            <w:r>
              <w:rPr>
                <w:rFonts w:ascii="Times New Roman" w:hAnsi="Times New Roman" w:cs="Times New Roman" w:hint="eastAsia"/>
                <w:color w:val="000000" w:themeColor="text1"/>
                <w:szCs w:val="21"/>
              </w:rPr>
              <w:t>C</w:t>
            </w:r>
            <w:r>
              <w:rPr>
                <w:rFonts w:ascii="Times New Roman" w:hAnsi="Times New Roman" w:cs="Times New Roman"/>
                <w:color w:val="000000" w:themeColor="text1"/>
                <w:szCs w:val="21"/>
              </w:rPr>
              <w:t>类</w:t>
            </w:r>
          </w:p>
        </w:tc>
        <w:tc>
          <w:tcPr>
            <w:tcW w:w="695" w:type="pct"/>
            <w:vAlign w:val="center"/>
          </w:tcPr>
          <w:p w:rsidR="00DC6095" w:rsidRDefault="003C5A31">
            <w:pPr>
              <w:spacing w:line="360" w:lineRule="auto"/>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006917</w:t>
            </w:r>
          </w:p>
        </w:tc>
      </w:tr>
      <w:tr w:rsidR="00DC6095">
        <w:trPr>
          <w:jc w:val="center"/>
        </w:trPr>
        <w:tc>
          <w:tcPr>
            <w:tcW w:w="477" w:type="pct"/>
            <w:vAlign w:val="center"/>
          </w:tcPr>
          <w:p w:rsidR="00DC6095" w:rsidRDefault="003C5A31">
            <w:pPr>
              <w:spacing w:line="360" w:lineRule="auto"/>
              <w:jc w:val="center"/>
              <w:rPr>
                <w:rFonts w:asciiTheme="minorEastAsia" w:hAnsiTheme="minorEastAsia"/>
                <w:szCs w:val="21"/>
              </w:rPr>
            </w:pPr>
            <w:r>
              <w:rPr>
                <w:rFonts w:asciiTheme="minorEastAsia" w:hAnsiTheme="minorEastAsia" w:hint="eastAsia"/>
                <w:szCs w:val="21"/>
              </w:rPr>
              <w:t>16</w:t>
            </w:r>
          </w:p>
        </w:tc>
        <w:tc>
          <w:tcPr>
            <w:tcW w:w="3827" w:type="pct"/>
            <w:vAlign w:val="center"/>
          </w:tcPr>
          <w:p w:rsidR="00DC6095" w:rsidRDefault="003C5A31">
            <w:pPr>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上银聚合益一年定期开放债券型发起式证券投资基金</w:t>
            </w:r>
          </w:p>
        </w:tc>
        <w:tc>
          <w:tcPr>
            <w:tcW w:w="695" w:type="pct"/>
            <w:vAlign w:val="center"/>
          </w:tcPr>
          <w:p w:rsidR="00DC6095" w:rsidRDefault="003C5A31">
            <w:pPr>
              <w:spacing w:line="360" w:lineRule="auto"/>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018252</w:t>
            </w:r>
          </w:p>
        </w:tc>
      </w:tr>
    </w:tbl>
    <w:p w:rsidR="00FB05EF" w:rsidRDefault="003C5A31">
      <w:pPr>
        <w:spacing w:line="360" w:lineRule="auto"/>
        <w:ind w:firstLineChars="200" w:firstLine="420"/>
        <w:rPr>
          <w:rFonts w:asciiTheme="minorEastAsia" w:hAnsiTheme="minorEastAsia"/>
          <w:color w:val="000000" w:themeColor="text1"/>
          <w:szCs w:val="21"/>
        </w:rPr>
      </w:pPr>
      <w:r>
        <w:rPr>
          <w:rFonts w:asciiTheme="minorEastAsia" w:hAnsiTheme="minorEastAsia" w:hint="eastAsia"/>
          <w:szCs w:val="21"/>
        </w:rPr>
        <w:t>一、</w:t>
      </w:r>
      <w:r w:rsidR="00FB05EF">
        <w:rPr>
          <w:rFonts w:asciiTheme="minorEastAsia" w:hAnsiTheme="minorEastAsia" w:hint="eastAsia"/>
          <w:szCs w:val="21"/>
        </w:rPr>
        <w:t>自</w:t>
      </w:r>
      <w:r w:rsidR="00FB05EF">
        <w:rPr>
          <w:rFonts w:ascii="Times New Roman" w:hAnsi="Times New Roman" w:cs="Times New Roman"/>
          <w:szCs w:val="21"/>
        </w:rPr>
        <w:t>20</w:t>
      </w:r>
      <w:r w:rsidR="00FB05EF">
        <w:rPr>
          <w:rFonts w:ascii="Times New Roman" w:hAnsi="Times New Roman" w:cs="Times New Roman" w:hint="eastAsia"/>
          <w:szCs w:val="21"/>
        </w:rPr>
        <w:t>23</w:t>
      </w:r>
      <w:r w:rsidR="00FB05EF">
        <w:rPr>
          <w:rFonts w:asciiTheme="minorEastAsia" w:hAnsiTheme="minorEastAsia" w:hint="eastAsia"/>
          <w:szCs w:val="21"/>
        </w:rPr>
        <w:t>年</w:t>
      </w:r>
      <w:r w:rsidR="00FB05EF">
        <w:rPr>
          <w:rFonts w:ascii="Times New Roman" w:hAnsi="Times New Roman" w:cs="Times New Roman" w:hint="eastAsia"/>
          <w:szCs w:val="21"/>
        </w:rPr>
        <w:t>5</w:t>
      </w:r>
      <w:r w:rsidR="00FB05EF">
        <w:rPr>
          <w:rFonts w:asciiTheme="minorEastAsia" w:hAnsiTheme="minorEastAsia" w:hint="eastAsia"/>
          <w:szCs w:val="21"/>
        </w:rPr>
        <w:t>月</w:t>
      </w:r>
      <w:r w:rsidR="00FB05EF">
        <w:rPr>
          <w:rFonts w:ascii="Times New Roman" w:hAnsi="Times New Roman" w:cs="Times New Roman" w:hint="eastAsia"/>
          <w:szCs w:val="21"/>
        </w:rPr>
        <w:t>23</w:t>
      </w:r>
      <w:r w:rsidR="00FB05EF">
        <w:rPr>
          <w:rFonts w:asciiTheme="minorEastAsia" w:hAnsiTheme="minorEastAsia" w:hint="eastAsia"/>
          <w:szCs w:val="21"/>
        </w:rPr>
        <w:t>日起，</w:t>
      </w:r>
      <w:r w:rsidR="00F43577">
        <w:rPr>
          <w:rFonts w:asciiTheme="minorEastAsia" w:hAnsiTheme="minorEastAsia" w:hint="eastAsia"/>
          <w:szCs w:val="21"/>
        </w:rPr>
        <w:t>投资者可以通过</w:t>
      </w:r>
      <w:r w:rsidR="00F43577">
        <w:rPr>
          <w:rFonts w:ascii="Times New Roman" w:hAnsi="Times New Roman" w:cs="Times New Roman" w:hint="eastAsia"/>
        </w:rPr>
        <w:t>利得基金</w:t>
      </w:r>
      <w:r w:rsidR="00F43577">
        <w:rPr>
          <w:rFonts w:asciiTheme="minorEastAsia" w:hAnsiTheme="minorEastAsia" w:hint="eastAsia"/>
          <w:szCs w:val="21"/>
        </w:rPr>
        <w:t>办理</w:t>
      </w:r>
      <w:r w:rsidR="00F43577">
        <w:rPr>
          <w:rFonts w:asciiTheme="minorEastAsia" w:hAnsiTheme="minorEastAsia" w:hint="eastAsia"/>
          <w:color w:val="000000" w:themeColor="text1"/>
          <w:szCs w:val="21"/>
        </w:rPr>
        <w:t>上银恒睿养老目标日期2045三年持有期混合型发起式基金中基金（FOF）</w:t>
      </w:r>
      <w:r w:rsidR="00F43577">
        <w:rPr>
          <w:rFonts w:asciiTheme="minorEastAsia" w:hAnsiTheme="minorEastAsia" w:hint="eastAsia"/>
          <w:szCs w:val="21"/>
        </w:rPr>
        <w:t>的账户开户、认购</w:t>
      </w:r>
      <w:r w:rsidR="00F43577">
        <w:rPr>
          <w:rFonts w:asciiTheme="minorEastAsia" w:hAnsiTheme="minorEastAsia" w:hint="eastAsia"/>
          <w:color w:val="000000" w:themeColor="text1"/>
          <w:szCs w:val="21"/>
        </w:rPr>
        <w:t>等业务。</w:t>
      </w:r>
    </w:p>
    <w:p w:rsidR="00FB05EF" w:rsidRDefault="00FB05EF">
      <w:pPr>
        <w:spacing w:line="360" w:lineRule="auto"/>
        <w:ind w:firstLineChars="200" w:firstLine="420"/>
        <w:rPr>
          <w:rFonts w:asciiTheme="minorEastAsia" w:hAnsiTheme="minorEastAsia"/>
          <w:szCs w:val="21"/>
        </w:rPr>
      </w:pPr>
      <w:r>
        <w:rPr>
          <w:rFonts w:asciiTheme="minorEastAsia" w:hAnsiTheme="minorEastAsia" w:hint="eastAsia"/>
          <w:szCs w:val="21"/>
        </w:rPr>
        <w:t>自</w:t>
      </w:r>
      <w:r>
        <w:rPr>
          <w:rFonts w:ascii="Times New Roman" w:hAnsi="Times New Roman" w:cs="Times New Roman"/>
          <w:szCs w:val="21"/>
        </w:rPr>
        <w:t>20</w:t>
      </w:r>
      <w:r>
        <w:rPr>
          <w:rFonts w:ascii="Times New Roman" w:hAnsi="Times New Roman" w:cs="Times New Roman" w:hint="eastAsia"/>
          <w:szCs w:val="21"/>
        </w:rPr>
        <w:t>23</w:t>
      </w:r>
      <w:r>
        <w:rPr>
          <w:rFonts w:asciiTheme="minorEastAsia" w:hAnsiTheme="minorEastAsia" w:hint="eastAsia"/>
          <w:szCs w:val="21"/>
        </w:rPr>
        <w:t>年</w:t>
      </w:r>
      <w:r>
        <w:rPr>
          <w:rFonts w:ascii="Times New Roman" w:hAnsi="Times New Roman" w:cs="Times New Roman" w:hint="eastAsia"/>
          <w:szCs w:val="21"/>
        </w:rPr>
        <w:t>5</w:t>
      </w:r>
      <w:r>
        <w:rPr>
          <w:rFonts w:asciiTheme="minorEastAsia" w:hAnsiTheme="minorEastAsia" w:hint="eastAsia"/>
          <w:szCs w:val="21"/>
        </w:rPr>
        <w:t>月</w:t>
      </w:r>
      <w:r>
        <w:rPr>
          <w:rFonts w:ascii="Times New Roman" w:hAnsi="Times New Roman" w:cs="Times New Roman" w:hint="eastAsia"/>
          <w:szCs w:val="21"/>
        </w:rPr>
        <w:t>23</w:t>
      </w:r>
      <w:r>
        <w:rPr>
          <w:rFonts w:asciiTheme="minorEastAsia" w:hAnsiTheme="minorEastAsia" w:hint="eastAsia"/>
          <w:szCs w:val="21"/>
        </w:rPr>
        <w:t>日起，</w:t>
      </w:r>
      <w:r w:rsidR="00F43577">
        <w:rPr>
          <w:rFonts w:asciiTheme="minorEastAsia" w:hAnsiTheme="minorEastAsia" w:hint="eastAsia"/>
          <w:szCs w:val="21"/>
        </w:rPr>
        <w:t>投资者可以通过</w:t>
      </w:r>
      <w:r w:rsidR="00F43577">
        <w:rPr>
          <w:rFonts w:ascii="Times New Roman" w:hAnsi="Times New Roman" w:cs="Times New Roman" w:hint="eastAsia"/>
        </w:rPr>
        <w:t>利得基金</w:t>
      </w:r>
      <w:r w:rsidR="00F43577">
        <w:rPr>
          <w:rFonts w:asciiTheme="minorEastAsia" w:hAnsiTheme="minorEastAsia" w:hint="eastAsia"/>
          <w:szCs w:val="21"/>
        </w:rPr>
        <w:t>办理</w:t>
      </w:r>
      <w:r w:rsidR="00F43577">
        <w:rPr>
          <w:rFonts w:asciiTheme="minorEastAsia" w:hAnsiTheme="minorEastAsia" w:hint="eastAsia"/>
          <w:color w:val="000000" w:themeColor="text1"/>
          <w:szCs w:val="21"/>
        </w:rPr>
        <w:t>上银聚顺益一年定期开放债券型</w:t>
      </w:r>
      <w:r w:rsidR="00F43577">
        <w:rPr>
          <w:rFonts w:asciiTheme="minorEastAsia" w:hAnsiTheme="minorEastAsia" w:hint="eastAsia"/>
          <w:color w:val="000000" w:themeColor="text1"/>
          <w:szCs w:val="21"/>
        </w:rPr>
        <w:lastRenderedPageBreak/>
        <w:t>发起式证券投资基金、上银慧信利三个月定期开放债券型证券投资基金、上银聚恒益一年定期开放债券型发起式证券投资基金、上银聚嘉益一年定期开放债券型发起式证券投资基金、上银聚德益一年定期开放债券型发起式证券投资基金、</w:t>
      </w:r>
      <w:r w:rsidR="00F43577" w:rsidRPr="00160A2E">
        <w:rPr>
          <w:rFonts w:asciiTheme="minorEastAsia" w:hAnsiTheme="minorEastAsia" w:hint="eastAsia"/>
          <w:color w:val="000000" w:themeColor="text1"/>
          <w:szCs w:val="21"/>
        </w:rPr>
        <w:t>上银聚鸿益三个月定期开放债券型发起式证券投资基金</w:t>
      </w:r>
      <w:r w:rsidR="00F43577">
        <w:rPr>
          <w:rFonts w:asciiTheme="minorEastAsia" w:hAnsiTheme="minorEastAsia" w:hint="eastAsia"/>
          <w:color w:val="000000" w:themeColor="text1"/>
          <w:szCs w:val="21"/>
        </w:rPr>
        <w:t>、上银聚增富定期开放债券型发起式证券投资基金、上银聚永益一年定期开放债券型发起式证券投资基金、上银聚远盈42个月定期开放债券型证券投资基金、上银聚远鑫87个月定期开放债券型证券投资基金</w:t>
      </w:r>
      <w:r w:rsidR="00F43577">
        <w:rPr>
          <w:rFonts w:asciiTheme="minorEastAsia" w:hAnsiTheme="minorEastAsia" w:hint="eastAsia"/>
          <w:szCs w:val="21"/>
        </w:rPr>
        <w:t>、</w:t>
      </w:r>
      <w:r w:rsidR="00F43577" w:rsidRPr="009B3C58">
        <w:rPr>
          <w:rFonts w:asciiTheme="minorEastAsia" w:hAnsiTheme="minorEastAsia" w:hint="eastAsia"/>
          <w:szCs w:val="21"/>
        </w:rPr>
        <w:t>上银慧祥利债券型证券投资基金</w:t>
      </w:r>
      <w:r w:rsidR="00F43577">
        <w:rPr>
          <w:rFonts w:asciiTheme="minorEastAsia" w:hAnsiTheme="minorEastAsia" w:hint="eastAsia"/>
          <w:color w:val="000000" w:themeColor="text1"/>
          <w:szCs w:val="21"/>
        </w:rPr>
        <w:t>和上银聚合益一年定期开放债券型发起式证券投资基金</w:t>
      </w:r>
      <w:r w:rsidR="00F43577">
        <w:rPr>
          <w:rFonts w:asciiTheme="minorEastAsia" w:hAnsiTheme="minorEastAsia" w:hint="eastAsia"/>
          <w:szCs w:val="21"/>
        </w:rPr>
        <w:t>的账户开户、申</w:t>
      </w:r>
      <w:r w:rsidR="00F43577">
        <w:rPr>
          <w:rFonts w:asciiTheme="minorEastAsia" w:hAnsiTheme="minorEastAsia" w:hint="eastAsia"/>
          <w:color w:val="000000" w:themeColor="text1"/>
          <w:szCs w:val="21"/>
        </w:rPr>
        <w:t>购、赎回等业务，</w:t>
      </w:r>
      <w:r w:rsidR="00F43577" w:rsidRPr="009B3C58">
        <w:rPr>
          <w:rFonts w:asciiTheme="minorEastAsia" w:hAnsiTheme="minorEastAsia" w:hint="eastAsia"/>
          <w:color w:val="000000" w:themeColor="text1"/>
          <w:szCs w:val="21"/>
        </w:rPr>
        <w:t>定期开放式</w:t>
      </w:r>
      <w:r w:rsidR="00F43577">
        <w:rPr>
          <w:rFonts w:asciiTheme="minorEastAsia" w:hAnsiTheme="minorEastAsia" w:hint="eastAsia"/>
          <w:color w:val="000000" w:themeColor="text1"/>
          <w:szCs w:val="21"/>
        </w:rPr>
        <w:t>基金</w:t>
      </w:r>
      <w:r w:rsidR="00F43577" w:rsidRPr="00160A2E">
        <w:rPr>
          <w:rFonts w:asciiTheme="minorEastAsia" w:hAnsiTheme="minorEastAsia" w:hint="eastAsia"/>
          <w:szCs w:val="21"/>
        </w:rPr>
        <w:t>的开放期具体时间以基金管理人公告为准</w:t>
      </w:r>
      <w:r w:rsidR="00F43577">
        <w:rPr>
          <w:rFonts w:asciiTheme="minorEastAsia" w:hAnsiTheme="minorEastAsia" w:hint="eastAsia"/>
          <w:szCs w:val="21"/>
        </w:rPr>
        <w:t>。</w:t>
      </w:r>
    </w:p>
    <w:p w:rsidR="00FB05EF" w:rsidRDefault="00FB05EF">
      <w:pPr>
        <w:spacing w:line="360" w:lineRule="auto"/>
        <w:ind w:firstLineChars="200" w:firstLine="420"/>
        <w:rPr>
          <w:rFonts w:asciiTheme="minorEastAsia" w:hAnsiTheme="minorEastAsia"/>
          <w:color w:val="000000" w:themeColor="text1"/>
          <w:szCs w:val="21"/>
        </w:rPr>
      </w:pPr>
      <w:r>
        <w:rPr>
          <w:rFonts w:asciiTheme="minorEastAsia" w:hAnsiTheme="minorEastAsia" w:hint="eastAsia"/>
          <w:szCs w:val="21"/>
        </w:rPr>
        <w:t>自</w:t>
      </w:r>
      <w:r>
        <w:rPr>
          <w:rFonts w:ascii="Times New Roman" w:hAnsi="Times New Roman" w:cs="Times New Roman"/>
          <w:szCs w:val="21"/>
        </w:rPr>
        <w:t>20</w:t>
      </w:r>
      <w:r>
        <w:rPr>
          <w:rFonts w:ascii="Times New Roman" w:hAnsi="Times New Roman" w:cs="Times New Roman" w:hint="eastAsia"/>
          <w:szCs w:val="21"/>
        </w:rPr>
        <w:t>23</w:t>
      </w:r>
      <w:r>
        <w:rPr>
          <w:rFonts w:asciiTheme="minorEastAsia" w:hAnsiTheme="minorEastAsia" w:hint="eastAsia"/>
          <w:szCs w:val="21"/>
        </w:rPr>
        <w:t>年</w:t>
      </w:r>
      <w:r>
        <w:rPr>
          <w:rFonts w:ascii="Times New Roman" w:hAnsi="Times New Roman" w:cs="Times New Roman" w:hint="eastAsia"/>
          <w:szCs w:val="21"/>
        </w:rPr>
        <w:t>5</w:t>
      </w:r>
      <w:r>
        <w:rPr>
          <w:rFonts w:asciiTheme="minorEastAsia" w:hAnsiTheme="minorEastAsia" w:hint="eastAsia"/>
          <w:szCs w:val="21"/>
        </w:rPr>
        <w:t>月</w:t>
      </w:r>
      <w:r>
        <w:rPr>
          <w:rFonts w:ascii="Times New Roman" w:hAnsi="Times New Roman" w:cs="Times New Roman" w:hint="eastAsia"/>
          <w:szCs w:val="21"/>
        </w:rPr>
        <w:t>23</w:t>
      </w:r>
      <w:r>
        <w:rPr>
          <w:rFonts w:asciiTheme="minorEastAsia" w:hAnsiTheme="minorEastAsia" w:hint="eastAsia"/>
          <w:szCs w:val="21"/>
        </w:rPr>
        <w:t>日起，</w:t>
      </w:r>
      <w:r w:rsidR="00F43577">
        <w:rPr>
          <w:rFonts w:asciiTheme="minorEastAsia" w:hAnsiTheme="minorEastAsia" w:hint="eastAsia"/>
          <w:szCs w:val="21"/>
        </w:rPr>
        <w:t>投资者可以通过</w:t>
      </w:r>
      <w:r w:rsidR="00F43577">
        <w:rPr>
          <w:rFonts w:ascii="Times New Roman" w:hAnsi="Times New Roman" w:cs="Times New Roman" w:hint="eastAsia"/>
        </w:rPr>
        <w:t>利得基金</w:t>
      </w:r>
      <w:r w:rsidR="00F43577">
        <w:rPr>
          <w:rFonts w:asciiTheme="minorEastAsia" w:hAnsiTheme="minorEastAsia" w:hint="eastAsia"/>
          <w:szCs w:val="21"/>
        </w:rPr>
        <w:t>办理</w:t>
      </w:r>
      <w:r w:rsidR="00F43577" w:rsidRPr="009B3C58">
        <w:rPr>
          <w:rFonts w:asciiTheme="minorEastAsia" w:hAnsiTheme="minorEastAsia" w:hint="eastAsia"/>
          <w:szCs w:val="21"/>
        </w:rPr>
        <w:t>上银慧鑫利债券型证券投资基金</w:t>
      </w:r>
      <w:r w:rsidR="00F43577">
        <w:rPr>
          <w:rFonts w:asciiTheme="minorEastAsia" w:hAnsiTheme="minorEastAsia" w:hint="eastAsia"/>
          <w:szCs w:val="21"/>
        </w:rPr>
        <w:t>、</w:t>
      </w:r>
      <w:r w:rsidR="00F43577" w:rsidRPr="009B3C58">
        <w:rPr>
          <w:rFonts w:asciiTheme="minorEastAsia" w:hAnsiTheme="minorEastAsia" w:hint="eastAsia"/>
          <w:szCs w:val="21"/>
        </w:rPr>
        <w:t>上银慧兴盈债券型证券投资基金</w:t>
      </w:r>
      <w:r w:rsidR="00F43577">
        <w:rPr>
          <w:rFonts w:asciiTheme="minorEastAsia" w:hAnsiTheme="minorEastAsia" w:hint="eastAsia"/>
          <w:szCs w:val="21"/>
        </w:rPr>
        <w:t>、</w:t>
      </w:r>
      <w:r w:rsidR="00F43577" w:rsidRPr="009B3C58">
        <w:rPr>
          <w:rFonts w:asciiTheme="minorEastAsia" w:hAnsiTheme="minorEastAsia" w:hint="eastAsia"/>
          <w:szCs w:val="21"/>
        </w:rPr>
        <w:t>上银慧嘉利债券型证券投资基金</w:t>
      </w:r>
      <w:r w:rsidR="00F43577">
        <w:rPr>
          <w:rFonts w:asciiTheme="minorEastAsia" w:hAnsiTheme="minorEastAsia" w:hint="eastAsia"/>
          <w:szCs w:val="21"/>
        </w:rPr>
        <w:t>的账户开户、申</w:t>
      </w:r>
      <w:r w:rsidR="00F43577">
        <w:rPr>
          <w:rFonts w:asciiTheme="minorEastAsia" w:hAnsiTheme="minorEastAsia" w:hint="eastAsia"/>
          <w:color w:val="000000" w:themeColor="text1"/>
          <w:szCs w:val="21"/>
        </w:rPr>
        <w:t>购、赎回、转换、定期定额投资等业务。</w:t>
      </w:r>
    </w:p>
    <w:p w:rsidR="00DC6095" w:rsidRDefault="003C5A31">
      <w:pPr>
        <w:spacing w:line="360" w:lineRule="auto"/>
        <w:ind w:firstLineChars="200" w:firstLine="420"/>
        <w:rPr>
          <w:rFonts w:asciiTheme="minorEastAsia" w:hAnsiTheme="minorEastAsia"/>
          <w:szCs w:val="21"/>
        </w:rPr>
      </w:pPr>
      <w:r>
        <w:rPr>
          <w:rFonts w:asciiTheme="minorEastAsia" w:hAnsiTheme="minorEastAsia" w:hint="eastAsia"/>
          <w:szCs w:val="21"/>
        </w:rPr>
        <w:t>具体业务</w:t>
      </w:r>
      <w:r>
        <w:rPr>
          <w:rFonts w:asciiTheme="minorEastAsia" w:hAnsiTheme="minorEastAsia" w:hint="eastAsia"/>
          <w:color w:val="000000" w:themeColor="text1"/>
          <w:szCs w:val="21"/>
        </w:rPr>
        <w:t>办理日期、时间及</w:t>
      </w:r>
      <w:r>
        <w:rPr>
          <w:rFonts w:asciiTheme="minorEastAsia" w:hAnsiTheme="minorEastAsia" w:hint="eastAsia"/>
          <w:szCs w:val="21"/>
        </w:rPr>
        <w:t>办理程序请遵从</w:t>
      </w:r>
      <w:r>
        <w:rPr>
          <w:rFonts w:ascii="Times New Roman" w:hAnsi="Times New Roman" w:cs="Times New Roman" w:hint="eastAsia"/>
        </w:rPr>
        <w:t>利得基金</w:t>
      </w:r>
      <w:r>
        <w:rPr>
          <w:rFonts w:asciiTheme="minorEastAsia" w:hAnsiTheme="minorEastAsia" w:hint="eastAsia"/>
          <w:szCs w:val="21"/>
        </w:rPr>
        <w:t>的相关业务规定。</w:t>
      </w:r>
    </w:p>
    <w:p w:rsidR="00DC6095" w:rsidRDefault="003C5A31">
      <w:pPr>
        <w:spacing w:line="360" w:lineRule="auto"/>
        <w:ind w:firstLineChars="200" w:firstLine="420"/>
        <w:rPr>
          <w:rFonts w:ascii="Times New Roman" w:hAnsi="Times New Roman" w:cs="Times New Roman"/>
          <w:szCs w:val="21"/>
        </w:rPr>
      </w:pPr>
      <w:r>
        <w:rPr>
          <w:rFonts w:ascii="Times New Roman" w:hAnsi="Times New Roman" w:cs="Times New Roman"/>
          <w:szCs w:val="21"/>
        </w:rPr>
        <w:t>二、基金定期定额投资业务</w:t>
      </w:r>
    </w:p>
    <w:p w:rsidR="00DC6095" w:rsidRDefault="003C5A31">
      <w:pPr>
        <w:spacing w:line="360" w:lineRule="auto"/>
        <w:ind w:firstLineChars="200" w:firstLine="420"/>
        <w:rPr>
          <w:rFonts w:ascii="Times New Roman" w:hAnsi="Times New Roman" w:cs="Times New Roman"/>
          <w:szCs w:val="21"/>
        </w:rPr>
      </w:pPr>
      <w:r>
        <w:rPr>
          <w:rFonts w:ascii="Times New Roman" w:hAnsi="Times New Roman" w:cs="Times New Roman"/>
          <w:szCs w:val="21"/>
        </w:rPr>
        <w:t>定期定额投资业务是基金申购业务的一种方式。</w:t>
      </w:r>
      <w:r>
        <w:rPr>
          <w:rFonts w:ascii="Times New Roman" w:hAnsi="Times New Roman" w:cs="Times New Roman"/>
          <w:color w:val="000000"/>
          <w:szCs w:val="21"/>
        </w:rPr>
        <w:t>投资者可在</w:t>
      </w:r>
      <w:r>
        <w:rPr>
          <w:rFonts w:ascii="Times New Roman" w:hAnsi="Times New Roman" w:cs="Times New Roman" w:hint="eastAsia"/>
        </w:rPr>
        <w:t>利得基金</w:t>
      </w:r>
      <w:r>
        <w:rPr>
          <w:rFonts w:ascii="Times New Roman" w:hAnsi="Times New Roman" w:cs="Times New Roman"/>
          <w:color w:val="000000"/>
          <w:szCs w:val="21"/>
        </w:rPr>
        <w:t>办理</w:t>
      </w:r>
      <w:r w:rsidR="003975F2" w:rsidRPr="009B3C58">
        <w:rPr>
          <w:rFonts w:asciiTheme="minorEastAsia" w:hAnsiTheme="minorEastAsia" w:hint="eastAsia"/>
          <w:szCs w:val="21"/>
        </w:rPr>
        <w:t>上银慧鑫利债券型证券投资基金</w:t>
      </w:r>
      <w:r w:rsidR="003975F2">
        <w:rPr>
          <w:rFonts w:asciiTheme="minorEastAsia" w:hAnsiTheme="minorEastAsia" w:hint="eastAsia"/>
          <w:szCs w:val="21"/>
        </w:rPr>
        <w:t>、</w:t>
      </w:r>
      <w:r w:rsidR="003975F2" w:rsidRPr="009B3C58">
        <w:rPr>
          <w:rFonts w:asciiTheme="minorEastAsia" w:hAnsiTheme="minorEastAsia" w:hint="eastAsia"/>
          <w:szCs w:val="21"/>
        </w:rPr>
        <w:t>上银慧兴盈债券型证券投资基金</w:t>
      </w:r>
      <w:r w:rsidR="003975F2">
        <w:rPr>
          <w:rFonts w:asciiTheme="minorEastAsia" w:hAnsiTheme="minorEastAsia" w:hint="eastAsia"/>
          <w:szCs w:val="21"/>
        </w:rPr>
        <w:t>、</w:t>
      </w:r>
      <w:r w:rsidR="003975F2" w:rsidRPr="009B3C58">
        <w:rPr>
          <w:rFonts w:asciiTheme="minorEastAsia" w:hAnsiTheme="minorEastAsia" w:hint="eastAsia"/>
          <w:szCs w:val="21"/>
        </w:rPr>
        <w:t>上银慧嘉利债券型证券投资基金</w:t>
      </w:r>
      <w:r>
        <w:rPr>
          <w:rFonts w:ascii="Times New Roman" w:hAnsi="Times New Roman" w:cs="Times New Roman"/>
          <w:color w:val="000000"/>
          <w:szCs w:val="21"/>
        </w:rPr>
        <w:t>的定期定额投资业务</w:t>
      </w:r>
      <w:r>
        <w:rPr>
          <w:rFonts w:ascii="Times New Roman" w:hAnsi="Times New Roman" w:cs="Times New Roman"/>
          <w:szCs w:val="21"/>
        </w:rPr>
        <w:t>，具体流程和业务规则请遵循</w:t>
      </w:r>
      <w:r>
        <w:rPr>
          <w:rFonts w:ascii="Times New Roman" w:hAnsi="Times New Roman" w:cs="Times New Roman" w:hint="eastAsia"/>
        </w:rPr>
        <w:t>利得基金</w:t>
      </w:r>
      <w:r>
        <w:rPr>
          <w:rFonts w:ascii="Times New Roman" w:hAnsi="Times New Roman" w:cs="Times New Roman"/>
          <w:szCs w:val="21"/>
        </w:rPr>
        <w:t>的相关规定。</w:t>
      </w:r>
    </w:p>
    <w:p w:rsidR="00DC6095" w:rsidRDefault="003C5A31">
      <w:pPr>
        <w:spacing w:line="360" w:lineRule="auto"/>
        <w:ind w:firstLineChars="200" w:firstLine="420"/>
        <w:rPr>
          <w:rFonts w:ascii="Times New Roman" w:hAnsi="Times New Roman" w:cs="Times New Roman"/>
          <w:szCs w:val="21"/>
        </w:rPr>
      </w:pPr>
      <w:r>
        <w:rPr>
          <w:rFonts w:ascii="Times New Roman" w:hAnsi="Times New Roman" w:cs="Times New Roman"/>
          <w:szCs w:val="21"/>
        </w:rPr>
        <w:t>三、基金转换业务</w:t>
      </w:r>
    </w:p>
    <w:p w:rsidR="00DC6095" w:rsidRDefault="003C5A31">
      <w:pPr>
        <w:spacing w:line="360"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基金转换是基金管理人给基金份额持有人提供的一种服务，是指基金份额持有人按基金管理人规定的条件将其持有的某一只基金的基金份额转为同一基金管理人管理的另一只基金的基金份额的行为。基金转换只能在同一销售机构进行。转换的两只基金必须都是该销售机构销售的同一基金管理人管理的、在同一注册登记机构注册登记的基金，且申请当日拟转出基金和转入基金均处于正常交易状态，转出份额必须为可用份额，否则申请无效。计算基金转换费用所涉及的申购费率和赎回费率均按基金合同、招募说明书（更新）、</w:t>
      </w:r>
      <w:r>
        <w:rPr>
          <w:rFonts w:ascii="Times New Roman" w:hAnsi="Times New Roman" w:cs="Times New Roman"/>
          <w:color w:val="000000" w:themeColor="text1"/>
          <w:kern w:val="0"/>
          <w:szCs w:val="21"/>
        </w:rPr>
        <w:t>基金产品资料概要（更新）</w:t>
      </w:r>
      <w:r>
        <w:rPr>
          <w:rFonts w:ascii="Times New Roman" w:hAnsi="Times New Roman" w:cs="Times New Roman"/>
          <w:szCs w:val="21"/>
        </w:rPr>
        <w:t>和公司最新公告中规定的</w:t>
      </w:r>
      <w:r>
        <w:rPr>
          <w:rFonts w:ascii="Times New Roman" w:hAnsi="Times New Roman" w:cs="Times New Roman"/>
          <w:szCs w:val="21"/>
        </w:rPr>
        <w:t>费率执行。</w:t>
      </w:r>
    </w:p>
    <w:p w:rsidR="00DC6095" w:rsidRDefault="003C5A31">
      <w:pPr>
        <w:spacing w:line="360" w:lineRule="auto"/>
        <w:ind w:firstLineChars="200" w:firstLine="420"/>
        <w:rPr>
          <w:rFonts w:asciiTheme="minorEastAsia" w:hAnsiTheme="minorEastAsia"/>
          <w:color w:val="000000" w:themeColor="text1"/>
          <w:szCs w:val="21"/>
        </w:rPr>
      </w:pPr>
      <w:r>
        <w:rPr>
          <w:rFonts w:ascii="Times New Roman" w:hAnsi="Times New Roman" w:cs="Times New Roman" w:hint="eastAsia"/>
          <w:color w:val="000000" w:themeColor="text1"/>
          <w:szCs w:val="21"/>
        </w:rPr>
        <w:t>2</w:t>
      </w:r>
      <w:r>
        <w:rPr>
          <w:rFonts w:ascii="Times New Roman" w:hAnsi="Times New Roman" w:cs="Times New Roman" w:hint="eastAsia"/>
          <w:color w:val="000000" w:themeColor="text1"/>
          <w:szCs w:val="21"/>
        </w:rPr>
        <w:t>、除特别声明外，</w:t>
      </w:r>
      <w:r>
        <w:rPr>
          <w:rFonts w:asciiTheme="minorEastAsia" w:hAnsiTheme="minorEastAsia" w:hint="eastAsia"/>
          <w:color w:val="000000" w:themeColor="text1"/>
          <w:szCs w:val="21"/>
        </w:rPr>
        <w:t>投资者可以通过</w:t>
      </w:r>
      <w:r>
        <w:rPr>
          <w:rFonts w:ascii="Times New Roman" w:hAnsi="Times New Roman" w:cs="Times New Roman" w:hint="eastAsia"/>
          <w:color w:val="000000" w:themeColor="text1"/>
        </w:rPr>
        <w:t>利得基金</w:t>
      </w:r>
      <w:r>
        <w:rPr>
          <w:rFonts w:asciiTheme="minorEastAsia" w:hAnsiTheme="minorEastAsia" w:hint="eastAsia"/>
          <w:color w:val="000000" w:themeColor="text1"/>
          <w:szCs w:val="21"/>
        </w:rPr>
        <w:t>办理</w:t>
      </w:r>
      <w:r w:rsidR="003975F2" w:rsidRPr="009B3C58">
        <w:rPr>
          <w:rFonts w:asciiTheme="minorEastAsia" w:hAnsiTheme="minorEastAsia" w:hint="eastAsia"/>
          <w:szCs w:val="21"/>
        </w:rPr>
        <w:t>上银慧鑫利债券型证券投资基金</w:t>
      </w:r>
      <w:r w:rsidR="003975F2">
        <w:rPr>
          <w:rFonts w:asciiTheme="minorEastAsia" w:hAnsiTheme="minorEastAsia" w:hint="eastAsia"/>
          <w:szCs w:val="21"/>
        </w:rPr>
        <w:t>、</w:t>
      </w:r>
      <w:r w:rsidR="003975F2" w:rsidRPr="009B3C58">
        <w:rPr>
          <w:rFonts w:asciiTheme="minorEastAsia" w:hAnsiTheme="minorEastAsia" w:hint="eastAsia"/>
          <w:szCs w:val="21"/>
        </w:rPr>
        <w:t>上银慧兴盈债券型证券投资基金</w:t>
      </w:r>
      <w:r w:rsidR="003975F2">
        <w:rPr>
          <w:rFonts w:asciiTheme="minorEastAsia" w:hAnsiTheme="minorEastAsia" w:hint="eastAsia"/>
          <w:szCs w:val="21"/>
        </w:rPr>
        <w:t>、</w:t>
      </w:r>
      <w:r w:rsidR="003975F2" w:rsidRPr="009B3C58">
        <w:rPr>
          <w:rFonts w:asciiTheme="minorEastAsia" w:hAnsiTheme="minorEastAsia" w:hint="eastAsia"/>
          <w:szCs w:val="21"/>
        </w:rPr>
        <w:t>上银慧嘉利债券型证券投资基金</w:t>
      </w:r>
      <w:r>
        <w:rPr>
          <w:rFonts w:asciiTheme="minorEastAsia" w:hAnsiTheme="minorEastAsia" w:hint="eastAsia"/>
          <w:color w:val="000000" w:themeColor="text1"/>
          <w:szCs w:val="21"/>
        </w:rPr>
        <w:t>之间以及</w:t>
      </w:r>
      <w:r w:rsidR="003975F2" w:rsidRPr="009B3C58">
        <w:rPr>
          <w:rFonts w:asciiTheme="minorEastAsia" w:hAnsiTheme="minorEastAsia" w:hint="eastAsia"/>
          <w:szCs w:val="21"/>
        </w:rPr>
        <w:t>上银慧鑫利债券型证券投资基金</w:t>
      </w:r>
      <w:r w:rsidR="003975F2">
        <w:rPr>
          <w:rFonts w:asciiTheme="minorEastAsia" w:hAnsiTheme="minorEastAsia" w:hint="eastAsia"/>
          <w:szCs w:val="21"/>
        </w:rPr>
        <w:t>、</w:t>
      </w:r>
      <w:r w:rsidR="003975F2" w:rsidRPr="009B3C58">
        <w:rPr>
          <w:rFonts w:asciiTheme="minorEastAsia" w:hAnsiTheme="minorEastAsia" w:hint="eastAsia"/>
          <w:szCs w:val="21"/>
        </w:rPr>
        <w:t>上银慧兴盈债券型证券投资基金</w:t>
      </w:r>
      <w:r w:rsidR="003975F2">
        <w:rPr>
          <w:rFonts w:asciiTheme="minorEastAsia" w:hAnsiTheme="minorEastAsia" w:hint="eastAsia"/>
          <w:szCs w:val="21"/>
        </w:rPr>
        <w:t>、</w:t>
      </w:r>
      <w:r w:rsidR="003975F2" w:rsidRPr="009B3C58">
        <w:rPr>
          <w:rFonts w:asciiTheme="minorEastAsia" w:hAnsiTheme="minorEastAsia" w:hint="eastAsia"/>
          <w:szCs w:val="21"/>
        </w:rPr>
        <w:t>上银慧嘉利债券型证券投资基金</w:t>
      </w:r>
      <w:r>
        <w:rPr>
          <w:rFonts w:asciiTheme="minorEastAsia" w:hAnsiTheme="minorEastAsia" w:hint="eastAsia"/>
          <w:color w:val="000000" w:themeColor="text1"/>
          <w:szCs w:val="21"/>
        </w:rPr>
        <w:t>与</w:t>
      </w:r>
      <w:r>
        <w:rPr>
          <w:rFonts w:ascii="Times New Roman" w:hAnsi="Times New Roman" w:cs="Times New Roman" w:hint="eastAsia"/>
          <w:color w:val="000000" w:themeColor="text1"/>
        </w:rPr>
        <w:t>利得基金</w:t>
      </w:r>
      <w:r>
        <w:rPr>
          <w:rFonts w:asciiTheme="minorEastAsia" w:hAnsiTheme="minorEastAsia" w:hint="eastAsia"/>
          <w:color w:val="000000" w:themeColor="text1"/>
          <w:szCs w:val="21"/>
        </w:rPr>
        <w:t>销售的上银基金</w:t>
      </w:r>
      <w:r>
        <w:rPr>
          <w:rFonts w:ascii="Times New Roman" w:hAnsi="Times New Roman" w:cs="Times New Roman" w:hint="eastAsia"/>
          <w:szCs w:val="21"/>
        </w:rPr>
        <w:t>旗下</w:t>
      </w:r>
      <w:r>
        <w:rPr>
          <w:rFonts w:asciiTheme="minorEastAsia" w:hAnsiTheme="minorEastAsia" w:hint="eastAsia"/>
          <w:color w:val="000000" w:themeColor="text1"/>
          <w:szCs w:val="21"/>
        </w:rPr>
        <w:t>其他基金之间的基金转换业务</w:t>
      </w:r>
      <w:r>
        <w:rPr>
          <w:rFonts w:ascii="Times New Roman" w:hAnsi="Times New Roman" w:cs="Times New Roman" w:hint="eastAsia"/>
          <w:szCs w:val="21"/>
        </w:rPr>
        <w:t>（</w:t>
      </w:r>
      <w:r>
        <w:rPr>
          <w:rFonts w:ascii="Times New Roman" w:hAnsi="Times New Roman" w:cs="Times New Roman" w:hint="eastAsia"/>
          <w:szCs w:val="21"/>
        </w:rPr>
        <w:t>FOF</w:t>
      </w:r>
      <w:r>
        <w:rPr>
          <w:rFonts w:ascii="Times New Roman" w:hAnsi="Times New Roman" w:cs="Times New Roman" w:hint="eastAsia"/>
          <w:szCs w:val="21"/>
        </w:rPr>
        <w:t>基金与非</w:t>
      </w:r>
      <w:r>
        <w:rPr>
          <w:rFonts w:ascii="Times New Roman" w:hAnsi="Times New Roman" w:cs="Times New Roman" w:hint="eastAsia"/>
          <w:szCs w:val="21"/>
        </w:rPr>
        <w:t>FOF</w:t>
      </w:r>
      <w:r>
        <w:rPr>
          <w:rFonts w:ascii="Times New Roman" w:hAnsi="Times New Roman" w:cs="Times New Roman" w:hint="eastAsia"/>
          <w:szCs w:val="21"/>
        </w:rPr>
        <w:t>基金之间不能相互转换）</w:t>
      </w:r>
      <w:r>
        <w:rPr>
          <w:rFonts w:asciiTheme="minorEastAsia" w:hAnsiTheme="minorEastAsia" w:hint="eastAsia"/>
          <w:color w:val="000000" w:themeColor="text1"/>
          <w:szCs w:val="21"/>
        </w:rPr>
        <w:t>。</w:t>
      </w:r>
    </w:p>
    <w:p w:rsidR="00DC6095" w:rsidRDefault="003C5A31">
      <w:pPr>
        <w:spacing w:line="360" w:lineRule="auto"/>
        <w:ind w:firstLineChars="200" w:firstLine="420"/>
        <w:rPr>
          <w:rFonts w:asciiTheme="minorEastAsia" w:hAnsiTheme="minorEastAsia" w:cs="Times New Roman"/>
          <w:color w:val="000000" w:themeColor="text1"/>
          <w:szCs w:val="21"/>
        </w:rPr>
      </w:pPr>
      <w:r>
        <w:rPr>
          <w:rFonts w:asciiTheme="minorEastAsia" w:hAnsiTheme="minorEastAsia" w:hint="eastAsia"/>
          <w:szCs w:val="21"/>
        </w:rPr>
        <w:t>四、费</w:t>
      </w:r>
      <w:r>
        <w:rPr>
          <w:rFonts w:asciiTheme="minorEastAsia" w:hAnsiTheme="minorEastAsia" w:cs="Times New Roman" w:hint="eastAsia"/>
          <w:color w:val="000000" w:themeColor="text1"/>
          <w:szCs w:val="21"/>
        </w:rPr>
        <w:t>率优惠活动</w:t>
      </w:r>
    </w:p>
    <w:p w:rsidR="00DC6095" w:rsidRDefault="003C5A31">
      <w:pPr>
        <w:spacing w:line="360" w:lineRule="auto"/>
        <w:ind w:firstLineChars="200" w:firstLine="420"/>
        <w:rPr>
          <w:rFonts w:ascii="Times New Roman" w:hAnsi="Times New Roman" w:cs="Times New Roman"/>
          <w:color w:val="000000" w:themeColor="text1"/>
        </w:rPr>
      </w:pPr>
      <w:r>
        <w:rPr>
          <w:rFonts w:ascii="Times New Roman" w:hAnsi="Times New Roman" w:cs="Times New Roman"/>
          <w:color w:val="000000" w:themeColor="text1"/>
          <w:szCs w:val="21"/>
        </w:rPr>
        <w:lastRenderedPageBreak/>
        <w:t>如</w:t>
      </w:r>
      <w:r>
        <w:rPr>
          <w:rFonts w:ascii="Times New Roman" w:hAnsi="Times New Roman" w:cs="Times New Roman" w:hint="eastAsia"/>
          <w:color w:val="000000" w:themeColor="text1"/>
          <w:szCs w:val="21"/>
        </w:rPr>
        <w:t>利得基金</w:t>
      </w:r>
      <w:r>
        <w:rPr>
          <w:rFonts w:ascii="Times New Roman" w:hAnsi="Times New Roman" w:cs="Times New Roman"/>
          <w:color w:val="000000" w:themeColor="text1"/>
          <w:szCs w:val="21"/>
        </w:rPr>
        <w:t>开展费率优</w:t>
      </w:r>
      <w:r>
        <w:rPr>
          <w:rFonts w:ascii="Times New Roman" w:hAnsi="Times New Roman" w:cs="Times New Roman"/>
          <w:szCs w:val="21"/>
        </w:rPr>
        <w:t>惠活动，</w:t>
      </w:r>
      <w:r>
        <w:rPr>
          <w:rFonts w:ascii="Times New Roman" w:hAnsi="Times New Roman" w:cs="Times New Roman" w:hint="eastAsia"/>
          <w:szCs w:val="21"/>
        </w:rPr>
        <w:t>上述基金将自动参加优惠活动</w:t>
      </w:r>
      <w:r>
        <w:rPr>
          <w:rFonts w:ascii="Times New Roman" w:hAnsi="Times New Roman" w:cs="Times New Roman"/>
          <w:szCs w:val="21"/>
        </w:rPr>
        <w:t>，</w:t>
      </w:r>
      <w:r>
        <w:rPr>
          <w:rFonts w:asciiTheme="minorEastAsia" w:hAnsiTheme="minorEastAsia"/>
          <w:szCs w:val="21"/>
        </w:rPr>
        <w:t>具体折扣费率、费率优惠期限、业务办</w:t>
      </w:r>
      <w:r>
        <w:rPr>
          <w:rFonts w:ascii="Times New Roman" w:hAnsi="Times New Roman" w:cs="Times New Roman"/>
          <w:szCs w:val="21"/>
        </w:rPr>
        <w:t>理的流程将以</w:t>
      </w:r>
      <w:r>
        <w:rPr>
          <w:rFonts w:ascii="Times New Roman" w:hAnsi="Times New Roman" w:cs="Times New Roman" w:hint="eastAsia"/>
        </w:rPr>
        <w:t>利得基金</w:t>
      </w:r>
      <w:r>
        <w:rPr>
          <w:rFonts w:ascii="Times New Roman" w:hAnsi="Times New Roman" w:cs="Times New Roman"/>
          <w:szCs w:val="21"/>
        </w:rPr>
        <w:t>规定或公示为准。基金原费率请详见基金合同、招募说明书（更新）和基金产品资料概要（更新）等法律文件以及本公司发布的最新业务公告。</w:t>
      </w:r>
    </w:p>
    <w:p w:rsidR="00DC6095" w:rsidRDefault="003C5A31">
      <w:pPr>
        <w:spacing w:line="360" w:lineRule="auto"/>
        <w:ind w:leftChars="50" w:left="105" w:firstLineChars="150" w:firstLine="315"/>
        <w:rPr>
          <w:rFonts w:ascii="Times New Roman" w:hAnsi="Times New Roman" w:cs="Times New Roman"/>
          <w:szCs w:val="21"/>
        </w:rPr>
      </w:pPr>
      <w:r>
        <w:rPr>
          <w:rFonts w:ascii="Times New Roman" w:hAnsi="Times New Roman" w:cs="Times New Roman"/>
          <w:szCs w:val="21"/>
        </w:rPr>
        <w:t>费率优惠期限内，如本公司新增通过</w:t>
      </w:r>
      <w:r>
        <w:rPr>
          <w:rFonts w:ascii="Times New Roman" w:hAnsi="Times New Roman" w:cs="Times New Roman" w:hint="eastAsia"/>
        </w:rPr>
        <w:t>利得基金</w:t>
      </w:r>
      <w:r>
        <w:rPr>
          <w:rFonts w:ascii="Times New Roman" w:hAnsi="Times New Roman" w:cs="Times New Roman"/>
          <w:szCs w:val="21"/>
        </w:rPr>
        <w:t>代理销售的基金产品，则自</w:t>
      </w:r>
      <w:r>
        <w:rPr>
          <w:rFonts w:ascii="Times New Roman" w:hAnsi="Times New Roman" w:cs="Times New Roman" w:hint="eastAsia"/>
        </w:rPr>
        <w:t>利得基金</w:t>
      </w:r>
      <w:r>
        <w:rPr>
          <w:rFonts w:ascii="Times New Roman" w:hAnsi="Times New Roman" w:cs="Times New Roman"/>
          <w:szCs w:val="21"/>
        </w:rPr>
        <w:t>正式销售该基金产品之日起，该基金产品将自动参加上述费率优惠活动。</w:t>
      </w:r>
    </w:p>
    <w:p w:rsidR="00DC6095" w:rsidRDefault="003C5A31">
      <w:pPr>
        <w:spacing w:line="360" w:lineRule="auto"/>
        <w:ind w:firstLineChars="200" w:firstLine="420"/>
        <w:rPr>
          <w:rFonts w:ascii="Times New Roman" w:hAnsi="Times New Roman" w:cs="Times New Roman"/>
          <w:szCs w:val="21"/>
        </w:rPr>
      </w:pPr>
      <w:r>
        <w:rPr>
          <w:rFonts w:ascii="Times New Roman" w:hAnsi="Times New Roman" w:cs="Times New Roman"/>
          <w:szCs w:val="21"/>
        </w:rPr>
        <w:t>五、投资者可通过以下途径咨询有关详情：</w:t>
      </w:r>
    </w:p>
    <w:p w:rsidR="00DC6095" w:rsidRDefault="003C5A31">
      <w:pPr>
        <w:spacing w:line="360" w:lineRule="auto"/>
        <w:ind w:firstLineChars="200" w:firstLine="420"/>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1</w:t>
      </w:r>
      <w:r>
        <w:rPr>
          <w:rFonts w:ascii="Times New Roman" w:hAnsi="Times New Roman" w:cs="Times New Roman"/>
          <w:color w:val="000000" w:themeColor="text1"/>
          <w:szCs w:val="21"/>
        </w:rPr>
        <w:t>、登录</w:t>
      </w:r>
      <w:r>
        <w:rPr>
          <w:rFonts w:ascii="Times New Roman" w:hAnsi="Times New Roman" w:cs="Times New Roman"/>
          <w:szCs w:val="21"/>
        </w:rPr>
        <w:t>利得基金</w:t>
      </w:r>
      <w:r>
        <w:rPr>
          <w:rFonts w:ascii="Times New Roman" w:hAnsi="Times New Roman" w:cs="Times New Roman"/>
          <w:color w:val="000000" w:themeColor="text1"/>
          <w:szCs w:val="21"/>
        </w:rPr>
        <w:t>网站：</w:t>
      </w:r>
      <w:r>
        <w:rPr>
          <w:rFonts w:ascii="Times New Roman" w:hAnsi="Times New Roman" w:cs="Times New Roman"/>
          <w:szCs w:val="21"/>
        </w:rPr>
        <w:t>www.leadfund.com.cn</w:t>
      </w:r>
      <w:r>
        <w:rPr>
          <w:rFonts w:ascii="Times New Roman" w:hAnsi="Times New Roman" w:cs="Times New Roman"/>
          <w:color w:val="000000" w:themeColor="text1"/>
          <w:szCs w:val="21"/>
        </w:rPr>
        <w:t>；</w:t>
      </w:r>
    </w:p>
    <w:p w:rsidR="00DC6095" w:rsidRDefault="003C5A31">
      <w:pPr>
        <w:spacing w:line="360" w:lineRule="auto"/>
        <w:ind w:firstLineChars="200" w:firstLine="420"/>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2</w:t>
      </w:r>
      <w:r>
        <w:rPr>
          <w:rFonts w:ascii="Times New Roman" w:hAnsi="Times New Roman" w:cs="Times New Roman"/>
          <w:color w:val="000000" w:themeColor="text1"/>
          <w:szCs w:val="21"/>
        </w:rPr>
        <w:t>、致电</w:t>
      </w:r>
      <w:r>
        <w:rPr>
          <w:rFonts w:ascii="Times New Roman" w:hAnsi="Times New Roman" w:cs="Times New Roman"/>
          <w:szCs w:val="21"/>
        </w:rPr>
        <w:t>利得基金</w:t>
      </w:r>
      <w:r>
        <w:rPr>
          <w:rFonts w:ascii="Times New Roman" w:hAnsi="Times New Roman" w:cs="Times New Roman"/>
          <w:color w:val="000000" w:themeColor="text1"/>
          <w:szCs w:val="21"/>
        </w:rPr>
        <w:t>客户服务电话：</w:t>
      </w:r>
      <w:r>
        <w:rPr>
          <w:rFonts w:ascii="Times New Roman" w:hAnsi="Times New Roman" w:cs="Times New Roman"/>
          <w:szCs w:val="21"/>
        </w:rPr>
        <w:t>400-032-5885</w:t>
      </w:r>
      <w:r>
        <w:rPr>
          <w:rFonts w:ascii="Times New Roman" w:hAnsi="Times New Roman" w:cs="Times New Roman"/>
          <w:color w:val="000000" w:themeColor="text1"/>
          <w:szCs w:val="21"/>
        </w:rPr>
        <w:t>；</w:t>
      </w:r>
    </w:p>
    <w:p w:rsidR="00DC6095" w:rsidRDefault="003C5A31">
      <w:pPr>
        <w:spacing w:line="360" w:lineRule="auto"/>
        <w:ind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、登录上银基金网站：</w:t>
      </w:r>
      <w:r>
        <w:rPr>
          <w:rFonts w:ascii="Times New Roman" w:hAnsi="Times New Roman" w:cs="Times New Roman"/>
          <w:szCs w:val="21"/>
        </w:rPr>
        <w:t>www.boscam.com.cn</w:t>
      </w:r>
      <w:r>
        <w:rPr>
          <w:rFonts w:ascii="Times New Roman" w:hAnsi="Times New Roman" w:cs="Times New Roman"/>
          <w:szCs w:val="21"/>
        </w:rPr>
        <w:t>；</w:t>
      </w:r>
    </w:p>
    <w:p w:rsidR="00DC6095" w:rsidRDefault="003C5A31">
      <w:pPr>
        <w:spacing w:line="360" w:lineRule="auto"/>
        <w:ind w:firstLineChars="200" w:firstLine="42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、致电上银基金客户服务</w:t>
      </w:r>
      <w:r>
        <w:rPr>
          <w:rFonts w:ascii="Times New Roman" w:hAnsi="Times New Roman" w:cs="Times New Roman"/>
          <w:szCs w:val="21"/>
        </w:rPr>
        <w:t>电话：</w:t>
      </w:r>
      <w:r>
        <w:rPr>
          <w:rFonts w:ascii="Times New Roman" w:hAnsi="Times New Roman" w:cs="Times New Roman"/>
          <w:szCs w:val="21"/>
        </w:rPr>
        <w:t>021-60231999</w:t>
      </w:r>
      <w:r>
        <w:rPr>
          <w:rFonts w:ascii="Times New Roman" w:hAnsi="Times New Roman" w:cs="Times New Roman"/>
          <w:szCs w:val="21"/>
        </w:rPr>
        <w:t>。</w:t>
      </w:r>
    </w:p>
    <w:p w:rsidR="00DC6095" w:rsidRDefault="00DC6095">
      <w:pPr>
        <w:spacing w:line="360" w:lineRule="auto"/>
        <w:ind w:firstLineChars="200" w:firstLine="420"/>
        <w:rPr>
          <w:rFonts w:asciiTheme="minorEastAsia" w:hAnsiTheme="minorEastAsia"/>
          <w:szCs w:val="21"/>
        </w:rPr>
      </w:pPr>
    </w:p>
    <w:p w:rsidR="00DC6095" w:rsidRDefault="003C5A31">
      <w:pPr>
        <w:spacing w:line="360" w:lineRule="auto"/>
        <w:ind w:firstLineChars="200" w:firstLine="420"/>
        <w:rPr>
          <w:rFonts w:asciiTheme="minorEastAsia" w:hAnsiTheme="minorEastAsia"/>
          <w:szCs w:val="21"/>
        </w:rPr>
      </w:pPr>
      <w:r>
        <w:rPr>
          <w:rFonts w:asciiTheme="minorEastAsia" w:hAnsiTheme="minorEastAsia" w:hint="eastAsia"/>
          <w:szCs w:val="21"/>
        </w:rPr>
        <w:t>风险提示：本基金管理人承诺以诚实信用、勤勉尽责的原则管理和运用基金资产，但不保证基金一定盈利，也不保证最低收益。基金投资有风险，投资者在做出投资决策之前，请认真阅读基金合同、招募说明书（更新）和基金产品资料概要（更新）等法律文件，充分认识基金的风险收益特征和产品特性，认真考虑基金存在的各项风险因素，并根据自身的投资目的、投资期限、投资经验、资产状况等因素充分考虑自身的风险承受能力，在了解产品情况及销售适当性意见的基础上，理性判断并谨慎做出投资决策。本基金管理人提醒投资者基金投资的“买者自负”原则，在做出投资</w:t>
      </w:r>
      <w:r>
        <w:rPr>
          <w:rFonts w:asciiTheme="minorEastAsia" w:hAnsiTheme="minorEastAsia" w:hint="eastAsia"/>
          <w:szCs w:val="21"/>
        </w:rPr>
        <w:t>决策后，基金运营状况与基金净值变化引致的投资风险，由投资者自行负担。</w:t>
      </w:r>
    </w:p>
    <w:p w:rsidR="00DC6095" w:rsidRDefault="003C5A31">
      <w:pPr>
        <w:spacing w:line="360" w:lineRule="auto"/>
        <w:ind w:firstLineChars="200" w:firstLine="420"/>
        <w:rPr>
          <w:rFonts w:asciiTheme="minorEastAsia" w:hAnsiTheme="minorEastAsia"/>
          <w:szCs w:val="21"/>
        </w:rPr>
      </w:pPr>
      <w:r>
        <w:rPr>
          <w:rFonts w:asciiTheme="minorEastAsia" w:hAnsiTheme="minorEastAsia" w:hint="eastAsia"/>
          <w:szCs w:val="21"/>
        </w:rPr>
        <w:t>特此公告。</w:t>
      </w:r>
    </w:p>
    <w:p w:rsidR="00DC6095" w:rsidRDefault="00DC6095">
      <w:pPr>
        <w:spacing w:line="360" w:lineRule="auto"/>
        <w:ind w:firstLineChars="200" w:firstLine="420"/>
        <w:rPr>
          <w:rFonts w:asciiTheme="minorEastAsia" w:hAnsiTheme="minorEastAsia"/>
          <w:szCs w:val="21"/>
        </w:rPr>
      </w:pPr>
    </w:p>
    <w:p w:rsidR="00DC6095" w:rsidRDefault="003C5A31">
      <w:pPr>
        <w:spacing w:line="360" w:lineRule="auto"/>
        <w:jc w:val="right"/>
        <w:rPr>
          <w:rFonts w:asciiTheme="minorEastAsia" w:hAnsiTheme="minorEastAsia"/>
          <w:szCs w:val="21"/>
        </w:rPr>
      </w:pPr>
      <w:r>
        <w:rPr>
          <w:rFonts w:asciiTheme="minorEastAsia" w:hAnsiTheme="minorEastAsia" w:hint="eastAsia"/>
          <w:szCs w:val="21"/>
        </w:rPr>
        <w:t>上银基金管理有限公司</w:t>
      </w:r>
    </w:p>
    <w:p w:rsidR="00DC6095" w:rsidRDefault="003C5A31">
      <w:pPr>
        <w:wordWrap w:val="0"/>
        <w:spacing w:line="360" w:lineRule="auto"/>
        <w:jc w:val="right"/>
        <w:rPr>
          <w:rFonts w:asciiTheme="minorEastAsia" w:hAnsiTheme="minorEastAsia"/>
          <w:szCs w:val="21"/>
        </w:rPr>
      </w:pPr>
      <w:r>
        <w:rPr>
          <w:rFonts w:ascii="Times New Roman" w:hAnsi="Times New Roman" w:cs="Times New Roman" w:hint="eastAsia"/>
          <w:szCs w:val="21"/>
        </w:rPr>
        <w:t>二〇二三</w:t>
      </w:r>
      <w:r>
        <w:rPr>
          <w:rFonts w:asciiTheme="minorEastAsia" w:hAnsiTheme="minorEastAsia" w:hint="eastAsia"/>
          <w:szCs w:val="21"/>
        </w:rPr>
        <w:t>年</w:t>
      </w:r>
      <w:r>
        <w:rPr>
          <w:rFonts w:ascii="Times New Roman" w:hAnsi="Times New Roman" w:cs="Times New Roman" w:hint="eastAsia"/>
          <w:szCs w:val="21"/>
        </w:rPr>
        <w:t>五</w:t>
      </w:r>
      <w:r>
        <w:rPr>
          <w:rFonts w:asciiTheme="minorEastAsia" w:hAnsiTheme="minorEastAsia" w:hint="eastAsia"/>
          <w:szCs w:val="21"/>
        </w:rPr>
        <w:t>月</w:t>
      </w:r>
      <w:r>
        <w:rPr>
          <w:rFonts w:ascii="Times New Roman" w:hAnsi="Times New Roman" w:cs="Times New Roman" w:hint="eastAsia"/>
          <w:szCs w:val="21"/>
        </w:rPr>
        <w:t>二十三</w:t>
      </w:r>
      <w:r>
        <w:rPr>
          <w:rFonts w:asciiTheme="minorEastAsia" w:hAnsiTheme="minorEastAsia" w:hint="eastAsia"/>
          <w:szCs w:val="21"/>
        </w:rPr>
        <w:t>日</w:t>
      </w:r>
    </w:p>
    <w:sectPr w:rsidR="00DC6095" w:rsidSect="00463FB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
  <w:rsids>
    <w:rsidRoot w:val="00A818CE"/>
    <w:rsid w:val="00007198"/>
    <w:rsid w:val="00023617"/>
    <w:rsid w:val="00023E0D"/>
    <w:rsid w:val="00032B70"/>
    <w:rsid w:val="00034A42"/>
    <w:rsid w:val="000361E4"/>
    <w:rsid w:val="0003693A"/>
    <w:rsid w:val="000525E3"/>
    <w:rsid w:val="00076DC9"/>
    <w:rsid w:val="00081E38"/>
    <w:rsid w:val="00084169"/>
    <w:rsid w:val="00090C70"/>
    <w:rsid w:val="000954DE"/>
    <w:rsid w:val="000A3096"/>
    <w:rsid w:val="000A5EAC"/>
    <w:rsid w:val="000C3DAE"/>
    <w:rsid w:val="000C4BAE"/>
    <w:rsid w:val="000D4576"/>
    <w:rsid w:val="000E2158"/>
    <w:rsid w:val="000E57BE"/>
    <w:rsid w:val="000F3311"/>
    <w:rsid w:val="000F3C2D"/>
    <w:rsid w:val="000F66B6"/>
    <w:rsid w:val="001025A4"/>
    <w:rsid w:val="001212CB"/>
    <w:rsid w:val="00125094"/>
    <w:rsid w:val="0012684F"/>
    <w:rsid w:val="00132A6B"/>
    <w:rsid w:val="001420FD"/>
    <w:rsid w:val="00143B76"/>
    <w:rsid w:val="00151782"/>
    <w:rsid w:val="001551C0"/>
    <w:rsid w:val="00160A2E"/>
    <w:rsid w:val="00161BAB"/>
    <w:rsid w:val="001656F9"/>
    <w:rsid w:val="001711FB"/>
    <w:rsid w:val="001813A3"/>
    <w:rsid w:val="001900E2"/>
    <w:rsid w:val="0019087C"/>
    <w:rsid w:val="0019485B"/>
    <w:rsid w:val="00195602"/>
    <w:rsid w:val="001A128F"/>
    <w:rsid w:val="001A391A"/>
    <w:rsid w:val="001B102C"/>
    <w:rsid w:val="001B1E8B"/>
    <w:rsid w:val="001B636D"/>
    <w:rsid w:val="001B6662"/>
    <w:rsid w:val="001B7B60"/>
    <w:rsid w:val="001C08F3"/>
    <w:rsid w:val="001D0D5C"/>
    <w:rsid w:val="001D631B"/>
    <w:rsid w:val="001E7D31"/>
    <w:rsid w:val="001F074F"/>
    <w:rsid w:val="001F41EB"/>
    <w:rsid w:val="001F6B93"/>
    <w:rsid w:val="001F7DF9"/>
    <w:rsid w:val="0020278B"/>
    <w:rsid w:val="00210058"/>
    <w:rsid w:val="002175CC"/>
    <w:rsid w:val="00222810"/>
    <w:rsid w:val="00224ABA"/>
    <w:rsid w:val="002315AC"/>
    <w:rsid w:val="00231A87"/>
    <w:rsid w:val="00231F08"/>
    <w:rsid w:val="00232B2E"/>
    <w:rsid w:val="00237143"/>
    <w:rsid w:val="002433AB"/>
    <w:rsid w:val="00245EC2"/>
    <w:rsid w:val="00246A17"/>
    <w:rsid w:val="00264F71"/>
    <w:rsid w:val="00266923"/>
    <w:rsid w:val="0029464F"/>
    <w:rsid w:val="00296A58"/>
    <w:rsid w:val="002B0146"/>
    <w:rsid w:val="002C193D"/>
    <w:rsid w:val="002C1E0D"/>
    <w:rsid w:val="002D065C"/>
    <w:rsid w:val="002D23EC"/>
    <w:rsid w:val="002D594B"/>
    <w:rsid w:val="002D7034"/>
    <w:rsid w:val="002E3D76"/>
    <w:rsid w:val="002E61D1"/>
    <w:rsid w:val="002F0170"/>
    <w:rsid w:val="00313A21"/>
    <w:rsid w:val="00316CB8"/>
    <w:rsid w:val="00327137"/>
    <w:rsid w:val="00327F64"/>
    <w:rsid w:val="00331192"/>
    <w:rsid w:val="0033496E"/>
    <w:rsid w:val="00340B0A"/>
    <w:rsid w:val="003459AA"/>
    <w:rsid w:val="00346C37"/>
    <w:rsid w:val="0035289C"/>
    <w:rsid w:val="0036434E"/>
    <w:rsid w:val="00371519"/>
    <w:rsid w:val="00374204"/>
    <w:rsid w:val="00377FFD"/>
    <w:rsid w:val="003918C6"/>
    <w:rsid w:val="00392A0B"/>
    <w:rsid w:val="003975F2"/>
    <w:rsid w:val="003A3D1B"/>
    <w:rsid w:val="003A58AE"/>
    <w:rsid w:val="003A7C2E"/>
    <w:rsid w:val="003B07EE"/>
    <w:rsid w:val="003B4019"/>
    <w:rsid w:val="003B61B8"/>
    <w:rsid w:val="003C0304"/>
    <w:rsid w:val="003C5A31"/>
    <w:rsid w:val="003C6A11"/>
    <w:rsid w:val="003D1998"/>
    <w:rsid w:val="003E0047"/>
    <w:rsid w:val="003E01BD"/>
    <w:rsid w:val="003E31E0"/>
    <w:rsid w:val="003E5EF3"/>
    <w:rsid w:val="003F3336"/>
    <w:rsid w:val="003F66E3"/>
    <w:rsid w:val="004039BF"/>
    <w:rsid w:val="0040710A"/>
    <w:rsid w:val="00411D90"/>
    <w:rsid w:val="0041294F"/>
    <w:rsid w:val="00412A74"/>
    <w:rsid w:val="00415336"/>
    <w:rsid w:val="00433CD1"/>
    <w:rsid w:val="004374D4"/>
    <w:rsid w:val="00444A91"/>
    <w:rsid w:val="00456635"/>
    <w:rsid w:val="00456821"/>
    <w:rsid w:val="00463FBF"/>
    <w:rsid w:val="00465FB6"/>
    <w:rsid w:val="004765A5"/>
    <w:rsid w:val="004808AB"/>
    <w:rsid w:val="004842E8"/>
    <w:rsid w:val="0048563E"/>
    <w:rsid w:val="00491036"/>
    <w:rsid w:val="00494337"/>
    <w:rsid w:val="00495456"/>
    <w:rsid w:val="004A29E1"/>
    <w:rsid w:val="004A40FD"/>
    <w:rsid w:val="004A4E06"/>
    <w:rsid w:val="004A6472"/>
    <w:rsid w:val="004B18B1"/>
    <w:rsid w:val="004C1833"/>
    <w:rsid w:val="004C2DCC"/>
    <w:rsid w:val="004C6F26"/>
    <w:rsid w:val="004D57BD"/>
    <w:rsid w:val="004E679A"/>
    <w:rsid w:val="004F090F"/>
    <w:rsid w:val="004F5B8D"/>
    <w:rsid w:val="00500A77"/>
    <w:rsid w:val="00501DFE"/>
    <w:rsid w:val="00521B0A"/>
    <w:rsid w:val="00534EC0"/>
    <w:rsid w:val="00536F6F"/>
    <w:rsid w:val="00547923"/>
    <w:rsid w:val="005507EF"/>
    <w:rsid w:val="00553F11"/>
    <w:rsid w:val="00565892"/>
    <w:rsid w:val="00585099"/>
    <w:rsid w:val="0059180D"/>
    <w:rsid w:val="00592F25"/>
    <w:rsid w:val="005A76DB"/>
    <w:rsid w:val="005B0B0A"/>
    <w:rsid w:val="005B31B0"/>
    <w:rsid w:val="005B710C"/>
    <w:rsid w:val="005C6CD5"/>
    <w:rsid w:val="005D0100"/>
    <w:rsid w:val="005E0DC5"/>
    <w:rsid w:val="005E23DC"/>
    <w:rsid w:val="005E3B6F"/>
    <w:rsid w:val="005E6299"/>
    <w:rsid w:val="005E62B1"/>
    <w:rsid w:val="005E7B0E"/>
    <w:rsid w:val="005F5C2C"/>
    <w:rsid w:val="005F636B"/>
    <w:rsid w:val="00600562"/>
    <w:rsid w:val="00600B6D"/>
    <w:rsid w:val="00607D74"/>
    <w:rsid w:val="00632857"/>
    <w:rsid w:val="006342DC"/>
    <w:rsid w:val="00636DD3"/>
    <w:rsid w:val="00640E9E"/>
    <w:rsid w:val="00657265"/>
    <w:rsid w:val="0066020E"/>
    <w:rsid w:val="00664E18"/>
    <w:rsid w:val="0066593E"/>
    <w:rsid w:val="00670C62"/>
    <w:rsid w:val="006847DE"/>
    <w:rsid w:val="00694F3C"/>
    <w:rsid w:val="006A0D60"/>
    <w:rsid w:val="006A10BE"/>
    <w:rsid w:val="006A57C3"/>
    <w:rsid w:val="006B2EF7"/>
    <w:rsid w:val="006C1941"/>
    <w:rsid w:val="006C5063"/>
    <w:rsid w:val="006D139D"/>
    <w:rsid w:val="006D7781"/>
    <w:rsid w:val="006E6FF6"/>
    <w:rsid w:val="006E73A7"/>
    <w:rsid w:val="006F4D5C"/>
    <w:rsid w:val="00704C8A"/>
    <w:rsid w:val="00705A6A"/>
    <w:rsid w:val="00715AF8"/>
    <w:rsid w:val="00722035"/>
    <w:rsid w:val="00726112"/>
    <w:rsid w:val="00732913"/>
    <w:rsid w:val="00733AAF"/>
    <w:rsid w:val="00741404"/>
    <w:rsid w:val="00744594"/>
    <w:rsid w:val="00765CCC"/>
    <w:rsid w:val="00766CC0"/>
    <w:rsid w:val="007860C7"/>
    <w:rsid w:val="0079186D"/>
    <w:rsid w:val="00793730"/>
    <w:rsid w:val="007A00F8"/>
    <w:rsid w:val="007A31E6"/>
    <w:rsid w:val="007A32C1"/>
    <w:rsid w:val="007A6927"/>
    <w:rsid w:val="007A7763"/>
    <w:rsid w:val="007B1D42"/>
    <w:rsid w:val="007B2EF2"/>
    <w:rsid w:val="007B5646"/>
    <w:rsid w:val="007C20E7"/>
    <w:rsid w:val="007D287C"/>
    <w:rsid w:val="007D5C7B"/>
    <w:rsid w:val="007E764A"/>
    <w:rsid w:val="007F7045"/>
    <w:rsid w:val="00821968"/>
    <w:rsid w:val="00847A71"/>
    <w:rsid w:val="00852645"/>
    <w:rsid w:val="00855B81"/>
    <w:rsid w:val="008636CF"/>
    <w:rsid w:val="00866F16"/>
    <w:rsid w:val="00882FE7"/>
    <w:rsid w:val="00885F33"/>
    <w:rsid w:val="008A12C3"/>
    <w:rsid w:val="008A1FF2"/>
    <w:rsid w:val="008A485D"/>
    <w:rsid w:val="008B38C6"/>
    <w:rsid w:val="008B4102"/>
    <w:rsid w:val="008B4DCF"/>
    <w:rsid w:val="008B741F"/>
    <w:rsid w:val="008C7BF8"/>
    <w:rsid w:val="008D56B7"/>
    <w:rsid w:val="008E2BA6"/>
    <w:rsid w:val="008E3B11"/>
    <w:rsid w:val="008E4D53"/>
    <w:rsid w:val="008E6941"/>
    <w:rsid w:val="008F0386"/>
    <w:rsid w:val="008F2A95"/>
    <w:rsid w:val="008F72BE"/>
    <w:rsid w:val="00905670"/>
    <w:rsid w:val="00906D1F"/>
    <w:rsid w:val="00910FF0"/>
    <w:rsid w:val="009149A9"/>
    <w:rsid w:val="00921129"/>
    <w:rsid w:val="00923513"/>
    <w:rsid w:val="00926E99"/>
    <w:rsid w:val="00931FBA"/>
    <w:rsid w:val="00942761"/>
    <w:rsid w:val="00955CEA"/>
    <w:rsid w:val="00963682"/>
    <w:rsid w:val="0096704B"/>
    <w:rsid w:val="00983365"/>
    <w:rsid w:val="00985179"/>
    <w:rsid w:val="009863A4"/>
    <w:rsid w:val="00992A35"/>
    <w:rsid w:val="00993B5A"/>
    <w:rsid w:val="009970B7"/>
    <w:rsid w:val="009A025D"/>
    <w:rsid w:val="009A4326"/>
    <w:rsid w:val="009A51D7"/>
    <w:rsid w:val="009A6767"/>
    <w:rsid w:val="009B121A"/>
    <w:rsid w:val="009B3C58"/>
    <w:rsid w:val="009D1C2B"/>
    <w:rsid w:val="009D7B6D"/>
    <w:rsid w:val="009F186D"/>
    <w:rsid w:val="00A011D8"/>
    <w:rsid w:val="00A06AF9"/>
    <w:rsid w:val="00A241E4"/>
    <w:rsid w:val="00A27481"/>
    <w:rsid w:val="00A33395"/>
    <w:rsid w:val="00A3417E"/>
    <w:rsid w:val="00A40DFE"/>
    <w:rsid w:val="00A45473"/>
    <w:rsid w:val="00A47047"/>
    <w:rsid w:val="00A476C7"/>
    <w:rsid w:val="00A7603D"/>
    <w:rsid w:val="00A818CE"/>
    <w:rsid w:val="00A84B52"/>
    <w:rsid w:val="00A87C57"/>
    <w:rsid w:val="00A912ED"/>
    <w:rsid w:val="00A96448"/>
    <w:rsid w:val="00A96C0D"/>
    <w:rsid w:val="00AA4401"/>
    <w:rsid w:val="00AA4689"/>
    <w:rsid w:val="00AA7076"/>
    <w:rsid w:val="00AA7655"/>
    <w:rsid w:val="00AB23A9"/>
    <w:rsid w:val="00AB64AA"/>
    <w:rsid w:val="00AC5C4A"/>
    <w:rsid w:val="00AE0E3C"/>
    <w:rsid w:val="00AF3261"/>
    <w:rsid w:val="00AF5923"/>
    <w:rsid w:val="00B05D49"/>
    <w:rsid w:val="00B15053"/>
    <w:rsid w:val="00B168F9"/>
    <w:rsid w:val="00B2081F"/>
    <w:rsid w:val="00B20F15"/>
    <w:rsid w:val="00B26ACC"/>
    <w:rsid w:val="00B40395"/>
    <w:rsid w:val="00B51607"/>
    <w:rsid w:val="00B52D36"/>
    <w:rsid w:val="00B5483A"/>
    <w:rsid w:val="00B558A6"/>
    <w:rsid w:val="00B6582D"/>
    <w:rsid w:val="00B80F92"/>
    <w:rsid w:val="00B81590"/>
    <w:rsid w:val="00B926F4"/>
    <w:rsid w:val="00B92BF9"/>
    <w:rsid w:val="00BD0455"/>
    <w:rsid w:val="00BD0D60"/>
    <w:rsid w:val="00BD7BFF"/>
    <w:rsid w:val="00BE38F3"/>
    <w:rsid w:val="00BF001F"/>
    <w:rsid w:val="00C02B83"/>
    <w:rsid w:val="00C02DD3"/>
    <w:rsid w:val="00C05BA5"/>
    <w:rsid w:val="00C11BE8"/>
    <w:rsid w:val="00C236C6"/>
    <w:rsid w:val="00C24314"/>
    <w:rsid w:val="00C255D3"/>
    <w:rsid w:val="00C26457"/>
    <w:rsid w:val="00C274CC"/>
    <w:rsid w:val="00C31B21"/>
    <w:rsid w:val="00C336C6"/>
    <w:rsid w:val="00C4460C"/>
    <w:rsid w:val="00C46188"/>
    <w:rsid w:val="00C46244"/>
    <w:rsid w:val="00C51878"/>
    <w:rsid w:val="00C6384A"/>
    <w:rsid w:val="00C675A7"/>
    <w:rsid w:val="00C7107E"/>
    <w:rsid w:val="00C87596"/>
    <w:rsid w:val="00C93339"/>
    <w:rsid w:val="00C94370"/>
    <w:rsid w:val="00C971F7"/>
    <w:rsid w:val="00C97AC5"/>
    <w:rsid w:val="00CA051B"/>
    <w:rsid w:val="00CA566E"/>
    <w:rsid w:val="00CA74DC"/>
    <w:rsid w:val="00CB33B5"/>
    <w:rsid w:val="00CC267C"/>
    <w:rsid w:val="00CD6E67"/>
    <w:rsid w:val="00CE17DD"/>
    <w:rsid w:val="00CE269F"/>
    <w:rsid w:val="00CE630E"/>
    <w:rsid w:val="00CF158B"/>
    <w:rsid w:val="00CF5876"/>
    <w:rsid w:val="00CF7E24"/>
    <w:rsid w:val="00D0533D"/>
    <w:rsid w:val="00D05717"/>
    <w:rsid w:val="00D07027"/>
    <w:rsid w:val="00D115C3"/>
    <w:rsid w:val="00D23F8C"/>
    <w:rsid w:val="00D25EE9"/>
    <w:rsid w:val="00D275BA"/>
    <w:rsid w:val="00D33118"/>
    <w:rsid w:val="00D331B2"/>
    <w:rsid w:val="00D34E2A"/>
    <w:rsid w:val="00D44882"/>
    <w:rsid w:val="00D45CBD"/>
    <w:rsid w:val="00D534C2"/>
    <w:rsid w:val="00D62FD6"/>
    <w:rsid w:val="00D63E12"/>
    <w:rsid w:val="00D677D7"/>
    <w:rsid w:val="00D70748"/>
    <w:rsid w:val="00D7079B"/>
    <w:rsid w:val="00D814FE"/>
    <w:rsid w:val="00D82F72"/>
    <w:rsid w:val="00D925A1"/>
    <w:rsid w:val="00DA481A"/>
    <w:rsid w:val="00DA4F44"/>
    <w:rsid w:val="00DA677F"/>
    <w:rsid w:val="00DB7F9B"/>
    <w:rsid w:val="00DC2643"/>
    <w:rsid w:val="00DC2C69"/>
    <w:rsid w:val="00DC4485"/>
    <w:rsid w:val="00DC4858"/>
    <w:rsid w:val="00DC6095"/>
    <w:rsid w:val="00DD1AF7"/>
    <w:rsid w:val="00DD72AA"/>
    <w:rsid w:val="00DD730F"/>
    <w:rsid w:val="00DE6F92"/>
    <w:rsid w:val="00DF1FB6"/>
    <w:rsid w:val="00E04FE9"/>
    <w:rsid w:val="00E0645C"/>
    <w:rsid w:val="00E166E1"/>
    <w:rsid w:val="00E26999"/>
    <w:rsid w:val="00E370E4"/>
    <w:rsid w:val="00E453A4"/>
    <w:rsid w:val="00E4669B"/>
    <w:rsid w:val="00E8555B"/>
    <w:rsid w:val="00E9131C"/>
    <w:rsid w:val="00EB5176"/>
    <w:rsid w:val="00EB6D98"/>
    <w:rsid w:val="00ED260A"/>
    <w:rsid w:val="00EF1AF0"/>
    <w:rsid w:val="00EF2CEF"/>
    <w:rsid w:val="00EF37FE"/>
    <w:rsid w:val="00EF509D"/>
    <w:rsid w:val="00EF5F7B"/>
    <w:rsid w:val="00F05F45"/>
    <w:rsid w:val="00F14C4F"/>
    <w:rsid w:val="00F1574A"/>
    <w:rsid w:val="00F24978"/>
    <w:rsid w:val="00F262D5"/>
    <w:rsid w:val="00F43577"/>
    <w:rsid w:val="00F44049"/>
    <w:rsid w:val="00F50129"/>
    <w:rsid w:val="00F5129D"/>
    <w:rsid w:val="00F52CB9"/>
    <w:rsid w:val="00F706C1"/>
    <w:rsid w:val="00F71A48"/>
    <w:rsid w:val="00F75A31"/>
    <w:rsid w:val="00F76BDB"/>
    <w:rsid w:val="00F90511"/>
    <w:rsid w:val="00FA2318"/>
    <w:rsid w:val="00FA797A"/>
    <w:rsid w:val="00FB05EF"/>
    <w:rsid w:val="00FC154B"/>
    <w:rsid w:val="00FD6C5A"/>
    <w:rsid w:val="00FE0D74"/>
    <w:rsid w:val="00FF6D67"/>
    <w:rsid w:val="00FF7FD9"/>
    <w:rsid w:val="04D87F10"/>
    <w:rsid w:val="569E7CD2"/>
    <w:rsid w:val="724059DE"/>
    <w:rsid w:val="75D478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FB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463FBF"/>
    <w:pPr>
      <w:jc w:val="left"/>
    </w:pPr>
  </w:style>
  <w:style w:type="paragraph" w:styleId="a4">
    <w:name w:val="Balloon Text"/>
    <w:basedOn w:val="a"/>
    <w:link w:val="Char0"/>
    <w:uiPriority w:val="99"/>
    <w:semiHidden/>
    <w:unhideWhenUsed/>
    <w:rsid w:val="00463FBF"/>
    <w:rPr>
      <w:sz w:val="18"/>
      <w:szCs w:val="18"/>
    </w:rPr>
  </w:style>
  <w:style w:type="paragraph" w:styleId="a5">
    <w:name w:val="footer"/>
    <w:basedOn w:val="a"/>
    <w:link w:val="Char1"/>
    <w:uiPriority w:val="99"/>
    <w:unhideWhenUsed/>
    <w:qFormat/>
    <w:rsid w:val="00463FBF"/>
    <w:pPr>
      <w:tabs>
        <w:tab w:val="center" w:pos="4153"/>
        <w:tab w:val="right" w:pos="8306"/>
      </w:tabs>
      <w:snapToGrid w:val="0"/>
      <w:jc w:val="left"/>
    </w:pPr>
    <w:rPr>
      <w:sz w:val="18"/>
      <w:szCs w:val="18"/>
    </w:rPr>
  </w:style>
  <w:style w:type="paragraph" w:styleId="a6">
    <w:name w:val="header"/>
    <w:basedOn w:val="a"/>
    <w:link w:val="Char2"/>
    <w:uiPriority w:val="99"/>
    <w:unhideWhenUsed/>
    <w:rsid w:val="00463FBF"/>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rsid w:val="00463F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7">
    <w:name w:val="annotation subject"/>
    <w:basedOn w:val="a3"/>
    <w:next w:val="a3"/>
    <w:link w:val="Char3"/>
    <w:uiPriority w:val="99"/>
    <w:semiHidden/>
    <w:unhideWhenUsed/>
    <w:qFormat/>
    <w:rsid w:val="00463FBF"/>
    <w:rPr>
      <w:b/>
      <w:bCs/>
    </w:rPr>
  </w:style>
  <w:style w:type="table" w:styleId="a8">
    <w:name w:val="Table Grid"/>
    <w:basedOn w:val="a1"/>
    <w:uiPriority w:val="59"/>
    <w:unhideWhenUsed/>
    <w:qFormat/>
    <w:rsid w:val="00463F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qFormat/>
    <w:rsid w:val="00463FBF"/>
    <w:rPr>
      <w:color w:val="0000FF" w:themeColor="hyperlink"/>
      <w:u w:val="single"/>
    </w:rPr>
  </w:style>
  <w:style w:type="character" w:styleId="aa">
    <w:name w:val="annotation reference"/>
    <w:basedOn w:val="a0"/>
    <w:uiPriority w:val="99"/>
    <w:semiHidden/>
    <w:unhideWhenUsed/>
    <w:qFormat/>
    <w:rsid w:val="00463FBF"/>
    <w:rPr>
      <w:sz w:val="21"/>
      <w:szCs w:val="21"/>
    </w:rPr>
  </w:style>
  <w:style w:type="character" w:customStyle="1" w:styleId="Char2">
    <w:name w:val="页眉 Char"/>
    <w:basedOn w:val="a0"/>
    <w:link w:val="a6"/>
    <w:uiPriority w:val="99"/>
    <w:qFormat/>
    <w:rsid w:val="00463FBF"/>
    <w:rPr>
      <w:sz w:val="18"/>
      <w:szCs w:val="18"/>
    </w:rPr>
  </w:style>
  <w:style w:type="character" w:customStyle="1" w:styleId="Char1">
    <w:name w:val="页脚 Char"/>
    <w:basedOn w:val="a0"/>
    <w:link w:val="a5"/>
    <w:uiPriority w:val="99"/>
    <w:qFormat/>
    <w:rsid w:val="00463FBF"/>
    <w:rPr>
      <w:sz w:val="18"/>
      <w:szCs w:val="18"/>
    </w:rPr>
  </w:style>
  <w:style w:type="character" w:customStyle="1" w:styleId="HTMLChar">
    <w:name w:val="HTML 预设格式 Char"/>
    <w:basedOn w:val="a0"/>
    <w:link w:val="HTML"/>
    <w:uiPriority w:val="99"/>
    <w:semiHidden/>
    <w:qFormat/>
    <w:rsid w:val="00463FBF"/>
    <w:rPr>
      <w:rFonts w:ascii="宋体" w:eastAsia="宋体" w:hAnsi="宋体" w:cs="宋体"/>
      <w:kern w:val="0"/>
      <w:sz w:val="24"/>
      <w:szCs w:val="24"/>
    </w:rPr>
  </w:style>
  <w:style w:type="character" w:customStyle="1" w:styleId="Char0">
    <w:name w:val="批注框文本 Char"/>
    <w:basedOn w:val="a0"/>
    <w:link w:val="a4"/>
    <w:uiPriority w:val="99"/>
    <w:semiHidden/>
    <w:qFormat/>
    <w:rsid w:val="00463FBF"/>
    <w:rPr>
      <w:sz w:val="18"/>
      <w:szCs w:val="18"/>
    </w:rPr>
  </w:style>
  <w:style w:type="character" w:customStyle="1" w:styleId="Char">
    <w:name w:val="批注文字 Char"/>
    <w:basedOn w:val="a0"/>
    <w:link w:val="a3"/>
    <w:uiPriority w:val="99"/>
    <w:semiHidden/>
    <w:qFormat/>
    <w:rsid w:val="00463FBF"/>
  </w:style>
  <w:style w:type="character" w:customStyle="1" w:styleId="Char3">
    <w:name w:val="批注主题 Char"/>
    <w:basedOn w:val="Char"/>
    <w:link w:val="a7"/>
    <w:uiPriority w:val="99"/>
    <w:semiHidden/>
    <w:qFormat/>
    <w:rsid w:val="00463FBF"/>
    <w:rPr>
      <w:b/>
      <w:bCs/>
    </w:rPr>
  </w:style>
  <w:style w:type="paragraph" w:customStyle="1" w:styleId="1">
    <w:name w:val="修订1"/>
    <w:hidden/>
    <w:uiPriority w:val="99"/>
    <w:semiHidden/>
    <w:qFormat/>
    <w:rsid w:val="00463FBF"/>
    <w:rPr>
      <w:rFonts w:asciiTheme="minorHAnsi" w:eastAsiaTheme="minorEastAsia" w:hAnsiTheme="minorHAnsi" w:cstheme="minorBidi"/>
      <w:kern w:val="2"/>
      <w:sz w:val="21"/>
      <w:szCs w:val="22"/>
    </w:rPr>
  </w:style>
  <w:style w:type="paragraph" w:customStyle="1" w:styleId="Default">
    <w:name w:val="Default"/>
    <w:qFormat/>
    <w:rsid w:val="00463FBF"/>
    <w:pPr>
      <w:widowControl w:val="0"/>
      <w:autoSpaceDE w:val="0"/>
      <w:autoSpaceDN w:val="0"/>
      <w:adjustRightInd w:val="0"/>
    </w:pPr>
    <w:rPr>
      <w:rFonts w:ascii="宋体" w:hAnsiTheme="minorHAnsi" w:cs="宋体"/>
      <w:color w:val="000000"/>
      <w:sz w:val="24"/>
      <w:szCs w:val="24"/>
    </w:rPr>
  </w:style>
  <w:style w:type="paragraph" w:styleId="ab">
    <w:name w:val="List Paragraph"/>
    <w:basedOn w:val="a"/>
    <w:uiPriority w:val="34"/>
    <w:qFormat/>
    <w:rsid w:val="00463FBF"/>
    <w:pPr>
      <w:ind w:firstLineChars="200" w:firstLine="420"/>
    </w:pPr>
  </w:style>
  <w:style w:type="character" w:customStyle="1" w:styleId="emailstyle15">
    <w:name w:val="emailstyle15"/>
    <w:basedOn w:val="a0"/>
    <w:qFormat/>
    <w:rsid w:val="00463FBF"/>
    <w:rPr>
      <w:rFonts w:ascii="Calibri" w:eastAsia="宋体" w:hAnsi="Calibri" w:cs="Times New Roman" w:hint="default"/>
      <w:color w:val="auto"/>
      <w:sz w:val="21"/>
      <w:szCs w:val="22"/>
    </w:rPr>
  </w:style>
  <w:style w:type="paragraph" w:styleId="ac">
    <w:name w:val="Revision"/>
    <w:hidden/>
    <w:uiPriority w:val="99"/>
    <w:semiHidden/>
    <w:rsid w:val="00F71A48"/>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368</Words>
  <Characters>2100</Characters>
  <Application>Microsoft Office Word</Application>
  <DocSecurity>4</DocSecurity>
  <Lines>17</Lines>
  <Paragraphs>4</Paragraphs>
  <ScaleCrop>false</ScaleCrop>
  <Company/>
  <LinksUpToDate>false</LinksUpToDate>
  <CharactersWithSpaces>2464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王蕾</dc:creator>
  <cp:lastModifiedBy>ZHONGM</cp:lastModifiedBy>
  <cp:revision>2</cp:revision>
  <cp:lastPrinted>2022-01-12T01:57:00Z</cp:lastPrinted>
  <dcterms:created xsi:type="dcterms:W3CDTF">2023-05-22T16:01:00Z</dcterms:created>
  <dcterms:modified xsi:type="dcterms:W3CDTF">2023-05-22T16:01:00Z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27572CDDE1C54C6DA4EBCC46DEE8672D</vt:lpwstr>
  </property>
</Properties>
</file>