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FC" w:rsidRPr="00DA75AE" w:rsidRDefault="00004E02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bookmarkStart w:id="0" w:name="_GoBack"/>
      <w:bookmarkEnd w:id="0"/>
      <w:r w:rsidRPr="00DA75A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创金合信</w:t>
      </w:r>
      <w:r w:rsidR="00284549" w:rsidRPr="00DA75A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货币市场</w:t>
      </w:r>
      <w:r w:rsidRPr="00DA75A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基金</w:t>
      </w:r>
      <w:r w:rsidR="000D4F26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在</w:t>
      </w:r>
      <w:r w:rsidR="0031095C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雪球</w:t>
      </w:r>
      <w:r w:rsidR="00D57EA4" w:rsidRPr="00D57EA4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基金</w:t>
      </w:r>
      <w:r w:rsidR="0078525E" w:rsidRPr="00DA75AE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调整</w:t>
      </w:r>
      <w:r w:rsidRPr="00DA75AE"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大额申</w:t>
      </w:r>
      <w:r w:rsidRPr="00DA75AE"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购（含定期定额投资）、大额转换转入业务的公告</w:t>
      </w:r>
    </w:p>
    <w:p w:rsidR="00B87CFC" w:rsidRPr="00DA75AE" w:rsidRDefault="00B87CFC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公告送出日期：202</w:t>
      </w:r>
      <w:r w:rsidR="00D57EA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31095C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176CB0">
        <w:rPr>
          <w:rFonts w:asciiTheme="minorEastAsia" w:hAnsiTheme="minorEastAsia" w:cs="宋体"/>
          <w:color w:val="000000"/>
          <w:kern w:val="0"/>
          <w:sz w:val="24"/>
          <w:szCs w:val="24"/>
        </w:rPr>
        <w:t>19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 w:rsidRPr="00DA75AE"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Pr="00DA75AE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3" w:type="dxa"/>
        <w:tblInd w:w="108" w:type="dxa"/>
        <w:tblLayout w:type="fixed"/>
        <w:tblLook w:val="04A0"/>
      </w:tblPr>
      <w:tblGrid>
        <w:gridCol w:w="1212"/>
        <w:gridCol w:w="2356"/>
        <w:gridCol w:w="2693"/>
        <w:gridCol w:w="2772"/>
      </w:tblGrid>
      <w:tr w:rsidR="00B87CFC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004E0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78525E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</w:p>
        </w:tc>
      </w:tr>
      <w:tr w:rsidR="00B87CFC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004E0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78525E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</w:t>
            </w:r>
          </w:p>
        </w:tc>
      </w:tr>
      <w:tr w:rsidR="00B87CFC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004E0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004E02" w:rsidP="0078525E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</w:t>
            </w:r>
            <w:r w:rsidR="0078525E" w:rsidRPr="00DA75AE"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1909</w:t>
            </w:r>
          </w:p>
        </w:tc>
      </w:tr>
      <w:tr w:rsidR="00B87CFC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004E0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004E0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B87CFC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004E02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7CFC" w:rsidRPr="00DA75AE" w:rsidRDefault="00EE0940">
            <w:pPr>
              <w:spacing w:line="360" w:lineRule="auto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《中华人民共和国证券投资基金法》 《公开募集证券投资基金运作管理办法》</w:t>
            </w:r>
            <w:r w:rsidR="00004E02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E40EDD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基金合同》 </w:t>
            </w:r>
            <w:r w:rsidR="00004E02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</w:t>
            </w:r>
            <w:r w:rsidR="00E40EDD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  <w:r w:rsidR="00004E02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招募说明书》等</w:t>
            </w:r>
          </w:p>
        </w:tc>
      </w:tr>
      <w:tr w:rsidR="00312983" w:rsidRPr="00DA75AE" w:rsidTr="00284549"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暂停大额申购（含定期定额投资）起始日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D57EA4" w:rsidP="00176CB0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1095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 w:rsidR="0031095C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176CB0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19</w:t>
            </w:r>
            <w:r w:rsidR="0031095C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12983" w:rsidRPr="00DA75AE" w:rsidTr="00284549">
        <w:tc>
          <w:tcPr>
            <w:tcW w:w="121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D57EA4" w:rsidP="008C18C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1095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  <w:r w:rsidR="0031095C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8C18C1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19</w:t>
            </w:r>
            <w:r w:rsidR="0031095C"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312983" w:rsidRPr="00DA75AE" w:rsidTr="00284549">
        <w:tc>
          <w:tcPr>
            <w:tcW w:w="121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限制申购（含定期定额投资）金额（单位：元）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681750" w:rsidP="0031095C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 w:rsidR="00312983" w:rsidRPr="00DA75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,0</w:t>
            </w:r>
            <w:r w:rsidR="00312983" w:rsidRPr="00DA75A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312983" w:rsidRPr="00DA75AE" w:rsidTr="00284549">
        <w:tc>
          <w:tcPr>
            <w:tcW w:w="121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限制转换转入金额（单位:元）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681750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 w:rsidR="00312983" w:rsidRPr="00DA75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,0</w:t>
            </w:r>
            <w:r w:rsidR="00312983" w:rsidRPr="00DA75AE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312983" w:rsidRPr="00DA75AE" w:rsidTr="00284549">
        <w:tc>
          <w:tcPr>
            <w:tcW w:w="12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</w:t>
            </w:r>
            <w:r w:rsidRPr="00DA75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（含定期定额投资）</w:t>
            </w:r>
            <w:r w:rsidRPr="00DA75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、转换转入的原因说明</w:t>
            </w:r>
          </w:p>
        </w:tc>
        <w:tc>
          <w:tcPr>
            <w:tcW w:w="54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983" w:rsidRPr="00DA75AE" w:rsidRDefault="0031298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284549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28454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color w:val="000000"/>
                <w:sz w:val="24"/>
              </w:rPr>
              <w:t>下属分级基金的基金简称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284549">
            <w:pPr>
              <w:pStyle w:val="biaogeleft"/>
              <w:wordWrap w:val="0"/>
            </w:pPr>
            <w:r w:rsidRPr="00DA75AE">
              <w:rPr>
                <w:rFonts w:hint="eastAsia"/>
              </w:rPr>
              <w:t>创金合信货币A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284549" w:rsidP="00284549">
            <w:pPr>
              <w:pStyle w:val="biaogeleft"/>
              <w:wordWrap w:val="0"/>
            </w:pPr>
            <w:r w:rsidRPr="00DA75AE">
              <w:rPr>
                <w:rFonts w:hint="eastAsia"/>
              </w:rPr>
              <w:t>创金合信货币C</w:t>
            </w:r>
          </w:p>
        </w:tc>
      </w:tr>
      <w:tr w:rsidR="00284549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28454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color w:val="000000"/>
                <w:sz w:val="24"/>
              </w:rPr>
              <w:t>下属分级基金的交易代码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284549" w:rsidP="00284549">
            <w:pPr>
              <w:pStyle w:val="biaogeleft"/>
              <w:wordWrap w:val="0"/>
              <w:ind w:left="0"/>
            </w:pPr>
            <w:r w:rsidRPr="00DA75AE">
              <w:rPr>
                <w:rFonts w:hint="eastAsia"/>
              </w:rPr>
              <w:t>0</w:t>
            </w:r>
            <w:r w:rsidRPr="00DA75AE">
              <w:t>01909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284549" w:rsidP="00284549">
            <w:pPr>
              <w:pStyle w:val="biaogeleft"/>
              <w:wordWrap w:val="0"/>
            </w:pPr>
            <w:r w:rsidRPr="00DA75AE">
              <w:rPr>
                <w:rFonts w:hint="eastAsia"/>
              </w:rPr>
              <w:t>0</w:t>
            </w:r>
            <w:r w:rsidRPr="00DA75AE">
              <w:t>07866</w:t>
            </w:r>
          </w:p>
        </w:tc>
      </w:tr>
      <w:tr w:rsidR="00284549" w:rsidRPr="00DA75AE" w:rsidTr="00284549">
        <w:tc>
          <w:tcPr>
            <w:tcW w:w="3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28454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DA75AE">
              <w:rPr>
                <w:color w:val="000000"/>
                <w:sz w:val="24"/>
              </w:rPr>
              <w:t>该分级基金是否</w:t>
            </w:r>
            <w:r w:rsidRPr="00DA75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暂停大额申购（含定期定额投资）、转换转入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CB1CF2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4549" w:rsidRPr="00DA75AE" w:rsidRDefault="00CB1CF2" w:rsidP="00CA5898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B87CFC" w:rsidRPr="00DA75AE" w:rsidRDefault="00B87CFC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 w:rsidRPr="00DA75AE"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 w:rsidRPr="00DA75AE"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B87CFC" w:rsidRDefault="00004E0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（1）创金合信基金管理有限公司（以下简称“本公司”）决定自</w:t>
      </w:r>
      <w:r w:rsidR="00D57EA4"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</w:t>
      </w:r>
      <w:r w:rsidR="00D57EA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D57EA4"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31095C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D57EA4"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8C18C1">
        <w:rPr>
          <w:rFonts w:asciiTheme="minorEastAsia" w:hAnsiTheme="minorEastAsia" w:cs="宋体"/>
          <w:color w:val="000000"/>
          <w:kern w:val="0"/>
          <w:sz w:val="24"/>
          <w:szCs w:val="24"/>
        </w:rPr>
        <w:t>19</w:t>
      </w:r>
      <w:r w:rsidR="00D57EA4"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起，投资人通过</w:t>
      </w:r>
      <w:r w:rsidR="0031095C" w:rsidRPr="003109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北京雪球基金销售有限公司</w:t>
      </w:r>
      <w:r w:rsidR="00D57EA4" w:rsidRPr="00D57E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</w:t>
      </w:r>
      <w:r w:rsidR="0031095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雪球</w:t>
      </w:r>
      <w:r w:rsidR="00D57EA4" w:rsidRPr="00D57EA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基金”）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申购（含定期定额投资，下同）、转换转入</w:t>
      </w:r>
      <w:r w:rsidR="00E40EDD" w:rsidRPr="00DA75AE"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创金合信货币市场基金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（以下简称“本基金”），单日单个基金账户累计的申购、转换转入金额限制</w:t>
      </w:r>
      <w:r w:rsidR="008D64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5329E1"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从原来</w:t>
      </w:r>
      <w:r w:rsidR="003315E3"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不应超过</w:t>
      </w:r>
      <w:r w:rsidR="008C19AD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="003315E3" w:rsidRPr="00DA75AE">
        <w:rPr>
          <w:rFonts w:asciiTheme="minorEastAsia" w:hAnsiTheme="minorEastAsia" w:cs="宋体"/>
          <w:color w:val="000000"/>
          <w:kern w:val="0"/>
          <w:sz w:val="24"/>
          <w:szCs w:val="24"/>
        </w:rPr>
        <w:t>00万元调整为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不应超过</w:t>
      </w:r>
      <w:r w:rsidR="00681750"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00万元，如单日单个基金账户在本基金的累计申购、转换转入金额大于</w:t>
      </w:r>
      <w:r w:rsidR="00681750">
        <w:rPr>
          <w:rFonts w:ascii="宋体" w:hAnsi="宋体" w:cs="宋体"/>
          <w:color w:val="000000"/>
          <w:kern w:val="0"/>
          <w:sz w:val="24"/>
          <w:szCs w:val="24"/>
        </w:rPr>
        <w:t>20</w:t>
      </w:r>
      <w:r w:rsidR="00E40EDD" w:rsidRPr="00DA75AE">
        <w:rPr>
          <w:rFonts w:asciiTheme="minorEastAsia" w:hAnsiTheme="minorEastAsia" w:cs="宋体"/>
          <w:color w:val="000000"/>
          <w:kern w:val="0"/>
          <w:sz w:val="24"/>
          <w:szCs w:val="24"/>
        </w:rPr>
        <w:t>0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0万元的，基金管理人有权拒绝超额部分的申请。</w:t>
      </w:r>
    </w:p>
    <w:p w:rsidR="00CA5898" w:rsidRPr="00DA75AE" w:rsidRDefault="00CA5898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（2）以上大额交易限制按照A、C两类份额加总进行合并判断。</w:t>
      </w: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CA5898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）关于恢复本基金上述业务的时间，本公司将另行公告。除另有公告外，在上述业务限制期间，本基金的赎回等其他业务照常办理。</w:t>
      </w: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CA5898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）投资者可以登陆创金合信基金管理有限公司网站www.cjhxfund.com 或拨打创金合信基金管理有限公司客户服务热线400-868-0666进行相关咨询。</w:t>
      </w:r>
    </w:p>
    <w:p w:rsidR="00B87CFC" w:rsidRPr="00DA75AE" w:rsidRDefault="00B87CFC">
      <w:pPr>
        <w:autoSpaceDE w:val="0"/>
        <w:autoSpaceDN w:val="0"/>
        <w:adjustRightInd w:val="0"/>
        <w:spacing w:before="30" w:line="360" w:lineRule="auto"/>
        <w:ind w:leftChars="7" w:left="15" w:firstLine="20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B87CFC" w:rsidRPr="00DA75AE" w:rsidRDefault="00B87CFC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B87CFC" w:rsidRPr="00DA75AE" w:rsidRDefault="00B87CFC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B87CFC" w:rsidRPr="00DA75AE" w:rsidRDefault="00004E02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B87CFC" w:rsidRDefault="00D57EA4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 w:rsidR="0031095C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176CB0">
        <w:rPr>
          <w:rFonts w:asciiTheme="minorEastAsia" w:hAnsiTheme="minorEastAsia" w:cs="宋体"/>
          <w:color w:val="000000"/>
          <w:kern w:val="0"/>
          <w:sz w:val="24"/>
          <w:szCs w:val="24"/>
        </w:rPr>
        <w:t>19</w:t>
      </w:r>
      <w:r w:rsidRPr="00DA75A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B87CFC" w:rsidRDefault="00B87CFC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</w:p>
    <w:sectPr w:rsidR="00B87CFC" w:rsidSect="00D63087"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A5" w:rsidRDefault="00B11EA5" w:rsidP="00DA082D">
      <w:r>
        <w:separator/>
      </w:r>
    </w:p>
  </w:endnote>
  <w:endnote w:type="continuationSeparator" w:id="0">
    <w:p w:rsidR="00B11EA5" w:rsidRDefault="00B11EA5" w:rsidP="00DA0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A5" w:rsidRDefault="00B11EA5" w:rsidP="00DA082D">
      <w:r>
        <w:separator/>
      </w:r>
    </w:p>
  </w:footnote>
  <w:footnote w:type="continuationSeparator" w:id="0">
    <w:p w:rsidR="00B11EA5" w:rsidRDefault="00B11EA5" w:rsidP="00DA0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525"/>
    <w:rsid w:val="00001E9D"/>
    <w:rsid w:val="00002005"/>
    <w:rsid w:val="00004E02"/>
    <w:rsid w:val="0005617B"/>
    <w:rsid w:val="00060EB0"/>
    <w:rsid w:val="00070652"/>
    <w:rsid w:val="00072082"/>
    <w:rsid w:val="00077EAA"/>
    <w:rsid w:val="00081072"/>
    <w:rsid w:val="000D4F26"/>
    <w:rsid w:val="000D535A"/>
    <w:rsid w:val="00105F7C"/>
    <w:rsid w:val="00107251"/>
    <w:rsid w:val="00176CB0"/>
    <w:rsid w:val="00182389"/>
    <w:rsid w:val="001C20E2"/>
    <w:rsid w:val="001F4A9C"/>
    <w:rsid w:val="00264686"/>
    <w:rsid w:val="00283831"/>
    <w:rsid w:val="00284549"/>
    <w:rsid w:val="00295813"/>
    <w:rsid w:val="0031095C"/>
    <w:rsid w:val="00312983"/>
    <w:rsid w:val="00331109"/>
    <w:rsid w:val="003315E3"/>
    <w:rsid w:val="003640D6"/>
    <w:rsid w:val="003651C9"/>
    <w:rsid w:val="0037058A"/>
    <w:rsid w:val="00374A5F"/>
    <w:rsid w:val="003932CF"/>
    <w:rsid w:val="003B1C52"/>
    <w:rsid w:val="003E5A8F"/>
    <w:rsid w:val="004056E4"/>
    <w:rsid w:val="0040777F"/>
    <w:rsid w:val="00420567"/>
    <w:rsid w:val="00434A33"/>
    <w:rsid w:val="004476B4"/>
    <w:rsid w:val="00466116"/>
    <w:rsid w:val="0047058A"/>
    <w:rsid w:val="004B189B"/>
    <w:rsid w:val="004B3308"/>
    <w:rsid w:val="004D559F"/>
    <w:rsid w:val="004E4065"/>
    <w:rsid w:val="005130A9"/>
    <w:rsid w:val="005329E1"/>
    <w:rsid w:val="0054353F"/>
    <w:rsid w:val="00560BD2"/>
    <w:rsid w:val="005914AB"/>
    <w:rsid w:val="00593B81"/>
    <w:rsid w:val="005B08BF"/>
    <w:rsid w:val="005B1FBB"/>
    <w:rsid w:val="005E4EA0"/>
    <w:rsid w:val="005F4610"/>
    <w:rsid w:val="00631525"/>
    <w:rsid w:val="00635A95"/>
    <w:rsid w:val="00654200"/>
    <w:rsid w:val="00681750"/>
    <w:rsid w:val="006B192D"/>
    <w:rsid w:val="006D7676"/>
    <w:rsid w:val="006E40F0"/>
    <w:rsid w:val="00733E43"/>
    <w:rsid w:val="007418EF"/>
    <w:rsid w:val="007459C3"/>
    <w:rsid w:val="00747966"/>
    <w:rsid w:val="00774473"/>
    <w:rsid w:val="00781F9A"/>
    <w:rsid w:val="0078525E"/>
    <w:rsid w:val="007A7E75"/>
    <w:rsid w:val="007E3C34"/>
    <w:rsid w:val="007F7762"/>
    <w:rsid w:val="00800960"/>
    <w:rsid w:val="0080183D"/>
    <w:rsid w:val="00825C2D"/>
    <w:rsid w:val="00827948"/>
    <w:rsid w:val="00866070"/>
    <w:rsid w:val="008745DB"/>
    <w:rsid w:val="00892546"/>
    <w:rsid w:val="008C18C1"/>
    <w:rsid w:val="008C19AD"/>
    <w:rsid w:val="008D645F"/>
    <w:rsid w:val="008E4E3E"/>
    <w:rsid w:val="0091712D"/>
    <w:rsid w:val="00942EE7"/>
    <w:rsid w:val="00971C30"/>
    <w:rsid w:val="0098570B"/>
    <w:rsid w:val="009A6BE1"/>
    <w:rsid w:val="009A7B3D"/>
    <w:rsid w:val="00A01977"/>
    <w:rsid w:val="00A12FAC"/>
    <w:rsid w:val="00A2378E"/>
    <w:rsid w:val="00AE10B5"/>
    <w:rsid w:val="00AE201E"/>
    <w:rsid w:val="00AF78E5"/>
    <w:rsid w:val="00B11EA5"/>
    <w:rsid w:val="00B248B3"/>
    <w:rsid w:val="00B87CFC"/>
    <w:rsid w:val="00BB24FB"/>
    <w:rsid w:val="00BC58CE"/>
    <w:rsid w:val="00BD61C2"/>
    <w:rsid w:val="00BF2D1D"/>
    <w:rsid w:val="00C34DFC"/>
    <w:rsid w:val="00C44927"/>
    <w:rsid w:val="00C72D89"/>
    <w:rsid w:val="00CA29FA"/>
    <w:rsid w:val="00CA5898"/>
    <w:rsid w:val="00CB1CF2"/>
    <w:rsid w:val="00D07DC5"/>
    <w:rsid w:val="00D1321B"/>
    <w:rsid w:val="00D16FB1"/>
    <w:rsid w:val="00D57EA4"/>
    <w:rsid w:val="00D63087"/>
    <w:rsid w:val="00D74CB6"/>
    <w:rsid w:val="00D81B70"/>
    <w:rsid w:val="00DA082D"/>
    <w:rsid w:val="00DA75AE"/>
    <w:rsid w:val="00E25144"/>
    <w:rsid w:val="00E360C6"/>
    <w:rsid w:val="00E37E2E"/>
    <w:rsid w:val="00E40EDD"/>
    <w:rsid w:val="00E50D82"/>
    <w:rsid w:val="00E52B91"/>
    <w:rsid w:val="00E770CA"/>
    <w:rsid w:val="00EA0EA6"/>
    <w:rsid w:val="00EB1956"/>
    <w:rsid w:val="00EE0940"/>
    <w:rsid w:val="00F140F9"/>
    <w:rsid w:val="00F22E04"/>
    <w:rsid w:val="00F62791"/>
    <w:rsid w:val="00FA3FD1"/>
    <w:rsid w:val="00FE1EAE"/>
    <w:rsid w:val="3B75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30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D63087"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630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63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6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D63087"/>
    <w:rPr>
      <w:rFonts w:ascii="宋体" w:eastAsia="宋体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D63087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D63087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D63087"/>
    <w:rPr>
      <w:rFonts w:cs="Times New Roman"/>
      <w:sz w:val="18"/>
      <w:szCs w:val="18"/>
    </w:rPr>
  </w:style>
  <w:style w:type="paragraph" w:customStyle="1" w:styleId="biaogeleft">
    <w:name w:val="biaoge_left"/>
    <w:basedOn w:val="a"/>
    <w:rsid w:val="00D63087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DA07A1-418B-4806-9838-2C107A1F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4</DocSecurity>
  <Lines>7</Lines>
  <Paragraphs>2</Paragraphs>
  <ScaleCrop>false</ScaleCrop>
  <Company>Organization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</dc:creator>
  <cp:lastModifiedBy>ZHONGM</cp:lastModifiedBy>
  <cp:revision>2</cp:revision>
  <dcterms:created xsi:type="dcterms:W3CDTF">2023-05-18T16:01:00Z</dcterms:created>
  <dcterms:modified xsi:type="dcterms:W3CDTF">2023-05-18T16:01:00Z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