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F9A" w:rsidRDefault="00B83F9A">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B83F9A" w:rsidRDefault="00B83F9A">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关于旗下部分基金增加北京度小满基金销售有限公司</w:t>
      </w:r>
    </w:p>
    <w:p w:rsidR="00B83F9A" w:rsidRDefault="00B83F9A">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为代理销售机构并开通定投业务</w:t>
      </w:r>
      <w:r>
        <w:rPr>
          <w:rFonts w:ascii="宋体" w:hAnsi="宋体" w:cs="Arial"/>
          <w:b/>
          <w:kern w:val="36"/>
          <w:sz w:val="30"/>
          <w:szCs w:val="30"/>
        </w:rPr>
        <w:t>的公告</w:t>
      </w:r>
    </w:p>
    <w:p w:rsidR="00B83F9A" w:rsidRDefault="00B83F9A">
      <w:pPr>
        <w:widowControl/>
        <w:spacing w:line="360" w:lineRule="auto"/>
        <w:jc w:val="center"/>
        <w:outlineLvl w:val="0"/>
        <w:rPr>
          <w:rFonts w:ascii="Arial" w:hAnsi="Arial" w:cs="Arial" w:hint="eastAsia"/>
          <w:b/>
          <w:kern w:val="36"/>
          <w:sz w:val="30"/>
          <w:szCs w:val="30"/>
        </w:rPr>
      </w:pPr>
    </w:p>
    <w:p w:rsidR="00B83F9A" w:rsidRDefault="00B83F9A">
      <w:pPr>
        <w:spacing w:line="360" w:lineRule="auto"/>
        <w:ind w:firstLineChars="200" w:firstLine="482"/>
        <w:rPr>
          <w:rFonts w:ascii="宋体" w:hAnsi="宋体" w:cs="宋体"/>
          <w:b/>
          <w:sz w:val="24"/>
          <w:szCs w:val="24"/>
        </w:rPr>
      </w:pPr>
      <w:r>
        <w:rPr>
          <w:rFonts w:ascii="宋体" w:hAnsi="宋体" w:cs="宋体" w:hint="eastAsia"/>
          <w:b/>
          <w:sz w:val="24"/>
          <w:szCs w:val="24"/>
        </w:rPr>
        <w:t>一、增加代销机构</w:t>
      </w:r>
    </w:p>
    <w:p w:rsidR="00B83F9A" w:rsidRDefault="00B83F9A">
      <w:pPr>
        <w:spacing w:line="360" w:lineRule="auto"/>
        <w:ind w:firstLineChars="200" w:firstLine="480"/>
        <w:rPr>
          <w:rFonts w:ascii="宋体" w:hAnsi="宋体" w:cs="宋体"/>
          <w:b/>
          <w:sz w:val="24"/>
          <w:szCs w:val="24"/>
        </w:rPr>
      </w:pPr>
      <w:r>
        <w:rPr>
          <w:rFonts w:ascii="宋体" w:hAnsi="宋体" w:cs="宋体" w:hint="eastAsia"/>
          <w:sz w:val="24"/>
          <w:szCs w:val="24"/>
        </w:rPr>
        <w:t>上海东方证券资产管理有限公司（以下简称本公司）经与北京度小满基金销售有限公司协商一致，自2</w:t>
      </w:r>
      <w:r>
        <w:rPr>
          <w:rFonts w:ascii="宋体" w:hAnsi="宋体" w:cs="宋体"/>
          <w:sz w:val="24"/>
          <w:szCs w:val="24"/>
        </w:rPr>
        <w:t>02</w:t>
      </w:r>
      <w:r>
        <w:rPr>
          <w:rFonts w:ascii="宋体" w:hAnsi="宋体" w:cs="宋体" w:hint="eastAsia"/>
          <w:sz w:val="24"/>
          <w:szCs w:val="24"/>
        </w:rPr>
        <w:t>3年5月16日（含）起，下列基金增加北京度小满基金销售有限公司为代理销售机构</w:t>
      </w:r>
      <w:r>
        <w:rPr>
          <w:rFonts w:ascii="宋体" w:hAnsi="宋体" w:cs="宋体" w:hint="eastAsia"/>
          <w:b/>
          <w:sz w:val="24"/>
          <w:szCs w:val="24"/>
        </w:rPr>
        <w:t>：</w:t>
      </w:r>
    </w:p>
    <w:tbl>
      <w:tblPr>
        <w:tblW w:w="8900" w:type="dxa"/>
        <w:jc w:val="center"/>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9"/>
        <w:gridCol w:w="3238"/>
        <w:gridCol w:w="2485"/>
        <w:gridCol w:w="1243"/>
        <w:gridCol w:w="1315"/>
      </w:tblGrid>
      <w:tr w:rsidR="00B83F9A" w:rsidTr="009409B1">
        <w:trPr>
          <w:jc w:val="center"/>
        </w:trPr>
        <w:tc>
          <w:tcPr>
            <w:tcW w:w="619"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序号</w:t>
            </w:r>
          </w:p>
        </w:tc>
        <w:tc>
          <w:tcPr>
            <w:tcW w:w="3238"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基金名称</w:t>
            </w:r>
          </w:p>
        </w:tc>
        <w:tc>
          <w:tcPr>
            <w:tcW w:w="2485"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基金简称</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份额类别</w:t>
            </w:r>
          </w:p>
        </w:tc>
        <w:tc>
          <w:tcPr>
            <w:tcW w:w="1315"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基金代码</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东方红新动力灵活配置混合型证券投资基金</w:t>
            </w:r>
          </w:p>
        </w:tc>
        <w:tc>
          <w:tcPr>
            <w:tcW w:w="2485"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东方红新动力混合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017493</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2</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东方红优享红利沪港深灵活配置混合型证券投资基金</w:t>
            </w:r>
          </w:p>
        </w:tc>
        <w:tc>
          <w:tcPr>
            <w:tcW w:w="2485" w:type="dxa"/>
          </w:tcPr>
          <w:p w:rsidR="00B83F9A" w:rsidRDefault="00B83F9A">
            <w:pPr>
              <w:spacing w:beforeLines="50" w:line="360" w:lineRule="auto"/>
              <w:rPr>
                <w:rFonts w:ascii="宋体" w:hAnsi="宋体" w:cs="宋体"/>
                <w:sz w:val="24"/>
                <w:szCs w:val="24"/>
              </w:rPr>
            </w:pPr>
            <w:r>
              <w:rPr>
                <w:rFonts w:ascii="宋体" w:hAnsi="宋体" w:cs="宋体"/>
                <w:sz w:val="24"/>
                <w:szCs w:val="24"/>
              </w:rPr>
              <w:t>东方红优享红利混合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017536</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3</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东方红远见价值混合型证券投资基金</w:t>
            </w:r>
          </w:p>
        </w:tc>
        <w:tc>
          <w:tcPr>
            <w:tcW w:w="2485"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东方红远见价值混合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017537</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4</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东方红启瑞三年持有期混合型证券投资基金</w:t>
            </w:r>
          </w:p>
        </w:tc>
        <w:tc>
          <w:tcPr>
            <w:tcW w:w="2485"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东方红启瑞三年持有混合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B类份额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011312</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5</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东方红启元三年持有期混合型证券投资基金</w:t>
            </w:r>
          </w:p>
        </w:tc>
        <w:tc>
          <w:tcPr>
            <w:tcW w:w="2485"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东方红启元三年持有混合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B类份额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007887</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6</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东方红多元策略混合型证券投资基金</w:t>
            </w:r>
          </w:p>
        </w:tc>
        <w:tc>
          <w:tcPr>
            <w:tcW w:w="2485"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东方红多元策略混合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B类份额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010821</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7</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东方红多元策略混合型证券投资基金</w:t>
            </w:r>
          </w:p>
        </w:tc>
        <w:tc>
          <w:tcPr>
            <w:tcW w:w="2485"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东方红多元策略混合</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017494</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8</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东方红养老目标日期2045五年持有期混合型发起式基金中基金（FOF）</w:t>
            </w:r>
          </w:p>
        </w:tc>
        <w:tc>
          <w:tcPr>
            <w:tcW w:w="2485"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东方红养老目标2045五年持有混合发起（FOF）</w:t>
            </w:r>
          </w:p>
        </w:tc>
        <w:tc>
          <w:tcPr>
            <w:tcW w:w="124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016242</w:t>
            </w:r>
          </w:p>
        </w:tc>
      </w:tr>
      <w:tr w:rsidR="00B83F9A" w:rsidTr="009409B1">
        <w:trPr>
          <w:jc w:val="center"/>
        </w:trPr>
        <w:tc>
          <w:tcPr>
            <w:tcW w:w="619"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lastRenderedPageBreak/>
              <w:t>9</w:t>
            </w:r>
          </w:p>
        </w:tc>
        <w:tc>
          <w:tcPr>
            <w:tcW w:w="3238"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东方红益丰纯债债券型证券投资基金</w:t>
            </w:r>
          </w:p>
        </w:tc>
        <w:tc>
          <w:tcPr>
            <w:tcW w:w="2485"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东方红益丰纯债债券</w:t>
            </w:r>
          </w:p>
        </w:tc>
        <w:tc>
          <w:tcPr>
            <w:tcW w:w="124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A类份额</w:t>
            </w:r>
          </w:p>
        </w:tc>
        <w:tc>
          <w:tcPr>
            <w:tcW w:w="131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009670</w:t>
            </w:r>
          </w:p>
        </w:tc>
      </w:tr>
    </w:tbl>
    <w:p w:rsidR="00B83F9A" w:rsidRDefault="00B83F9A">
      <w:pPr>
        <w:spacing w:line="360" w:lineRule="auto"/>
        <w:ind w:firstLineChars="200" w:firstLine="480"/>
        <w:rPr>
          <w:rFonts w:ascii="宋体" w:hAnsi="宋体" w:cs="宋体"/>
          <w:sz w:val="24"/>
          <w:szCs w:val="24"/>
        </w:rPr>
      </w:pPr>
    </w:p>
    <w:p w:rsidR="00B83F9A" w:rsidRDefault="00B83F9A">
      <w:pPr>
        <w:numPr>
          <w:ilvl w:val="0"/>
          <w:numId w:val="1"/>
        </w:numPr>
        <w:spacing w:line="360" w:lineRule="auto"/>
        <w:ind w:firstLineChars="200" w:firstLine="482"/>
        <w:rPr>
          <w:rFonts w:ascii="宋体" w:hAnsi="宋体" w:cs="宋体"/>
          <w:b/>
          <w:sz w:val="24"/>
          <w:szCs w:val="24"/>
        </w:rPr>
      </w:pPr>
      <w:r>
        <w:rPr>
          <w:rFonts w:ascii="宋体" w:hAnsi="宋体" w:cs="宋体" w:hint="eastAsia"/>
          <w:b/>
          <w:sz w:val="24"/>
          <w:szCs w:val="24"/>
        </w:rPr>
        <w:t>开通定投业务</w:t>
      </w:r>
    </w:p>
    <w:p w:rsidR="00B83F9A" w:rsidRDefault="00B83F9A">
      <w:pPr>
        <w:spacing w:line="360" w:lineRule="auto"/>
        <w:ind w:firstLineChars="200" w:firstLine="480"/>
        <w:rPr>
          <w:rFonts w:ascii="宋体" w:hAnsi="宋体" w:cs="宋体" w:hint="eastAsia"/>
          <w:b/>
          <w:sz w:val="24"/>
          <w:szCs w:val="24"/>
        </w:rPr>
      </w:pPr>
      <w:r>
        <w:rPr>
          <w:rFonts w:ascii="宋体" w:hAnsi="宋体" w:cs="宋体" w:hint="eastAsia"/>
          <w:sz w:val="24"/>
          <w:szCs w:val="24"/>
        </w:rPr>
        <w:t>自2</w:t>
      </w:r>
      <w:r>
        <w:rPr>
          <w:rFonts w:ascii="宋体" w:hAnsi="宋体" w:cs="宋体"/>
          <w:sz w:val="24"/>
          <w:szCs w:val="24"/>
        </w:rPr>
        <w:t>02</w:t>
      </w:r>
      <w:r>
        <w:rPr>
          <w:rFonts w:ascii="宋体" w:hAnsi="宋体" w:cs="宋体" w:hint="eastAsia"/>
          <w:sz w:val="24"/>
          <w:szCs w:val="24"/>
        </w:rPr>
        <w:t>3年5月16日（含）起，下列基金开通在北京度小满基金销售有限公司的定期定额投资业务：</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3"/>
        <w:gridCol w:w="1791"/>
        <w:gridCol w:w="1463"/>
        <w:gridCol w:w="1193"/>
        <w:gridCol w:w="1184"/>
        <w:gridCol w:w="1144"/>
        <w:gridCol w:w="1144"/>
      </w:tblGrid>
      <w:tr w:rsidR="00B83F9A" w:rsidTr="009409B1">
        <w:trPr>
          <w:cantSplit/>
          <w:jc w:val="center"/>
        </w:trPr>
        <w:tc>
          <w:tcPr>
            <w:tcW w:w="603"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序号</w:t>
            </w:r>
          </w:p>
        </w:tc>
        <w:tc>
          <w:tcPr>
            <w:tcW w:w="1791"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基金名称</w:t>
            </w:r>
          </w:p>
        </w:tc>
        <w:tc>
          <w:tcPr>
            <w:tcW w:w="1463"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基金简称</w:t>
            </w:r>
          </w:p>
        </w:tc>
        <w:tc>
          <w:tcPr>
            <w:tcW w:w="1193"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份额类别</w:t>
            </w:r>
          </w:p>
        </w:tc>
        <w:tc>
          <w:tcPr>
            <w:tcW w:w="1184"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基金代码</w:t>
            </w:r>
          </w:p>
        </w:tc>
        <w:tc>
          <w:tcPr>
            <w:tcW w:w="1144"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定投起点金额</w:t>
            </w:r>
          </w:p>
        </w:tc>
        <w:tc>
          <w:tcPr>
            <w:tcW w:w="1144" w:type="dxa"/>
          </w:tcPr>
          <w:p w:rsidR="00B83F9A" w:rsidRDefault="00B83F9A">
            <w:pPr>
              <w:spacing w:line="360" w:lineRule="auto"/>
              <w:jc w:val="center"/>
              <w:rPr>
                <w:rFonts w:ascii="宋体" w:hAnsi="宋体" w:cs="宋体" w:hint="eastAsia"/>
                <w:sz w:val="24"/>
                <w:szCs w:val="24"/>
              </w:rPr>
            </w:pPr>
            <w:r>
              <w:rPr>
                <w:rFonts w:ascii="宋体" w:hAnsi="宋体" w:cs="宋体" w:hint="eastAsia"/>
                <w:sz w:val="24"/>
                <w:szCs w:val="24"/>
              </w:rPr>
              <w:t>是否有级差</w:t>
            </w: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东方红新动力灵活配置混合型证券投资基金</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东方红新动力混合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017493</w:t>
            </w:r>
          </w:p>
        </w:tc>
        <w:tc>
          <w:tcPr>
            <w:tcW w:w="1144" w:type="dxa"/>
            <w:vMerge w:val="restart"/>
          </w:tcPr>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hint="eastAsia"/>
                <w:sz w:val="24"/>
                <w:szCs w:val="24"/>
              </w:rPr>
            </w:pPr>
          </w:p>
          <w:p w:rsidR="00B83F9A" w:rsidRDefault="00B83F9A">
            <w:pPr>
              <w:spacing w:line="360" w:lineRule="auto"/>
              <w:jc w:val="center"/>
              <w:rPr>
                <w:rFonts w:ascii="宋体" w:hAnsi="宋体" w:cs="宋体"/>
                <w:sz w:val="24"/>
                <w:szCs w:val="24"/>
              </w:rPr>
            </w:pPr>
            <w:r>
              <w:rPr>
                <w:rFonts w:ascii="宋体" w:hAnsi="宋体" w:cs="宋体" w:hint="eastAsia"/>
                <w:sz w:val="24"/>
                <w:szCs w:val="24"/>
              </w:rPr>
              <w:t>1</w:t>
            </w:r>
            <w:r>
              <w:rPr>
                <w:rFonts w:ascii="宋体" w:hAnsi="宋体" w:cs="宋体"/>
                <w:sz w:val="24"/>
                <w:szCs w:val="24"/>
              </w:rPr>
              <w:t>0</w:t>
            </w:r>
            <w:r>
              <w:rPr>
                <w:rFonts w:ascii="宋体" w:hAnsi="宋体" w:cs="宋体" w:hint="eastAsia"/>
                <w:sz w:val="24"/>
                <w:szCs w:val="24"/>
              </w:rPr>
              <w:t>元</w:t>
            </w:r>
          </w:p>
        </w:tc>
        <w:tc>
          <w:tcPr>
            <w:tcW w:w="1144" w:type="dxa"/>
            <w:vMerge w:val="restart"/>
          </w:tcPr>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hint="eastAsia"/>
                <w:sz w:val="24"/>
                <w:szCs w:val="24"/>
              </w:rPr>
            </w:pPr>
          </w:p>
          <w:p w:rsidR="00B83F9A" w:rsidRDefault="00B83F9A">
            <w:pPr>
              <w:spacing w:line="360" w:lineRule="auto"/>
              <w:rPr>
                <w:rFonts w:ascii="宋体" w:hAnsi="宋体" w:cs="宋体"/>
                <w:sz w:val="24"/>
                <w:szCs w:val="24"/>
              </w:rPr>
            </w:pPr>
            <w:r>
              <w:rPr>
                <w:rFonts w:ascii="宋体" w:hAnsi="宋体" w:cs="宋体" w:hint="eastAsia"/>
                <w:sz w:val="24"/>
                <w:szCs w:val="24"/>
              </w:rPr>
              <w:t>无级差</w:t>
            </w: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2</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东方红优享红利沪港深灵活配置混合型证券投资基金</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sz w:val="24"/>
                <w:szCs w:val="24"/>
              </w:rPr>
              <w:t>东方红优享红利混合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017536</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3</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东方红远见价值混合型证券投资基金</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东方红远见价值混合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017537</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4</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东方红启瑞三年持有期混合型证券投资基金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东方红启瑞三年持有混合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B类份额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011312</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5</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东方红启元三年持有期混合型证券投资基金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东方红启元三年持有混合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B类份额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007887</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lastRenderedPageBreak/>
              <w:t>6</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东方红多元策略混合型证券投资基金</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东方红多元策略混合</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B类份额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010821</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7</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东方红多元策略混合型证券投资基金</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东方红多元策略混合</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017494</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8</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东方红养老目标日期2045五年持有期混合型发起式基金中基金（FOF）</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东方红养老目标2045五年持有混合发起（FOF）</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016242</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9</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东方红益丰纯债债券型证券投资基金</w:t>
            </w:r>
          </w:p>
        </w:tc>
        <w:tc>
          <w:tcPr>
            <w:tcW w:w="1463" w:type="dxa"/>
          </w:tcPr>
          <w:p w:rsidR="00B83F9A" w:rsidRDefault="00B83F9A">
            <w:pPr>
              <w:spacing w:beforeLines="50" w:line="360" w:lineRule="auto"/>
              <w:rPr>
                <w:rFonts w:ascii="宋体" w:hAnsi="宋体" w:cs="宋体" w:hint="eastAsia"/>
                <w:sz w:val="24"/>
                <w:szCs w:val="24"/>
              </w:rPr>
            </w:pPr>
            <w:r>
              <w:rPr>
                <w:rFonts w:ascii="宋体" w:hAnsi="宋体" w:cs="宋体" w:hint="eastAsia"/>
                <w:sz w:val="24"/>
                <w:szCs w:val="24"/>
              </w:rPr>
              <w:t>东方红益丰纯债债券</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A类份额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009670</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10</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东方红启华三年持有期混合型证券投资基金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东方红启华三年持有混合</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B类份额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011313</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11</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东方红智华三年持有期混合型证券投资基金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东方红智华三年持有混合</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A类份额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012839</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12</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东方红智华三年持有期混合型证券投资基金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东方红智华三年持有混合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012840</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13</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东方红欣和平衡配置两年持有期混合型基金中基金（FOF）</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东方红欣和平衡两年混合（FOF）</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011587</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14</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东方红锦融甄选18个月持有期混合型证券投资基金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东方红锦融甄选18个月持有混合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A类份额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014888</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15</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东方红锦融甄选18个月持有期混合型证券投资基金</w:t>
            </w:r>
          </w:p>
        </w:tc>
        <w:tc>
          <w:tcPr>
            <w:tcW w:w="1463" w:type="dxa"/>
          </w:tcPr>
          <w:p w:rsidR="00B83F9A" w:rsidRDefault="00B83F9A">
            <w:pPr>
              <w:spacing w:line="360" w:lineRule="auto"/>
              <w:rPr>
                <w:rFonts w:ascii="宋体" w:hAnsi="宋体" w:cs="宋体"/>
                <w:sz w:val="24"/>
                <w:szCs w:val="24"/>
              </w:rPr>
            </w:pPr>
            <w:r>
              <w:rPr>
                <w:rFonts w:ascii="宋体" w:hAnsi="宋体" w:cs="宋体" w:hint="eastAsia"/>
                <w:sz w:val="24"/>
                <w:szCs w:val="24"/>
              </w:rPr>
              <w:t>东方红锦融甄选18个月持有混合</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014889</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16</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东方红锦和甄选18个月持有期混合型证券投资基金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东方红锦和甄选18个月持有混合</w:t>
            </w:r>
          </w:p>
        </w:tc>
        <w:tc>
          <w:tcPr>
            <w:tcW w:w="119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A类份额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012088</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17</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东方红锦和甄选18个月持有期混合型证券投资基金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东方红锦和甄选18个月持有混合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012089</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18</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东方红优质甄选一年持有期混合型证券投资基金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东方红优质甄选一年持有混合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013785</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19</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东方红招瑞甄选18个月持有期混合型证券投资基金</w:t>
            </w:r>
          </w:p>
        </w:tc>
        <w:tc>
          <w:tcPr>
            <w:tcW w:w="1463" w:type="dxa"/>
          </w:tcPr>
          <w:p w:rsidR="00B83F9A" w:rsidRDefault="00B83F9A">
            <w:pPr>
              <w:spacing w:line="360" w:lineRule="auto"/>
              <w:rPr>
                <w:rFonts w:ascii="宋体" w:hAnsi="宋体" w:cs="宋体"/>
                <w:sz w:val="24"/>
                <w:szCs w:val="24"/>
              </w:rPr>
            </w:pPr>
            <w:r>
              <w:rPr>
                <w:rFonts w:ascii="宋体" w:hAnsi="宋体" w:cs="宋体" w:hint="eastAsia"/>
                <w:sz w:val="24"/>
                <w:szCs w:val="24"/>
              </w:rPr>
              <w:t>东方红招瑞甄选18个月持有混合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A类份额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012949</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r w:rsidR="00B83F9A" w:rsidTr="009409B1">
        <w:trPr>
          <w:cantSplit/>
          <w:jc w:val="center"/>
        </w:trPr>
        <w:tc>
          <w:tcPr>
            <w:tcW w:w="603"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20</w:t>
            </w:r>
          </w:p>
        </w:tc>
        <w:tc>
          <w:tcPr>
            <w:tcW w:w="1791"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东方红招瑞甄选18个月持有期混合型证券投资基金</w:t>
            </w:r>
          </w:p>
        </w:tc>
        <w:tc>
          <w:tcPr>
            <w:tcW w:w="1463" w:type="dxa"/>
          </w:tcPr>
          <w:p w:rsidR="00B83F9A" w:rsidRDefault="00B83F9A">
            <w:pPr>
              <w:spacing w:line="360" w:lineRule="auto"/>
              <w:rPr>
                <w:rFonts w:ascii="宋体" w:hAnsi="宋体" w:cs="宋体" w:hint="eastAsia"/>
                <w:sz w:val="24"/>
                <w:szCs w:val="24"/>
              </w:rPr>
            </w:pPr>
            <w:r>
              <w:rPr>
                <w:rFonts w:ascii="宋体" w:hAnsi="宋体" w:cs="宋体" w:hint="eastAsia"/>
                <w:sz w:val="24"/>
                <w:szCs w:val="24"/>
              </w:rPr>
              <w:t>东方红招瑞甄选18个月持有混合</w:t>
            </w:r>
          </w:p>
        </w:tc>
        <w:tc>
          <w:tcPr>
            <w:tcW w:w="1193" w:type="dxa"/>
          </w:tcPr>
          <w:p w:rsidR="00B83F9A" w:rsidRDefault="00B83F9A">
            <w:pPr>
              <w:spacing w:beforeLines="50" w:line="360" w:lineRule="auto"/>
              <w:jc w:val="center"/>
              <w:rPr>
                <w:rFonts w:ascii="宋体" w:hAnsi="宋体" w:cs="宋体" w:hint="eastAsia"/>
                <w:sz w:val="24"/>
                <w:szCs w:val="24"/>
              </w:rPr>
            </w:pPr>
            <w:r>
              <w:rPr>
                <w:rFonts w:ascii="宋体" w:hAnsi="宋体" w:cs="宋体" w:hint="eastAsia"/>
                <w:sz w:val="24"/>
                <w:szCs w:val="24"/>
              </w:rPr>
              <w:t>C类份额</w:t>
            </w:r>
          </w:p>
        </w:tc>
        <w:tc>
          <w:tcPr>
            <w:tcW w:w="1184"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012950</w:t>
            </w:r>
          </w:p>
        </w:tc>
        <w:tc>
          <w:tcPr>
            <w:tcW w:w="1144" w:type="dxa"/>
            <w:vMerge/>
          </w:tcPr>
          <w:p w:rsidR="00B83F9A" w:rsidRDefault="00B83F9A">
            <w:pPr>
              <w:spacing w:line="360" w:lineRule="auto"/>
              <w:rPr>
                <w:rFonts w:ascii="宋体" w:hAnsi="宋体" w:cs="宋体" w:hint="eastAsia"/>
                <w:sz w:val="24"/>
                <w:szCs w:val="24"/>
              </w:rPr>
            </w:pPr>
          </w:p>
        </w:tc>
        <w:tc>
          <w:tcPr>
            <w:tcW w:w="1144" w:type="dxa"/>
            <w:vMerge/>
          </w:tcPr>
          <w:p w:rsidR="00B83F9A" w:rsidRDefault="00B83F9A">
            <w:pPr>
              <w:spacing w:line="360" w:lineRule="auto"/>
              <w:rPr>
                <w:rFonts w:ascii="宋体" w:hAnsi="宋体" w:cs="宋体" w:hint="eastAsia"/>
                <w:sz w:val="24"/>
                <w:szCs w:val="24"/>
              </w:rPr>
            </w:pPr>
          </w:p>
        </w:tc>
      </w:tr>
    </w:tbl>
    <w:p w:rsidR="00B83F9A" w:rsidRDefault="00B83F9A">
      <w:pPr>
        <w:spacing w:line="360" w:lineRule="auto"/>
        <w:rPr>
          <w:rFonts w:ascii="宋体" w:hAnsi="宋体" w:cs="宋体" w:hint="eastAsia"/>
          <w:b/>
          <w:sz w:val="24"/>
          <w:szCs w:val="24"/>
        </w:rPr>
      </w:pPr>
    </w:p>
    <w:p w:rsidR="00B83F9A" w:rsidRDefault="00B83F9A">
      <w:pPr>
        <w:spacing w:line="360" w:lineRule="auto"/>
        <w:rPr>
          <w:rFonts w:ascii="宋体" w:hAnsi="宋体" w:cs="宋体" w:hint="eastAsia"/>
          <w:b/>
          <w:sz w:val="24"/>
          <w:szCs w:val="24"/>
        </w:rPr>
      </w:pPr>
    </w:p>
    <w:p w:rsidR="00B83F9A" w:rsidRDefault="00B83F9A">
      <w:pPr>
        <w:spacing w:line="360" w:lineRule="auto"/>
        <w:ind w:firstLineChars="200" w:firstLine="482"/>
        <w:rPr>
          <w:rFonts w:ascii="宋体" w:hAnsi="宋体" w:cs="宋体"/>
          <w:b/>
          <w:sz w:val="24"/>
          <w:szCs w:val="24"/>
        </w:rPr>
      </w:pPr>
      <w:r>
        <w:rPr>
          <w:rFonts w:ascii="宋体" w:hAnsi="宋体" w:cs="宋体" w:hint="eastAsia"/>
          <w:b/>
          <w:sz w:val="24"/>
          <w:szCs w:val="24"/>
        </w:rPr>
        <w:t>三、代销机构信息</w:t>
      </w:r>
    </w:p>
    <w:tbl>
      <w:tblPr>
        <w:tblW w:w="0" w:type="auto"/>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2835"/>
        <w:gridCol w:w="1985"/>
        <w:gridCol w:w="2885"/>
      </w:tblGrid>
      <w:tr w:rsidR="00B83F9A" w:rsidTr="009409B1">
        <w:trPr>
          <w:jc w:val="center"/>
        </w:trPr>
        <w:tc>
          <w:tcPr>
            <w:tcW w:w="817" w:type="dxa"/>
          </w:tcPr>
          <w:p w:rsidR="00B83F9A" w:rsidRDefault="00B83F9A">
            <w:pPr>
              <w:spacing w:line="360" w:lineRule="auto"/>
              <w:jc w:val="center"/>
              <w:rPr>
                <w:rFonts w:ascii="宋体" w:hAnsi="宋体" w:cs="宋体"/>
                <w:sz w:val="24"/>
                <w:szCs w:val="24"/>
              </w:rPr>
            </w:pPr>
            <w:r>
              <w:rPr>
                <w:rFonts w:ascii="宋体" w:hAnsi="宋体" w:cs="宋体" w:hint="eastAsia"/>
                <w:sz w:val="24"/>
                <w:szCs w:val="24"/>
              </w:rPr>
              <w:t>序号</w:t>
            </w:r>
          </w:p>
        </w:tc>
        <w:tc>
          <w:tcPr>
            <w:tcW w:w="2835" w:type="dxa"/>
          </w:tcPr>
          <w:p w:rsidR="00B83F9A" w:rsidRDefault="00B83F9A">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1985" w:type="dxa"/>
          </w:tcPr>
          <w:p w:rsidR="00B83F9A" w:rsidRDefault="00B83F9A">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2885" w:type="dxa"/>
          </w:tcPr>
          <w:p w:rsidR="00B83F9A" w:rsidRDefault="00B83F9A">
            <w:pPr>
              <w:spacing w:line="360" w:lineRule="auto"/>
              <w:jc w:val="center"/>
              <w:rPr>
                <w:rFonts w:ascii="宋体" w:hAnsi="宋体" w:cs="宋体"/>
                <w:sz w:val="24"/>
                <w:szCs w:val="24"/>
              </w:rPr>
            </w:pPr>
            <w:r>
              <w:rPr>
                <w:rFonts w:ascii="宋体" w:hAnsi="宋体" w:cs="宋体" w:hint="eastAsia"/>
                <w:sz w:val="24"/>
                <w:szCs w:val="24"/>
              </w:rPr>
              <w:t>公司网站</w:t>
            </w:r>
          </w:p>
        </w:tc>
      </w:tr>
      <w:tr w:rsidR="00B83F9A" w:rsidTr="009409B1">
        <w:trPr>
          <w:jc w:val="center"/>
        </w:trPr>
        <w:tc>
          <w:tcPr>
            <w:tcW w:w="817"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1</w:t>
            </w:r>
          </w:p>
        </w:tc>
        <w:tc>
          <w:tcPr>
            <w:tcW w:w="2835" w:type="dxa"/>
          </w:tcPr>
          <w:p w:rsidR="00B83F9A" w:rsidRDefault="00B83F9A">
            <w:pPr>
              <w:spacing w:beforeLines="50" w:line="360" w:lineRule="auto"/>
              <w:jc w:val="left"/>
              <w:rPr>
                <w:rFonts w:ascii="宋体" w:hAnsi="宋体" w:cs="宋体" w:hint="eastAsia"/>
                <w:sz w:val="24"/>
                <w:szCs w:val="24"/>
              </w:rPr>
            </w:pPr>
            <w:r>
              <w:rPr>
                <w:rFonts w:ascii="宋体" w:hAnsi="宋体" w:cs="宋体" w:hint="eastAsia"/>
                <w:sz w:val="24"/>
                <w:szCs w:val="24"/>
              </w:rPr>
              <w:t>北京度小满基金销售有限公司</w:t>
            </w:r>
          </w:p>
        </w:tc>
        <w:tc>
          <w:tcPr>
            <w:tcW w:w="198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95055</w:t>
            </w:r>
          </w:p>
        </w:tc>
        <w:tc>
          <w:tcPr>
            <w:tcW w:w="2885" w:type="dxa"/>
          </w:tcPr>
          <w:p w:rsidR="00B83F9A" w:rsidRDefault="00B83F9A">
            <w:pPr>
              <w:spacing w:beforeLines="50" w:line="360" w:lineRule="auto"/>
              <w:jc w:val="center"/>
              <w:rPr>
                <w:rFonts w:ascii="宋体" w:hAnsi="宋体" w:cs="宋体"/>
                <w:sz w:val="24"/>
                <w:szCs w:val="24"/>
              </w:rPr>
            </w:pPr>
            <w:r>
              <w:rPr>
                <w:rFonts w:ascii="宋体" w:hAnsi="宋体" w:cs="宋体" w:hint="eastAsia"/>
                <w:sz w:val="24"/>
                <w:szCs w:val="24"/>
              </w:rPr>
              <w:t>www.duxiaomanfund.com</w:t>
            </w:r>
          </w:p>
        </w:tc>
      </w:tr>
    </w:tbl>
    <w:p w:rsidR="00B83F9A" w:rsidRDefault="00B83F9A">
      <w:pPr>
        <w:spacing w:line="360" w:lineRule="auto"/>
        <w:outlineLvl w:val="0"/>
        <w:rPr>
          <w:rFonts w:ascii="宋体" w:hAnsi="宋体" w:cs="宋体" w:hint="eastAsia"/>
          <w:sz w:val="24"/>
          <w:szCs w:val="24"/>
        </w:rPr>
      </w:pPr>
    </w:p>
    <w:p w:rsidR="00B83F9A" w:rsidRDefault="00B83F9A">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四、业务类型</w:t>
      </w:r>
    </w:p>
    <w:p w:rsidR="00B83F9A" w:rsidRDefault="00B83F9A">
      <w:pPr>
        <w:spacing w:line="360" w:lineRule="auto"/>
        <w:ind w:firstLineChars="200" w:firstLine="480"/>
        <w:outlineLvl w:val="0"/>
        <w:rPr>
          <w:rFonts w:ascii="宋体" w:hAnsi="宋体" w:cs="宋体"/>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B83F9A" w:rsidRDefault="00B83F9A">
      <w:pPr>
        <w:spacing w:line="360" w:lineRule="auto"/>
        <w:ind w:firstLineChars="200" w:firstLine="480"/>
        <w:outlineLvl w:val="0"/>
        <w:rPr>
          <w:rFonts w:ascii="宋体" w:hAnsi="宋体" w:cs="宋体"/>
          <w:sz w:val="24"/>
          <w:szCs w:val="24"/>
        </w:rPr>
      </w:pPr>
      <w:r>
        <w:rPr>
          <w:rFonts w:ascii="宋体" w:hAnsi="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B83F9A" w:rsidRDefault="00B83F9A">
      <w:pPr>
        <w:spacing w:line="360" w:lineRule="auto"/>
        <w:ind w:firstLineChars="200" w:firstLine="482"/>
        <w:outlineLvl w:val="0"/>
        <w:rPr>
          <w:rFonts w:ascii="宋体" w:hAnsi="宋体" w:cs="宋体" w:hint="eastAsia"/>
          <w:b/>
          <w:sz w:val="24"/>
          <w:szCs w:val="24"/>
        </w:rPr>
      </w:pPr>
    </w:p>
    <w:p w:rsidR="00B83F9A" w:rsidRDefault="00B83F9A">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五、重要提示</w:t>
      </w:r>
    </w:p>
    <w:p w:rsidR="00B83F9A" w:rsidRDefault="00B83F9A">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hint="eastAsia"/>
          <w:sz w:val="24"/>
          <w:szCs w:val="24"/>
        </w:rPr>
        <w:t>关于相关基金的具体费率优惠活动解释权归销售机构所有。</w:t>
      </w:r>
    </w:p>
    <w:p w:rsidR="00B83F9A" w:rsidRDefault="00B83F9A">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w:t>
      </w:r>
      <w:r>
        <w:rPr>
          <w:rFonts w:ascii="宋体" w:hAnsi="宋体"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B83F9A" w:rsidRDefault="00B83F9A">
      <w:pPr>
        <w:widowControl/>
        <w:spacing w:line="360" w:lineRule="auto"/>
        <w:ind w:firstLineChars="200" w:firstLine="480"/>
        <w:rPr>
          <w:rFonts w:ascii="宋体" w:hAnsi="宋体" w:cs="宋体"/>
          <w:sz w:val="24"/>
          <w:szCs w:val="24"/>
        </w:rPr>
      </w:pPr>
    </w:p>
    <w:p w:rsidR="00B83F9A" w:rsidRDefault="00B83F9A">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B83F9A" w:rsidRDefault="00B83F9A">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B83F9A" w:rsidRDefault="00B83F9A">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2023年5月15日</w:t>
      </w:r>
    </w:p>
    <w:sectPr w:rsidR="00B83F9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9A" w:rsidRDefault="00B83F9A">
      <w:pPr>
        <w:rPr>
          <w:sz w:val="18"/>
        </w:rPr>
      </w:pPr>
    </w:p>
  </w:endnote>
  <w:endnote w:type="continuationSeparator" w:id="0">
    <w:p w:rsidR="00B83F9A" w:rsidRDefault="00B83F9A">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9A" w:rsidRDefault="00B83F9A">
      <w:pPr>
        <w:rPr>
          <w:sz w:val="18"/>
        </w:rPr>
      </w:pPr>
    </w:p>
  </w:footnote>
  <w:footnote w:type="continuationSeparator" w:id="0">
    <w:p w:rsidR="00B83F9A" w:rsidRDefault="00B83F9A">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7F91"/>
    <w:multiLevelType w:val="singleLevel"/>
    <w:tmpl w:val="1A2F7F9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9285E"/>
    <w:rsid w:val="00195318"/>
    <w:rsid w:val="001960E3"/>
    <w:rsid w:val="0019614E"/>
    <w:rsid w:val="001A32D9"/>
    <w:rsid w:val="001C120F"/>
    <w:rsid w:val="001D15A5"/>
    <w:rsid w:val="001E33EB"/>
    <w:rsid w:val="0020012B"/>
    <w:rsid w:val="002024FF"/>
    <w:rsid w:val="0020333B"/>
    <w:rsid w:val="00211D64"/>
    <w:rsid w:val="00221854"/>
    <w:rsid w:val="00223721"/>
    <w:rsid w:val="0023608D"/>
    <w:rsid w:val="00242C8B"/>
    <w:rsid w:val="00243B25"/>
    <w:rsid w:val="00253E02"/>
    <w:rsid w:val="0025528E"/>
    <w:rsid w:val="00260EF8"/>
    <w:rsid w:val="0027237D"/>
    <w:rsid w:val="002A654E"/>
    <w:rsid w:val="002B58D7"/>
    <w:rsid w:val="002C3562"/>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2D0E"/>
    <w:rsid w:val="004E3B0B"/>
    <w:rsid w:val="004E4527"/>
    <w:rsid w:val="004E7049"/>
    <w:rsid w:val="004F2722"/>
    <w:rsid w:val="004F41C6"/>
    <w:rsid w:val="004F59B9"/>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08D7"/>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5598"/>
    <w:rsid w:val="0073707A"/>
    <w:rsid w:val="00743430"/>
    <w:rsid w:val="00760218"/>
    <w:rsid w:val="0076050A"/>
    <w:rsid w:val="00771061"/>
    <w:rsid w:val="00782529"/>
    <w:rsid w:val="007851CB"/>
    <w:rsid w:val="007912B0"/>
    <w:rsid w:val="007A3B9F"/>
    <w:rsid w:val="007A7552"/>
    <w:rsid w:val="007C6C4A"/>
    <w:rsid w:val="007D3BC4"/>
    <w:rsid w:val="007E020A"/>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5E02"/>
    <w:rsid w:val="0089622C"/>
    <w:rsid w:val="008A52ED"/>
    <w:rsid w:val="008C2874"/>
    <w:rsid w:val="008E0854"/>
    <w:rsid w:val="008E4395"/>
    <w:rsid w:val="008E6DF8"/>
    <w:rsid w:val="008E798C"/>
    <w:rsid w:val="008E7C8A"/>
    <w:rsid w:val="008F06BF"/>
    <w:rsid w:val="009062E5"/>
    <w:rsid w:val="00906786"/>
    <w:rsid w:val="00912CD1"/>
    <w:rsid w:val="00934956"/>
    <w:rsid w:val="00934F62"/>
    <w:rsid w:val="009409B1"/>
    <w:rsid w:val="009414F6"/>
    <w:rsid w:val="00945A75"/>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8395E"/>
    <w:rsid w:val="00B83F9A"/>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966"/>
    <w:rsid w:val="00E729BF"/>
    <w:rsid w:val="00E83DC9"/>
    <w:rsid w:val="00E86C14"/>
    <w:rsid w:val="00E90C98"/>
    <w:rsid w:val="00E96F26"/>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56C7B89"/>
    <w:rsid w:val="05EE6933"/>
    <w:rsid w:val="15C613E3"/>
    <w:rsid w:val="1ABB5B47"/>
    <w:rsid w:val="1DEB79A2"/>
    <w:rsid w:val="1F9F2F99"/>
    <w:rsid w:val="1FB3348F"/>
    <w:rsid w:val="280D2061"/>
    <w:rsid w:val="2EDF4083"/>
    <w:rsid w:val="32A65066"/>
    <w:rsid w:val="39FC1167"/>
    <w:rsid w:val="3EC45E0D"/>
    <w:rsid w:val="4DBC36A4"/>
    <w:rsid w:val="55D43DDF"/>
    <w:rsid w:val="604F64F8"/>
    <w:rsid w:val="629244BE"/>
    <w:rsid w:val="64DD326A"/>
    <w:rsid w:val="652333F0"/>
    <w:rsid w:val="67CD2E07"/>
    <w:rsid w:val="697B4A9B"/>
    <w:rsid w:val="6A43058D"/>
    <w:rsid w:val="71DD2E21"/>
    <w:rsid w:val="720E5E4E"/>
    <w:rsid w:val="74F7640D"/>
    <w:rsid w:val="764C26F2"/>
    <w:rsid w:val="76E809BF"/>
    <w:rsid w:val="773E0EF4"/>
    <w:rsid w:val="7C746E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hAnsi="宋体" w:cs="宋体"/>
      <w:kern w:val="36"/>
      <w:sz w:val="24"/>
      <w:szCs w:val="24"/>
    </w:rPr>
  </w:style>
  <w:style w:type="paragraph" w:styleId="a3">
    <w:name w:val="annotation text"/>
    <w:basedOn w:val="a"/>
    <w:link w:val="a4"/>
    <w:uiPriority w:val="99"/>
    <w:unhideWhenUsed/>
    <w:pPr>
      <w:jc w:val="left"/>
    </w:pPr>
  </w:style>
  <w:style w:type="character" w:customStyle="1" w:styleId="a4">
    <w:name w:val="批注文字 字符"/>
    <w:link w:val="a3"/>
    <w:uiPriority w:val="99"/>
    <w:rPr>
      <w:kern w:val="2"/>
      <w:sz w:val="21"/>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uiPriority w:val="99"/>
    <w:unhideWhenUsed/>
    <w:rPr>
      <w:b/>
      <w:bCs/>
    </w:rPr>
  </w:style>
  <w:style w:type="character" w:customStyle="1" w:styleId="ab">
    <w:name w:val="批注主题 字符"/>
    <w:link w:val="aa"/>
    <w:uiPriority w:val="99"/>
    <w:semiHidden/>
    <w:rPr>
      <w:b/>
      <w:bCs/>
      <w:kern w:val="2"/>
      <w:sz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Pr>
      <w:i/>
      <w:iCs/>
    </w:rPr>
  </w:style>
  <w:style w:type="character" w:styleId="ae">
    <w:name w:val="Hyperlink"/>
    <w:uiPriority w:val="99"/>
    <w:unhideWhenUsed/>
    <w:rPr>
      <w:strike w:val="0"/>
      <w:dstrike w:val="0"/>
      <w:color w:val="0000FF"/>
      <w:u w:val="none"/>
    </w:rPr>
  </w:style>
  <w:style w:type="character" w:styleId="af">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f0">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f1">
    <w:name w:val="No Spacing"/>
    <w:uiPriority w:val="1"/>
    <w:qFormat/>
    <w:pPr>
      <w:widowControl w:val="0"/>
      <w:jc w:val="both"/>
    </w:pPr>
    <w:rPr>
      <w:kern w:val="2"/>
      <w:sz w:val="21"/>
    </w:rPr>
  </w:style>
  <w:style w:type="character" w:customStyle="1" w:styleId="af2">
    <w:name w:val="未处理的提及"/>
    <w:uiPriority w:val="99"/>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9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4</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2023-05-14T16:01:00Z</dcterms:created>
  <dcterms:modified xsi:type="dcterms:W3CDTF">2023-05-14T16:01:00Z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FD26255717C04CADB1BE497A78254FE2</vt:lpwstr>
  </property>
</Properties>
</file>