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076CB4">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w:t>
      </w:r>
      <w:r w:rsidR="00FD2870">
        <w:rPr>
          <w:rFonts w:ascii="黑体" w:eastAsia="黑体" w:hAnsi="黑体" w:cs="Arial" w:hint="eastAsia"/>
          <w:b/>
          <w:color w:val="000000"/>
          <w:kern w:val="0"/>
          <w:sz w:val="30"/>
          <w:szCs w:val="30"/>
        </w:rPr>
        <w:t>增加广东顺德农村商业银行股份有限公司为</w:t>
      </w:r>
      <w:bookmarkStart w:id="0" w:name="_GoBack"/>
      <w:bookmarkEnd w:id="0"/>
      <w:r w:rsidR="00F335EB">
        <w:rPr>
          <w:rFonts w:ascii="黑体" w:eastAsia="黑体" w:hAnsi="黑体" w:cs="Arial" w:hint="eastAsia"/>
          <w:b/>
          <w:color w:val="000000"/>
          <w:kern w:val="0"/>
          <w:sz w:val="30"/>
          <w:szCs w:val="30"/>
        </w:rPr>
        <w:t>销售</w:t>
      </w:r>
      <w:r>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Pr>
          <w:rFonts w:ascii="宋体" w:hAnsi="宋体" w:cs="Arial"/>
          <w:color w:val="000000" w:themeColor="text1"/>
          <w:kern w:val="0"/>
          <w:sz w:val="24"/>
          <w:szCs w:val="24"/>
        </w:rPr>
        <w:t>广东顺德农村商业银行股份有限公司</w:t>
      </w:r>
      <w:r>
        <w:rPr>
          <w:rFonts w:ascii="宋体" w:hAnsi="宋体" w:cs="Arial"/>
          <w:color w:val="000000"/>
          <w:kern w:val="0"/>
          <w:sz w:val="24"/>
          <w:szCs w:val="24"/>
        </w:rPr>
        <w:t>（以下简称“</w:t>
      </w:r>
      <w:r>
        <w:rPr>
          <w:rFonts w:ascii="宋体" w:hAnsi="宋体" w:cs="Arial"/>
          <w:color w:val="000000" w:themeColor="text1"/>
          <w:kern w:val="0"/>
          <w:sz w:val="24"/>
          <w:szCs w:val="24"/>
        </w:rPr>
        <w:t>顺德农商行</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2023年5月12日</w:t>
      </w:r>
      <w:r>
        <w:rPr>
          <w:rFonts w:ascii="宋体" w:hAnsi="宋体" w:cs="Arial" w:hint="eastAsia"/>
          <w:color w:val="000000"/>
          <w:kern w:val="0"/>
          <w:sz w:val="24"/>
          <w:szCs w:val="24"/>
        </w:rPr>
        <w:t>起，</w:t>
      </w:r>
      <w:r>
        <w:rPr>
          <w:rFonts w:ascii="宋体" w:hAnsi="宋体" w:cs="Arial"/>
          <w:color w:val="000000" w:themeColor="text1"/>
          <w:kern w:val="0"/>
          <w:sz w:val="24"/>
          <w:szCs w:val="24"/>
        </w:rPr>
        <w:t>顺德农商行</w:t>
      </w:r>
      <w:r>
        <w:rPr>
          <w:rFonts w:ascii="宋体" w:hAnsi="宋体" w:cs="Arial" w:hint="eastAsia"/>
          <w:color w:val="000000"/>
          <w:kern w:val="0"/>
          <w:sz w:val="24"/>
          <w:szCs w:val="24"/>
        </w:rPr>
        <w:t>将销售本公司旗下部分开放式证券投资基金。现将有关事项公告如下：</w:t>
      </w:r>
    </w:p>
    <w:p w:rsidR="005623FC" w:rsidRDefault="00076CB4" w:rsidP="004D7F8A">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164"/>
        <w:gridCol w:w="6780"/>
      </w:tblGrid>
      <w:tr w:rsidR="005623FC">
        <w:trPr>
          <w:trHeight w:val="285"/>
        </w:trPr>
        <w:tc>
          <w:tcPr>
            <w:tcW w:w="339" w:type="pct"/>
            <w:shd w:val="clear" w:color="auto" w:fill="auto"/>
            <w:noWrap/>
            <w:vAlign w:val="center"/>
          </w:tcPr>
          <w:p w:rsidR="005623FC" w:rsidRDefault="00076CB4">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683" w:type="pct"/>
            <w:shd w:val="clear" w:color="auto" w:fill="auto"/>
            <w:noWrap/>
            <w:vAlign w:val="center"/>
          </w:tcPr>
          <w:p w:rsidR="005623FC" w:rsidRDefault="00076CB4">
            <w:pPr>
              <w:widowControl/>
              <w:jc w:val="center"/>
              <w:rPr>
                <w:rFonts w:ascii="宋体" w:hAnsi="宋体" w:cs="宋体"/>
                <w:b/>
                <w:bCs/>
                <w:kern w:val="0"/>
                <w:sz w:val="22"/>
              </w:rPr>
            </w:pPr>
            <w:r>
              <w:rPr>
                <w:rFonts w:ascii="宋体" w:hAnsi="宋体" w:cs="宋体" w:hint="eastAsia"/>
                <w:b/>
                <w:bCs/>
                <w:kern w:val="0"/>
                <w:sz w:val="22"/>
              </w:rPr>
              <w:t>基金代码</w:t>
            </w:r>
          </w:p>
        </w:tc>
        <w:tc>
          <w:tcPr>
            <w:tcW w:w="3978" w:type="pct"/>
            <w:shd w:val="clear" w:color="auto" w:fill="auto"/>
            <w:noWrap/>
            <w:vAlign w:val="center"/>
          </w:tcPr>
          <w:p w:rsidR="005623FC" w:rsidRDefault="00076CB4">
            <w:pPr>
              <w:widowControl/>
              <w:jc w:val="center"/>
              <w:rPr>
                <w:rFonts w:ascii="宋体" w:hAnsi="宋体" w:cs="宋体"/>
                <w:b/>
                <w:bCs/>
                <w:kern w:val="0"/>
                <w:sz w:val="22"/>
              </w:rPr>
            </w:pPr>
            <w:r>
              <w:rPr>
                <w:rFonts w:ascii="宋体" w:hAnsi="宋体" w:cs="宋体" w:hint="eastAsia"/>
                <w:b/>
                <w:bCs/>
                <w:kern w:val="0"/>
                <w:sz w:val="22"/>
              </w:rPr>
              <w:t>基金名称</w:t>
            </w:r>
          </w:p>
        </w:tc>
      </w:tr>
      <w:tr w:rsidR="009441C1" w:rsidTr="005A2505">
        <w:trPr>
          <w:trHeight w:val="270"/>
        </w:trPr>
        <w:tc>
          <w:tcPr>
            <w:tcW w:w="339" w:type="pct"/>
            <w:shd w:val="clear" w:color="auto" w:fill="auto"/>
            <w:vAlign w:val="center"/>
          </w:tcPr>
          <w:p w:rsidR="009441C1" w:rsidRDefault="00F77288">
            <w:pPr>
              <w:jc w:val="center"/>
            </w:pPr>
            <w:r>
              <w:rPr>
                <w:rFonts w:ascii="宋体" w:hAnsi="宋体" w:cs="宋体"/>
                <w:color w:val="000000"/>
                <w:position w:val="-1"/>
              </w:rPr>
              <w:t>1</w:t>
            </w:r>
          </w:p>
        </w:tc>
        <w:tc>
          <w:tcPr>
            <w:tcW w:w="683" w:type="pct"/>
            <w:shd w:val="clear" w:color="auto" w:fill="auto"/>
            <w:vAlign w:val="center"/>
          </w:tcPr>
          <w:p w:rsidR="009441C1" w:rsidRDefault="00F77288">
            <w:pPr>
              <w:jc w:val="center"/>
            </w:pPr>
            <w:r>
              <w:rPr>
                <w:rFonts w:ascii="宋体" w:hAnsi="宋体" w:cs="宋体"/>
                <w:color w:val="000000"/>
                <w:position w:val="-1"/>
              </w:rPr>
              <w:t>005669</w:t>
            </w:r>
          </w:p>
        </w:tc>
        <w:tc>
          <w:tcPr>
            <w:tcW w:w="3978" w:type="pct"/>
            <w:shd w:val="clear" w:color="auto" w:fill="auto"/>
            <w:vAlign w:val="center"/>
          </w:tcPr>
          <w:p w:rsidR="009441C1" w:rsidRDefault="00F77288">
            <w:pPr>
              <w:jc w:val="center"/>
            </w:pPr>
            <w:r>
              <w:rPr>
                <w:rFonts w:ascii="宋体" w:hAnsi="宋体" w:cs="宋体"/>
                <w:color w:val="000000"/>
                <w:position w:val="-1"/>
              </w:rPr>
              <w:t>前海开源公用事业行业股票型证券投资基金</w:t>
            </w:r>
          </w:p>
        </w:tc>
      </w:tr>
      <w:tr w:rsidR="009441C1" w:rsidTr="005A2505">
        <w:trPr>
          <w:trHeight w:val="270"/>
        </w:trPr>
        <w:tc>
          <w:tcPr>
            <w:tcW w:w="339" w:type="pct"/>
            <w:shd w:val="clear" w:color="auto" w:fill="auto"/>
            <w:vAlign w:val="center"/>
          </w:tcPr>
          <w:p w:rsidR="009441C1" w:rsidRDefault="00F77288">
            <w:pPr>
              <w:jc w:val="center"/>
            </w:pPr>
            <w:r>
              <w:rPr>
                <w:rFonts w:ascii="宋体" w:hAnsi="宋体" w:cs="宋体"/>
                <w:color w:val="000000"/>
                <w:position w:val="-1"/>
              </w:rPr>
              <w:t>2</w:t>
            </w:r>
          </w:p>
        </w:tc>
        <w:tc>
          <w:tcPr>
            <w:tcW w:w="683" w:type="pct"/>
            <w:shd w:val="clear" w:color="auto" w:fill="auto"/>
            <w:vAlign w:val="center"/>
          </w:tcPr>
          <w:p w:rsidR="009441C1" w:rsidRDefault="005A2505">
            <w:pPr>
              <w:jc w:val="center"/>
            </w:pPr>
            <w:r>
              <w:rPr>
                <w:rFonts w:ascii="宋体" w:hAnsi="宋体" w:cs="宋体"/>
                <w:color w:val="000000"/>
                <w:position w:val="-1"/>
              </w:rPr>
              <w:t>005541</w:t>
            </w:r>
          </w:p>
        </w:tc>
        <w:tc>
          <w:tcPr>
            <w:tcW w:w="3978" w:type="pct"/>
            <w:shd w:val="clear" w:color="auto" w:fill="auto"/>
            <w:vAlign w:val="center"/>
          </w:tcPr>
          <w:p w:rsidR="009441C1" w:rsidRDefault="00F77288">
            <w:pPr>
              <w:jc w:val="center"/>
            </w:pPr>
            <w:r>
              <w:rPr>
                <w:rFonts w:ascii="宋体" w:hAnsi="宋体" w:cs="宋体"/>
                <w:color w:val="000000"/>
                <w:position w:val="-1"/>
              </w:rPr>
              <w:t>前海开源盛鑫灵活配置混合型证券投资基金</w:t>
            </w:r>
            <w:r w:rsidR="005A2505">
              <w:rPr>
                <w:rFonts w:ascii="宋体" w:hAnsi="宋体" w:cs="宋体" w:hint="eastAsia"/>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3</w:t>
            </w:r>
          </w:p>
        </w:tc>
        <w:tc>
          <w:tcPr>
            <w:tcW w:w="683" w:type="pct"/>
            <w:shd w:val="clear" w:color="auto" w:fill="auto"/>
            <w:vAlign w:val="center"/>
          </w:tcPr>
          <w:p w:rsidR="009441C1" w:rsidRDefault="00F77288">
            <w:pPr>
              <w:jc w:val="center"/>
            </w:pPr>
            <w:r>
              <w:rPr>
                <w:rFonts w:ascii="宋体" w:hAnsi="宋体" w:cs="宋体"/>
                <w:color w:val="000000"/>
                <w:position w:val="-1"/>
              </w:rPr>
              <w:t>005505</w:t>
            </w:r>
          </w:p>
        </w:tc>
        <w:tc>
          <w:tcPr>
            <w:tcW w:w="3978" w:type="pct"/>
            <w:shd w:val="clear" w:color="auto" w:fill="auto"/>
            <w:vAlign w:val="center"/>
          </w:tcPr>
          <w:p w:rsidR="009441C1" w:rsidRDefault="00F77288">
            <w:pPr>
              <w:jc w:val="center"/>
            </w:pPr>
            <w:r>
              <w:rPr>
                <w:rFonts w:ascii="宋体" w:hAnsi="宋体" w:cs="宋体"/>
                <w:color w:val="000000"/>
                <w:position w:val="-1"/>
              </w:rPr>
              <w:t>前海开源中药研究精选股票型发起式证券投资基金</w:t>
            </w:r>
            <w:r w:rsidR="005A2505">
              <w:rPr>
                <w:rFonts w:ascii="宋体" w:hAnsi="宋体" w:cs="宋体"/>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4</w:t>
            </w:r>
          </w:p>
        </w:tc>
        <w:tc>
          <w:tcPr>
            <w:tcW w:w="683" w:type="pct"/>
            <w:shd w:val="clear" w:color="auto" w:fill="auto"/>
            <w:vAlign w:val="center"/>
          </w:tcPr>
          <w:p w:rsidR="009441C1" w:rsidRDefault="00F77288">
            <w:pPr>
              <w:jc w:val="center"/>
            </w:pPr>
            <w:r>
              <w:rPr>
                <w:rFonts w:ascii="宋体" w:hAnsi="宋体" w:cs="宋体"/>
                <w:color w:val="000000"/>
                <w:position w:val="-1"/>
              </w:rPr>
              <w:t>005506</w:t>
            </w:r>
          </w:p>
        </w:tc>
        <w:tc>
          <w:tcPr>
            <w:tcW w:w="3978" w:type="pct"/>
            <w:shd w:val="clear" w:color="auto" w:fill="auto"/>
            <w:vAlign w:val="center"/>
          </w:tcPr>
          <w:p w:rsidR="009441C1" w:rsidRDefault="00F77288">
            <w:pPr>
              <w:jc w:val="center"/>
            </w:pPr>
            <w:r>
              <w:rPr>
                <w:rFonts w:ascii="宋体" w:hAnsi="宋体" w:cs="宋体"/>
                <w:color w:val="000000"/>
                <w:position w:val="-1"/>
              </w:rPr>
              <w:t>前海开源中药研究精选股票型发起式证券投资基金</w:t>
            </w:r>
            <w:r w:rsidR="005A2505">
              <w:rPr>
                <w:rFonts w:ascii="宋体" w:hAnsi="宋体" w:cs="宋体"/>
                <w:color w:val="000000"/>
                <w:position w:val="-1"/>
              </w:rPr>
              <w:t>C</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5</w:t>
            </w:r>
          </w:p>
        </w:tc>
        <w:tc>
          <w:tcPr>
            <w:tcW w:w="683" w:type="pct"/>
            <w:shd w:val="clear" w:color="auto" w:fill="auto"/>
            <w:vAlign w:val="center"/>
          </w:tcPr>
          <w:p w:rsidR="005A2505" w:rsidRPr="005A2505" w:rsidRDefault="005A2505" w:rsidP="005A2505">
            <w:pPr>
              <w:jc w:val="center"/>
              <w:rPr>
                <w:rFonts w:ascii="宋体" w:hAnsi="宋体" w:cs="宋体"/>
                <w:color w:val="000000"/>
                <w:position w:val="-1"/>
              </w:rPr>
            </w:pPr>
            <w:r>
              <w:rPr>
                <w:rFonts w:ascii="宋体" w:hAnsi="宋体" w:cs="宋体"/>
                <w:color w:val="000000"/>
                <w:position w:val="-1"/>
              </w:rPr>
              <w:t>004454</w:t>
            </w:r>
          </w:p>
        </w:tc>
        <w:tc>
          <w:tcPr>
            <w:tcW w:w="3978" w:type="pct"/>
            <w:shd w:val="clear" w:color="auto" w:fill="auto"/>
            <w:vAlign w:val="center"/>
          </w:tcPr>
          <w:p w:rsidR="009441C1" w:rsidRDefault="00F77288" w:rsidP="005A2505">
            <w:pPr>
              <w:jc w:val="center"/>
            </w:pPr>
            <w:r>
              <w:rPr>
                <w:rFonts w:ascii="宋体" w:hAnsi="宋体" w:cs="宋体"/>
                <w:color w:val="000000"/>
                <w:position w:val="-1"/>
              </w:rPr>
              <w:t>前海开源盈鑫灵活配置混合型证券投资基金</w:t>
            </w:r>
            <w:r w:rsidR="005A2505">
              <w:rPr>
                <w:rFonts w:ascii="宋体" w:hAnsi="宋体" w:cs="宋体"/>
                <w:color w:val="000000"/>
                <w:position w:val="-1"/>
              </w:rPr>
              <w:t>C</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6</w:t>
            </w:r>
          </w:p>
        </w:tc>
        <w:tc>
          <w:tcPr>
            <w:tcW w:w="683" w:type="pct"/>
            <w:shd w:val="clear" w:color="auto" w:fill="auto"/>
            <w:vAlign w:val="center"/>
          </w:tcPr>
          <w:p w:rsidR="009441C1" w:rsidRDefault="00F77288">
            <w:pPr>
              <w:jc w:val="center"/>
            </w:pPr>
            <w:r>
              <w:rPr>
                <w:rFonts w:ascii="宋体" w:hAnsi="宋体" w:cs="宋体"/>
                <w:color w:val="000000"/>
                <w:position w:val="-1"/>
              </w:rPr>
              <w:t>004369</w:t>
            </w:r>
          </w:p>
        </w:tc>
        <w:tc>
          <w:tcPr>
            <w:tcW w:w="3978" w:type="pct"/>
            <w:shd w:val="clear" w:color="auto" w:fill="auto"/>
            <w:vAlign w:val="center"/>
          </w:tcPr>
          <w:p w:rsidR="009441C1" w:rsidRDefault="00F77288">
            <w:pPr>
              <w:jc w:val="center"/>
            </w:pPr>
            <w:r>
              <w:rPr>
                <w:rFonts w:ascii="宋体" w:hAnsi="宋体" w:cs="宋体"/>
                <w:color w:val="000000"/>
                <w:position w:val="-1"/>
              </w:rPr>
              <w:t>前海开源聚财宝货币市场基金</w:t>
            </w:r>
            <w:r w:rsidR="005A2505">
              <w:rPr>
                <w:rFonts w:ascii="宋体" w:hAnsi="宋体" w:cs="宋体"/>
                <w:color w:val="000000"/>
                <w:position w:val="-1"/>
              </w:rPr>
              <w:t>B</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7</w:t>
            </w:r>
          </w:p>
        </w:tc>
        <w:tc>
          <w:tcPr>
            <w:tcW w:w="683" w:type="pct"/>
            <w:shd w:val="clear" w:color="auto" w:fill="auto"/>
            <w:vAlign w:val="center"/>
          </w:tcPr>
          <w:p w:rsidR="009441C1" w:rsidRDefault="00F77288">
            <w:pPr>
              <w:jc w:val="center"/>
            </w:pPr>
            <w:r>
              <w:rPr>
                <w:rFonts w:ascii="宋体" w:hAnsi="宋体" w:cs="宋体"/>
                <w:color w:val="000000"/>
                <w:position w:val="-1"/>
              </w:rPr>
              <w:t>007502</w:t>
            </w:r>
          </w:p>
        </w:tc>
        <w:tc>
          <w:tcPr>
            <w:tcW w:w="3978" w:type="pct"/>
            <w:shd w:val="clear" w:color="auto" w:fill="auto"/>
            <w:vAlign w:val="center"/>
          </w:tcPr>
          <w:p w:rsidR="009441C1" w:rsidRDefault="00F77288">
            <w:pPr>
              <w:jc w:val="center"/>
            </w:pPr>
            <w:r>
              <w:rPr>
                <w:rFonts w:ascii="宋体" w:hAnsi="宋体" w:cs="宋体"/>
                <w:color w:val="000000"/>
                <w:position w:val="-1"/>
              </w:rPr>
              <w:t>前海开源裕和混合型证券投资基金</w:t>
            </w:r>
            <w:r w:rsidR="005A2505">
              <w:rPr>
                <w:rFonts w:ascii="宋体" w:hAnsi="宋体" w:cs="宋体"/>
                <w:color w:val="000000"/>
                <w:position w:val="-1"/>
              </w:rPr>
              <w:t>C</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8</w:t>
            </w:r>
          </w:p>
        </w:tc>
        <w:tc>
          <w:tcPr>
            <w:tcW w:w="683" w:type="pct"/>
            <w:shd w:val="clear" w:color="auto" w:fill="auto"/>
            <w:vAlign w:val="center"/>
          </w:tcPr>
          <w:p w:rsidR="009441C1" w:rsidRDefault="00F77288">
            <w:pPr>
              <w:jc w:val="center"/>
            </w:pPr>
            <w:r>
              <w:rPr>
                <w:rFonts w:ascii="宋体" w:hAnsi="宋体" w:cs="宋体"/>
                <w:color w:val="000000"/>
                <w:position w:val="-1"/>
              </w:rPr>
              <w:t>004218</w:t>
            </w:r>
          </w:p>
        </w:tc>
        <w:tc>
          <w:tcPr>
            <w:tcW w:w="3978" w:type="pct"/>
            <w:shd w:val="clear" w:color="auto" w:fill="auto"/>
            <w:vAlign w:val="center"/>
          </w:tcPr>
          <w:p w:rsidR="009441C1" w:rsidRDefault="00F77288">
            <w:pPr>
              <w:jc w:val="center"/>
            </w:pPr>
            <w:r>
              <w:rPr>
                <w:rFonts w:ascii="宋体" w:hAnsi="宋体" w:cs="宋体"/>
                <w:color w:val="000000"/>
                <w:position w:val="-1"/>
              </w:rPr>
              <w:t>前海开源裕和混合型证券投资基金</w:t>
            </w:r>
            <w:r w:rsidR="005A2505">
              <w:rPr>
                <w:rFonts w:ascii="宋体" w:hAnsi="宋体" w:cs="宋体" w:hint="eastAsia"/>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9</w:t>
            </w:r>
          </w:p>
        </w:tc>
        <w:tc>
          <w:tcPr>
            <w:tcW w:w="683" w:type="pct"/>
            <w:shd w:val="clear" w:color="auto" w:fill="auto"/>
            <w:vAlign w:val="center"/>
          </w:tcPr>
          <w:p w:rsidR="009441C1" w:rsidRDefault="00F77288">
            <w:pPr>
              <w:jc w:val="center"/>
            </w:pPr>
            <w:r>
              <w:rPr>
                <w:rFonts w:ascii="宋体" w:hAnsi="宋体" w:cs="宋体"/>
                <w:color w:val="000000"/>
                <w:position w:val="-1"/>
              </w:rPr>
              <w:t>002662</w:t>
            </w:r>
          </w:p>
        </w:tc>
        <w:tc>
          <w:tcPr>
            <w:tcW w:w="3978" w:type="pct"/>
            <w:shd w:val="clear" w:color="auto" w:fill="auto"/>
            <w:vAlign w:val="center"/>
          </w:tcPr>
          <w:p w:rsidR="009441C1" w:rsidRDefault="00F77288">
            <w:pPr>
              <w:jc w:val="center"/>
            </w:pPr>
            <w:r>
              <w:rPr>
                <w:rFonts w:ascii="宋体" w:hAnsi="宋体" w:cs="宋体"/>
                <w:color w:val="000000"/>
                <w:position w:val="-1"/>
              </w:rPr>
              <w:t>前海开源沪港深大消费主题精选灵活配置混合型证券投资基金</w:t>
            </w:r>
            <w:r w:rsidR="005A2505">
              <w:rPr>
                <w:rFonts w:ascii="宋体" w:hAnsi="宋体" w:cs="宋体"/>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10</w:t>
            </w:r>
          </w:p>
        </w:tc>
        <w:tc>
          <w:tcPr>
            <w:tcW w:w="683" w:type="pct"/>
            <w:shd w:val="clear" w:color="auto" w:fill="auto"/>
            <w:vAlign w:val="center"/>
          </w:tcPr>
          <w:p w:rsidR="009441C1" w:rsidRDefault="00F77288">
            <w:pPr>
              <w:jc w:val="center"/>
            </w:pPr>
            <w:r>
              <w:rPr>
                <w:rFonts w:ascii="宋体" w:hAnsi="宋体" w:cs="宋体"/>
                <w:color w:val="000000"/>
                <w:position w:val="-1"/>
              </w:rPr>
              <w:t>002407</w:t>
            </w:r>
          </w:p>
        </w:tc>
        <w:tc>
          <w:tcPr>
            <w:tcW w:w="3978" w:type="pct"/>
            <w:shd w:val="clear" w:color="auto" w:fill="auto"/>
            <w:vAlign w:val="center"/>
          </w:tcPr>
          <w:p w:rsidR="009441C1" w:rsidRDefault="00F77288">
            <w:pPr>
              <w:jc w:val="center"/>
            </w:pPr>
            <w:r>
              <w:rPr>
                <w:rFonts w:ascii="宋体" w:hAnsi="宋体" w:cs="宋体"/>
                <w:color w:val="000000"/>
                <w:position w:val="-1"/>
              </w:rPr>
              <w:t>前海开源恒远灵活配置混合型证券投资基金</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11</w:t>
            </w:r>
          </w:p>
        </w:tc>
        <w:tc>
          <w:tcPr>
            <w:tcW w:w="683" w:type="pct"/>
            <w:shd w:val="clear" w:color="auto" w:fill="auto"/>
            <w:vAlign w:val="center"/>
          </w:tcPr>
          <w:p w:rsidR="009441C1" w:rsidRDefault="00F77288">
            <w:pPr>
              <w:jc w:val="center"/>
            </w:pPr>
            <w:r>
              <w:rPr>
                <w:rFonts w:ascii="宋体" w:hAnsi="宋体" w:cs="宋体"/>
                <w:color w:val="000000"/>
                <w:position w:val="-1"/>
              </w:rPr>
              <w:t>001901</w:t>
            </w:r>
          </w:p>
        </w:tc>
        <w:tc>
          <w:tcPr>
            <w:tcW w:w="3978" w:type="pct"/>
            <w:shd w:val="clear" w:color="auto" w:fill="auto"/>
            <w:vAlign w:val="center"/>
          </w:tcPr>
          <w:p w:rsidR="009441C1" w:rsidRDefault="00F77288">
            <w:pPr>
              <w:jc w:val="center"/>
            </w:pPr>
            <w:r>
              <w:rPr>
                <w:rFonts w:ascii="宋体" w:hAnsi="宋体" w:cs="宋体"/>
                <w:color w:val="000000"/>
                <w:position w:val="-1"/>
              </w:rPr>
              <w:t>前海开源沪港深隆鑫灵活配置混合型证券投资基金</w:t>
            </w:r>
            <w:r w:rsidR="005A2505">
              <w:rPr>
                <w:rFonts w:ascii="宋体" w:hAnsi="宋体" w:cs="宋体"/>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12</w:t>
            </w:r>
          </w:p>
        </w:tc>
        <w:tc>
          <w:tcPr>
            <w:tcW w:w="683" w:type="pct"/>
            <w:shd w:val="clear" w:color="auto" w:fill="auto"/>
            <w:vAlign w:val="center"/>
          </w:tcPr>
          <w:p w:rsidR="009441C1" w:rsidRDefault="00F77288">
            <w:pPr>
              <w:jc w:val="center"/>
            </w:pPr>
            <w:r>
              <w:rPr>
                <w:rFonts w:ascii="宋体" w:hAnsi="宋体" w:cs="宋体"/>
                <w:color w:val="000000"/>
                <w:position w:val="-1"/>
              </w:rPr>
              <w:t>001765</w:t>
            </w:r>
          </w:p>
        </w:tc>
        <w:tc>
          <w:tcPr>
            <w:tcW w:w="3978" w:type="pct"/>
            <w:shd w:val="clear" w:color="auto" w:fill="auto"/>
            <w:vAlign w:val="center"/>
          </w:tcPr>
          <w:p w:rsidR="009441C1" w:rsidRDefault="00F77288">
            <w:pPr>
              <w:jc w:val="center"/>
            </w:pPr>
            <w:r>
              <w:rPr>
                <w:rFonts w:ascii="宋体" w:hAnsi="宋体" w:cs="宋体"/>
                <w:color w:val="000000"/>
                <w:position w:val="-1"/>
              </w:rPr>
              <w:t>前海开源嘉鑫灵活配置混合型证券投资基金</w:t>
            </w:r>
            <w:r w:rsidR="005A2505">
              <w:rPr>
                <w:rFonts w:ascii="宋体" w:hAnsi="宋体" w:cs="宋体" w:hint="eastAsia"/>
                <w:color w:val="000000"/>
                <w:position w:val="-1"/>
              </w:rPr>
              <w:t>A</w:t>
            </w:r>
          </w:p>
        </w:tc>
      </w:tr>
      <w:tr w:rsidR="009441C1" w:rsidTr="005A2505">
        <w:trPr>
          <w:trHeight w:val="270"/>
        </w:trPr>
        <w:tc>
          <w:tcPr>
            <w:tcW w:w="339" w:type="pct"/>
            <w:shd w:val="clear" w:color="auto" w:fill="auto"/>
            <w:vAlign w:val="center"/>
          </w:tcPr>
          <w:p w:rsidR="009441C1" w:rsidRDefault="005A2505" w:rsidP="005A2505">
            <w:pPr>
              <w:jc w:val="center"/>
            </w:pPr>
            <w:r>
              <w:rPr>
                <w:rFonts w:ascii="宋体" w:hAnsi="宋体" w:cs="宋体"/>
                <w:color w:val="000000"/>
                <w:position w:val="-1"/>
              </w:rPr>
              <w:t>13</w:t>
            </w:r>
          </w:p>
        </w:tc>
        <w:tc>
          <w:tcPr>
            <w:tcW w:w="683" w:type="pct"/>
            <w:shd w:val="clear" w:color="auto" w:fill="auto"/>
            <w:vAlign w:val="center"/>
          </w:tcPr>
          <w:p w:rsidR="009441C1" w:rsidRDefault="00F77288">
            <w:pPr>
              <w:jc w:val="center"/>
            </w:pPr>
            <w:r>
              <w:rPr>
                <w:rFonts w:ascii="宋体" w:hAnsi="宋体" w:cs="宋体"/>
                <w:color w:val="000000"/>
                <w:position w:val="-1"/>
              </w:rPr>
              <w:t>001302</w:t>
            </w:r>
          </w:p>
        </w:tc>
        <w:tc>
          <w:tcPr>
            <w:tcW w:w="3978" w:type="pct"/>
            <w:shd w:val="clear" w:color="auto" w:fill="auto"/>
            <w:vAlign w:val="center"/>
          </w:tcPr>
          <w:p w:rsidR="009441C1" w:rsidRDefault="00F77288">
            <w:pPr>
              <w:jc w:val="center"/>
            </w:pPr>
            <w:r>
              <w:rPr>
                <w:rFonts w:ascii="宋体" w:hAnsi="宋体" w:cs="宋体"/>
                <w:color w:val="000000"/>
                <w:position w:val="-1"/>
              </w:rPr>
              <w:t>前海开源金银珠宝主题精选灵活配置混合型证券投资基金</w:t>
            </w:r>
            <w:r w:rsidR="005A2505">
              <w:rPr>
                <w:rFonts w:ascii="宋体" w:hAnsi="宋体" w:cs="宋体" w:hint="eastAsia"/>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14</w:t>
            </w:r>
          </w:p>
        </w:tc>
        <w:tc>
          <w:tcPr>
            <w:tcW w:w="683" w:type="pct"/>
            <w:shd w:val="clear" w:color="auto" w:fill="auto"/>
            <w:vAlign w:val="center"/>
          </w:tcPr>
          <w:p w:rsidR="009441C1" w:rsidRDefault="00F77288">
            <w:pPr>
              <w:jc w:val="center"/>
            </w:pPr>
            <w:r>
              <w:rPr>
                <w:rFonts w:ascii="宋体" w:hAnsi="宋体" w:cs="宋体"/>
                <w:color w:val="000000"/>
                <w:position w:val="-1"/>
              </w:rPr>
              <w:t>001278</w:t>
            </w:r>
          </w:p>
        </w:tc>
        <w:tc>
          <w:tcPr>
            <w:tcW w:w="3978" w:type="pct"/>
            <w:shd w:val="clear" w:color="auto" w:fill="auto"/>
            <w:vAlign w:val="center"/>
          </w:tcPr>
          <w:p w:rsidR="009441C1" w:rsidRDefault="00F77288">
            <w:pPr>
              <w:jc w:val="center"/>
            </w:pPr>
            <w:r>
              <w:rPr>
                <w:rFonts w:ascii="宋体" w:hAnsi="宋体" w:cs="宋体"/>
                <w:color w:val="000000"/>
                <w:position w:val="-1"/>
              </w:rPr>
              <w:t>前海开源清洁能源主题精选灵活配置混合型证券投资基金</w:t>
            </w:r>
            <w:r w:rsidR="005A2505">
              <w:rPr>
                <w:rFonts w:ascii="宋体" w:hAnsi="宋体" w:cs="宋体" w:hint="eastAsia"/>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15</w:t>
            </w:r>
          </w:p>
        </w:tc>
        <w:tc>
          <w:tcPr>
            <w:tcW w:w="683" w:type="pct"/>
            <w:shd w:val="clear" w:color="auto" w:fill="auto"/>
            <w:vAlign w:val="center"/>
          </w:tcPr>
          <w:p w:rsidR="009441C1" w:rsidRDefault="00F77288">
            <w:pPr>
              <w:jc w:val="center"/>
            </w:pPr>
            <w:r>
              <w:rPr>
                <w:rFonts w:ascii="宋体" w:hAnsi="宋体" w:cs="宋体"/>
                <w:color w:val="000000"/>
                <w:position w:val="-1"/>
              </w:rPr>
              <w:t>001178</w:t>
            </w:r>
          </w:p>
        </w:tc>
        <w:tc>
          <w:tcPr>
            <w:tcW w:w="3978" w:type="pct"/>
            <w:shd w:val="clear" w:color="auto" w:fill="auto"/>
            <w:vAlign w:val="center"/>
          </w:tcPr>
          <w:p w:rsidR="009441C1" w:rsidRDefault="00F77288">
            <w:pPr>
              <w:jc w:val="center"/>
            </w:pPr>
            <w:r>
              <w:rPr>
                <w:rFonts w:ascii="宋体" w:hAnsi="宋体" w:cs="宋体"/>
                <w:color w:val="000000"/>
                <w:position w:val="-1"/>
              </w:rPr>
              <w:t>前海开源再融资主题精选股票型证券投资基金</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16</w:t>
            </w:r>
          </w:p>
        </w:tc>
        <w:tc>
          <w:tcPr>
            <w:tcW w:w="683" w:type="pct"/>
            <w:shd w:val="clear" w:color="auto" w:fill="auto"/>
            <w:vAlign w:val="center"/>
          </w:tcPr>
          <w:p w:rsidR="009441C1" w:rsidRDefault="00F77288">
            <w:pPr>
              <w:jc w:val="center"/>
            </w:pPr>
            <w:r>
              <w:rPr>
                <w:rFonts w:ascii="宋体" w:hAnsi="宋体" w:cs="宋体"/>
                <w:color w:val="000000"/>
                <w:position w:val="-1"/>
              </w:rPr>
              <w:t>001103</w:t>
            </w:r>
          </w:p>
        </w:tc>
        <w:tc>
          <w:tcPr>
            <w:tcW w:w="3978" w:type="pct"/>
            <w:shd w:val="clear" w:color="auto" w:fill="auto"/>
            <w:vAlign w:val="center"/>
          </w:tcPr>
          <w:p w:rsidR="009441C1" w:rsidRDefault="00F77288">
            <w:pPr>
              <w:jc w:val="center"/>
            </w:pPr>
            <w:r>
              <w:rPr>
                <w:rFonts w:ascii="宋体" w:hAnsi="宋体" w:cs="宋体"/>
                <w:color w:val="000000"/>
                <w:position w:val="-1"/>
              </w:rPr>
              <w:t>前海开源工业革命4.0灵活配置混合型证券投资基金</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17</w:t>
            </w:r>
          </w:p>
        </w:tc>
        <w:tc>
          <w:tcPr>
            <w:tcW w:w="683" w:type="pct"/>
            <w:shd w:val="clear" w:color="auto" w:fill="auto"/>
            <w:vAlign w:val="center"/>
          </w:tcPr>
          <w:p w:rsidR="009441C1" w:rsidRDefault="00F77288">
            <w:pPr>
              <w:jc w:val="center"/>
            </w:pPr>
            <w:r>
              <w:rPr>
                <w:rFonts w:ascii="宋体" w:hAnsi="宋体" w:cs="宋体"/>
                <w:color w:val="000000"/>
                <w:position w:val="-1"/>
              </w:rPr>
              <w:t>001027</w:t>
            </w:r>
          </w:p>
        </w:tc>
        <w:tc>
          <w:tcPr>
            <w:tcW w:w="3978" w:type="pct"/>
            <w:shd w:val="clear" w:color="auto" w:fill="auto"/>
            <w:vAlign w:val="center"/>
          </w:tcPr>
          <w:p w:rsidR="009441C1" w:rsidRDefault="00F77288">
            <w:pPr>
              <w:jc w:val="center"/>
            </w:pPr>
            <w:r>
              <w:rPr>
                <w:rFonts w:ascii="宋体" w:hAnsi="宋体" w:cs="宋体"/>
                <w:color w:val="000000"/>
                <w:position w:val="-1"/>
              </w:rPr>
              <w:t>前海开源中证大农业指数增强型证券投资基金</w:t>
            </w:r>
            <w:r w:rsidR="005A2505">
              <w:rPr>
                <w:rFonts w:ascii="宋体" w:hAnsi="宋体" w:cs="宋体" w:hint="eastAsia"/>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18</w:t>
            </w:r>
          </w:p>
        </w:tc>
        <w:tc>
          <w:tcPr>
            <w:tcW w:w="683" w:type="pct"/>
            <w:shd w:val="clear" w:color="auto" w:fill="auto"/>
            <w:vAlign w:val="center"/>
          </w:tcPr>
          <w:p w:rsidR="009441C1" w:rsidRDefault="00F77288">
            <w:pPr>
              <w:jc w:val="center"/>
            </w:pPr>
            <w:r>
              <w:rPr>
                <w:rFonts w:ascii="宋体" w:hAnsi="宋体" w:cs="宋体"/>
                <w:color w:val="000000"/>
                <w:position w:val="-1"/>
              </w:rPr>
              <w:t>000916</w:t>
            </w:r>
          </w:p>
        </w:tc>
        <w:tc>
          <w:tcPr>
            <w:tcW w:w="3978" w:type="pct"/>
            <w:shd w:val="clear" w:color="auto" w:fill="auto"/>
            <w:vAlign w:val="center"/>
          </w:tcPr>
          <w:p w:rsidR="009441C1" w:rsidRDefault="00F77288">
            <w:pPr>
              <w:jc w:val="center"/>
            </w:pPr>
            <w:r>
              <w:rPr>
                <w:rFonts w:ascii="宋体" w:hAnsi="宋体" w:cs="宋体"/>
                <w:color w:val="000000"/>
                <w:position w:val="-1"/>
              </w:rPr>
              <w:t>前海开源股息率100强等权重股票型证券投资基金</w:t>
            </w:r>
          </w:p>
        </w:tc>
      </w:tr>
      <w:tr w:rsidR="009441C1" w:rsidTr="005A2505">
        <w:trPr>
          <w:trHeight w:val="270"/>
        </w:trPr>
        <w:tc>
          <w:tcPr>
            <w:tcW w:w="339" w:type="pct"/>
            <w:shd w:val="clear" w:color="auto" w:fill="auto"/>
            <w:vAlign w:val="center"/>
          </w:tcPr>
          <w:p w:rsidR="009441C1" w:rsidRDefault="005A2505">
            <w:pPr>
              <w:jc w:val="center"/>
            </w:pPr>
            <w:r w:rsidRPr="005A2505">
              <w:rPr>
                <w:rFonts w:ascii="宋体" w:hAnsi="宋体" w:cs="宋体" w:hint="eastAsia"/>
                <w:color w:val="000000"/>
                <w:position w:val="-1"/>
              </w:rPr>
              <w:t>1</w:t>
            </w:r>
            <w:r w:rsidRPr="005A2505">
              <w:rPr>
                <w:rFonts w:ascii="宋体" w:hAnsi="宋体" w:cs="宋体"/>
                <w:color w:val="000000"/>
                <w:position w:val="-1"/>
              </w:rPr>
              <w:t>9</w:t>
            </w:r>
          </w:p>
        </w:tc>
        <w:tc>
          <w:tcPr>
            <w:tcW w:w="683" w:type="pct"/>
            <w:shd w:val="clear" w:color="auto" w:fill="auto"/>
            <w:vAlign w:val="center"/>
          </w:tcPr>
          <w:p w:rsidR="009441C1" w:rsidRDefault="00F77288">
            <w:pPr>
              <w:jc w:val="center"/>
            </w:pPr>
            <w:r>
              <w:rPr>
                <w:rFonts w:ascii="宋体" w:hAnsi="宋体" w:cs="宋体"/>
                <w:color w:val="000000"/>
                <w:position w:val="-1"/>
              </w:rPr>
              <w:t>000689</w:t>
            </w:r>
          </w:p>
        </w:tc>
        <w:tc>
          <w:tcPr>
            <w:tcW w:w="3978" w:type="pct"/>
            <w:shd w:val="clear" w:color="auto" w:fill="auto"/>
            <w:vAlign w:val="center"/>
          </w:tcPr>
          <w:p w:rsidR="009441C1" w:rsidRDefault="00F77288">
            <w:pPr>
              <w:jc w:val="center"/>
            </w:pPr>
            <w:r>
              <w:rPr>
                <w:rFonts w:ascii="宋体" w:hAnsi="宋体" w:cs="宋体"/>
                <w:color w:val="000000"/>
                <w:position w:val="-1"/>
              </w:rPr>
              <w:t>前海开源新经济灵活配置混合型证券投资基金</w:t>
            </w:r>
            <w:r w:rsidR="00F335EB">
              <w:rPr>
                <w:rFonts w:ascii="宋体" w:hAnsi="宋体" w:cs="宋体" w:hint="eastAsia"/>
                <w:color w:val="000000"/>
                <w:position w:val="-1"/>
              </w:rPr>
              <w:t>A</w:t>
            </w:r>
          </w:p>
        </w:tc>
      </w:tr>
      <w:tr w:rsidR="009441C1" w:rsidTr="005A2505">
        <w:trPr>
          <w:trHeight w:val="270"/>
        </w:trPr>
        <w:tc>
          <w:tcPr>
            <w:tcW w:w="339" w:type="pct"/>
            <w:shd w:val="clear" w:color="auto" w:fill="auto"/>
            <w:vAlign w:val="center"/>
          </w:tcPr>
          <w:p w:rsidR="009441C1" w:rsidRDefault="005A2505">
            <w:pPr>
              <w:jc w:val="center"/>
            </w:pPr>
            <w:r>
              <w:rPr>
                <w:rFonts w:ascii="宋体" w:hAnsi="宋体" w:cs="宋体"/>
                <w:color w:val="000000"/>
                <w:position w:val="-1"/>
              </w:rPr>
              <w:t>20</w:t>
            </w:r>
          </w:p>
        </w:tc>
        <w:tc>
          <w:tcPr>
            <w:tcW w:w="683" w:type="pct"/>
            <w:shd w:val="clear" w:color="auto" w:fill="auto"/>
            <w:vAlign w:val="center"/>
          </w:tcPr>
          <w:p w:rsidR="009441C1" w:rsidRDefault="00F77288">
            <w:pPr>
              <w:jc w:val="center"/>
            </w:pPr>
            <w:r>
              <w:rPr>
                <w:rFonts w:ascii="宋体" w:hAnsi="宋体" w:cs="宋体"/>
                <w:color w:val="000000"/>
                <w:position w:val="-1"/>
              </w:rPr>
              <w:t>000536</w:t>
            </w:r>
          </w:p>
        </w:tc>
        <w:tc>
          <w:tcPr>
            <w:tcW w:w="3978" w:type="pct"/>
            <w:shd w:val="clear" w:color="auto" w:fill="auto"/>
            <w:vAlign w:val="center"/>
          </w:tcPr>
          <w:p w:rsidR="009441C1" w:rsidRDefault="00F77288">
            <w:pPr>
              <w:jc w:val="center"/>
            </w:pPr>
            <w:r>
              <w:rPr>
                <w:rFonts w:ascii="宋体" w:hAnsi="宋体" w:cs="宋体"/>
                <w:color w:val="000000"/>
                <w:position w:val="-1"/>
              </w:rPr>
              <w:t>前海开源可转债债券型发起式证券投资基金</w:t>
            </w:r>
          </w:p>
        </w:tc>
      </w:tr>
    </w:tbl>
    <w:p w:rsidR="005623FC" w:rsidRDefault="00076CB4" w:rsidP="00BD1D30">
      <w:pPr>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Pr>
          <w:rFonts w:ascii="宋体" w:hAnsi="宋体" w:cs="Arial"/>
          <w:color w:val="000000" w:themeColor="text1"/>
          <w:kern w:val="0"/>
          <w:sz w:val="24"/>
          <w:szCs w:val="24"/>
        </w:rPr>
        <w:t>2023年5月12日</w:t>
      </w:r>
      <w:r>
        <w:rPr>
          <w:rFonts w:ascii="宋体" w:hAnsi="宋体" w:cs="Arial"/>
          <w:color w:val="000000"/>
          <w:kern w:val="0"/>
          <w:sz w:val="24"/>
          <w:szCs w:val="24"/>
        </w:rPr>
        <w:t>起，投资者可通过</w:t>
      </w:r>
      <w:r w:rsidR="00A90BFC">
        <w:rPr>
          <w:rFonts w:ascii="宋体" w:hAnsi="宋体" w:cs="Arial"/>
          <w:color w:val="000000" w:themeColor="text1"/>
          <w:kern w:val="0"/>
          <w:sz w:val="24"/>
          <w:szCs w:val="24"/>
        </w:rPr>
        <w:t>顺德农商行</w:t>
      </w:r>
      <w:r>
        <w:rPr>
          <w:rFonts w:ascii="宋体" w:hAnsi="宋体" w:cs="Arial"/>
          <w:color w:val="000000"/>
          <w:kern w:val="0"/>
          <w:sz w:val="24"/>
          <w:szCs w:val="24"/>
        </w:rPr>
        <w:t>办理上述适用基金的申购、</w:t>
      </w:r>
      <w:r>
        <w:rPr>
          <w:rFonts w:ascii="宋体" w:hAnsi="宋体" w:cs="Arial" w:hint="eastAsia"/>
          <w:color w:val="000000"/>
          <w:kern w:val="0"/>
          <w:sz w:val="24"/>
          <w:szCs w:val="24"/>
        </w:rPr>
        <w:t>定期定额投资（</w:t>
      </w:r>
      <w:r>
        <w:rPr>
          <w:rFonts w:ascii="宋体" w:hAnsi="宋体" w:cs="Arial"/>
          <w:color w:val="000000"/>
          <w:kern w:val="0"/>
          <w:sz w:val="24"/>
          <w:szCs w:val="24"/>
        </w:rPr>
        <w:t>以下简称“</w:t>
      </w:r>
      <w:r>
        <w:rPr>
          <w:rFonts w:ascii="宋体" w:hAnsi="宋体" w:cs="Arial" w:hint="eastAsia"/>
          <w:color w:val="000000"/>
          <w:kern w:val="0"/>
          <w:sz w:val="24"/>
          <w:szCs w:val="24"/>
        </w:rPr>
        <w:t>定投</w:t>
      </w:r>
      <w:r>
        <w:rPr>
          <w:rFonts w:ascii="宋体" w:hAnsi="宋体" w:cs="Arial"/>
          <w:color w:val="000000"/>
          <w:kern w:val="0"/>
          <w:sz w:val="24"/>
          <w:szCs w:val="24"/>
        </w:rPr>
        <w:t>”</w:t>
      </w:r>
      <w:r>
        <w:rPr>
          <w:rFonts w:ascii="宋体" w:hAnsi="宋体" w:cs="Arial" w:hint="eastAsia"/>
          <w:color w:val="000000"/>
          <w:kern w:val="0"/>
          <w:sz w:val="24"/>
          <w:szCs w:val="24"/>
        </w:rPr>
        <w:t>）、</w:t>
      </w:r>
      <w:r>
        <w:rPr>
          <w:rFonts w:ascii="宋体" w:hAnsi="宋体" w:cs="Arial"/>
          <w:color w:val="000000"/>
          <w:kern w:val="0"/>
          <w:sz w:val="24"/>
          <w:szCs w:val="24"/>
        </w:rPr>
        <w:t>赎回、</w:t>
      </w:r>
      <w:r>
        <w:rPr>
          <w:rFonts w:ascii="宋体" w:hAnsi="宋体" w:cs="Arial" w:hint="eastAsia"/>
          <w:color w:val="000000"/>
          <w:kern w:val="0"/>
          <w:sz w:val="24"/>
          <w:szCs w:val="24"/>
        </w:rPr>
        <w:t>转换等业务，业务开始或结束办理的具体时间及具体程序、规则以</w:t>
      </w:r>
      <w:r w:rsidR="00A90BFC">
        <w:rPr>
          <w:rFonts w:ascii="宋体" w:hAnsi="宋体" w:cs="Arial"/>
          <w:color w:val="000000" w:themeColor="text1"/>
          <w:kern w:val="0"/>
          <w:sz w:val="24"/>
          <w:szCs w:val="24"/>
        </w:rPr>
        <w:t>顺德农商行</w:t>
      </w:r>
      <w:r>
        <w:rPr>
          <w:rFonts w:ascii="宋体" w:hAnsi="宋体" w:cs="Arial" w:hint="eastAsia"/>
          <w:color w:val="000000"/>
          <w:kern w:val="0"/>
          <w:sz w:val="24"/>
          <w:szCs w:val="24"/>
        </w:rPr>
        <w:t>的有关规定为准。</w:t>
      </w:r>
    </w:p>
    <w:p w:rsidR="005623FC" w:rsidRDefault="00076CB4" w:rsidP="004D7F8A">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投资者通过</w:t>
      </w:r>
      <w:r>
        <w:rPr>
          <w:rFonts w:ascii="宋体" w:hAnsi="宋体" w:cs="Arial"/>
          <w:color w:val="000000" w:themeColor="text1"/>
          <w:kern w:val="0"/>
          <w:sz w:val="24"/>
          <w:szCs w:val="24"/>
        </w:rPr>
        <w:t>顺德农商行</w:t>
      </w:r>
      <w:r>
        <w:rPr>
          <w:rFonts w:ascii="宋体" w:hAnsi="宋体" w:cs="Arial" w:hint="eastAsia"/>
          <w:color w:val="000000"/>
          <w:kern w:val="0"/>
          <w:sz w:val="24"/>
          <w:szCs w:val="24"/>
        </w:rPr>
        <w:t>办理上述适用基金的申购、定投业务，其申购、定投费率</w:t>
      </w:r>
      <w:r w:rsidR="009417D4">
        <w:rPr>
          <w:rFonts w:ascii="宋体" w:hAnsi="宋体" w:cs="Arial"/>
          <w:color w:val="000000" w:themeColor="text1"/>
          <w:kern w:val="0"/>
          <w:sz w:val="24"/>
          <w:szCs w:val="24"/>
        </w:rPr>
        <w:t>不设折扣限制</w:t>
      </w:r>
      <w:r w:rsidR="00BD1D30">
        <w:rPr>
          <w:rFonts w:ascii="宋体" w:hAnsi="宋体" w:cs="Arial" w:hint="eastAsia"/>
          <w:color w:val="000000"/>
          <w:kern w:val="0"/>
          <w:sz w:val="24"/>
          <w:szCs w:val="24"/>
        </w:rPr>
        <w:t>（</w:t>
      </w:r>
      <w:r>
        <w:rPr>
          <w:rFonts w:ascii="宋体" w:hAnsi="宋体" w:cs="Arial" w:hint="eastAsia"/>
          <w:color w:val="000000"/>
          <w:kern w:val="0"/>
          <w:sz w:val="24"/>
          <w:szCs w:val="24"/>
        </w:rPr>
        <w:t>固定费用</w:t>
      </w:r>
      <w:r w:rsidR="00BD1D30">
        <w:rPr>
          <w:rFonts w:ascii="宋体" w:hAnsi="宋体" w:cs="Arial" w:hint="eastAsia"/>
          <w:color w:val="000000" w:themeColor="text1"/>
          <w:kern w:val="0"/>
          <w:sz w:val="24"/>
          <w:szCs w:val="24"/>
        </w:rPr>
        <w:t>除外）</w:t>
      </w:r>
      <w:r>
        <w:rPr>
          <w:rFonts w:ascii="宋体" w:hAnsi="宋体" w:cs="Arial" w:hint="eastAsia"/>
          <w:color w:val="000000"/>
          <w:kern w:val="0"/>
          <w:sz w:val="24"/>
          <w:szCs w:val="24"/>
        </w:rPr>
        <w:t>。具体折扣费率以</w:t>
      </w:r>
      <w:r>
        <w:rPr>
          <w:rFonts w:ascii="宋体" w:hAnsi="宋体" w:cs="Arial"/>
          <w:color w:val="000000" w:themeColor="text1"/>
          <w:kern w:val="0"/>
          <w:sz w:val="24"/>
          <w:szCs w:val="24"/>
        </w:rPr>
        <w:t>顺德农商行</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Pr>
          <w:rFonts w:ascii="宋体" w:hAnsi="宋体" w:cs="Arial"/>
          <w:color w:val="000000" w:themeColor="text1"/>
          <w:kern w:val="0"/>
          <w:sz w:val="24"/>
          <w:szCs w:val="24"/>
        </w:rPr>
        <w:t>顺德农商行</w:t>
      </w:r>
      <w:r>
        <w:rPr>
          <w:rFonts w:ascii="宋体" w:hAnsi="宋体" w:cs="Arial" w:hint="eastAsia"/>
          <w:color w:val="000000"/>
          <w:kern w:val="0"/>
          <w:sz w:val="24"/>
          <w:szCs w:val="24"/>
        </w:rPr>
        <w:t>办理本公司上述基金的定投业务，最低单笔定投金额为人民币</w:t>
      </w:r>
      <w:r w:rsidR="00BD1D30">
        <w:rPr>
          <w:rFonts w:ascii="宋体" w:hAnsi="宋体" w:cs="Arial"/>
          <w:color w:val="000000" w:themeColor="text1"/>
          <w:kern w:val="0"/>
          <w:sz w:val="24"/>
          <w:szCs w:val="24"/>
        </w:rPr>
        <w:t>100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Pr>
          <w:rFonts w:ascii="宋体" w:hAnsi="宋体" w:cs="Arial" w:hint="eastAsia"/>
          <w:color w:val="000000"/>
          <w:kern w:val="0"/>
          <w:sz w:val="24"/>
          <w:szCs w:val="24"/>
        </w:rPr>
        <w:t>、处于封闭期的产品，自开放申购、赎回业务之日起，适用于上述费率优惠及定投业务办理最低限额，本公司不再另行公告。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、后续本公司新增通过</w:t>
      </w:r>
      <w:r>
        <w:rPr>
          <w:rFonts w:ascii="宋体" w:hAnsi="宋体" w:cs="Arial"/>
          <w:color w:val="000000" w:themeColor="text1"/>
          <w:kern w:val="0"/>
          <w:sz w:val="24"/>
          <w:szCs w:val="24"/>
        </w:rPr>
        <w:t>顺德农商行</w:t>
      </w:r>
      <w:r>
        <w:rPr>
          <w:rFonts w:ascii="宋体" w:hAnsi="宋体" w:cs="Arial" w:hint="eastAsia"/>
          <w:color w:val="000000"/>
          <w:kern w:val="0"/>
          <w:sz w:val="24"/>
          <w:szCs w:val="24"/>
        </w:rPr>
        <w:t>销售的基金产品除基金法律文件或产品相关公告有特殊规定外，适用上述费率优惠及定投业务办理最低限额，本公司不再另行公告。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5、</w:t>
      </w:r>
      <w:r>
        <w:rPr>
          <w:rFonts w:ascii="宋体" w:hAnsi="宋体" w:cs="Arial" w:hint="eastAsia"/>
          <w:color w:val="000000"/>
          <w:kern w:val="0"/>
          <w:sz w:val="24"/>
          <w:szCs w:val="24"/>
        </w:rPr>
        <w:t>LOF基金的相关规则以中国证券登记结算有限责任公司的具体业务规定为准。</w:t>
      </w:r>
    </w:p>
    <w:p w:rsidR="005623FC" w:rsidRDefault="00076CB4" w:rsidP="004D7F8A">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rsidP="00BD1D3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5623FC" w:rsidRDefault="00076CB4" w:rsidP="00BD1D3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076CB4" w:rsidP="00BD1D3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Pr>
          <w:rFonts w:ascii="宋体" w:hAnsi="宋体" w:cs="Arial" w:hint="eastAsia"/>
          <w:color w:val="000000"/>
          <w:kern w:val="0"/>
          <w:sz w:val="24"/>
          <w:szCs w:val="24"/>
        </w:rPr>
        <w:t>本公告解释权归本公司所有。</w:t>
      </w:r>
    </w:p>
    <w:p w:rsidR="005623FC" w:rsidRDefault="00076CB4" w:rsidP="004D7F8A">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lastRenderedPageBreak/>
        <w:t>四、</w:t>
      </w:r>
      <w:r>
        <w:rPr>
          <w:rFonts w:ascii="宋体" w:hAnsi="宋体" w:cs="Arial"/>
          <w:b/>
          <w:color w:val="000000"/>
          <w:kern w:val="0"/>
          <w:sz w:val="24"/>
          <w:szCs w:val="24"/>
        </w:rPr>
        <w:t>投资者可通过以下途径咨询有关详情</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w:t>
      </w:r>
      <w:r>
        <w:rPr>
          <w:rFonts w:ascii="宋体" w:hAnsi="宋体" w:cs="Arial"/>
          <w:color w:val="000000" w:themeColor="text1"/>
          <w:kern w:val="0"/>
          <w:sz w:val="24"/>
          <w:szCs w:val="24"/>
        </w:rPr>
        <w:t>广东顺德农村商业银行股份有限公司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Pr>
          <w:rFonts w:ascii="宋体" w:hAnsi="宋体" w:cs="Arial"/>
          <w:color w:val="000000" w:themeColor="text1"/>
          <w:kern w:val="0"/>
          <w:sz w:val="24"/>
          <w:szCs w:val="24"/>
        </w:rPr>
        <w:t>0757-22223388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sidR="002701D0" w:rsidRPr="002701D0">
        <w:rPr>
          <w:rFonts w:ascii="宋体" w:hAnsi="宋体" w:cs="Arial"/>
          <w:color w:val="000000" w:themeColor="text1"/>
          <w:kern w:val="0"/>
          <w:sz w:val="24"/>
          <w:szCs w:val="24"/>
        </w:rPr>
        <w:t>www.sdebank.com</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4D7F8A">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9417D4">
      <w:pPr>
        <w:widowControl/>
        <w:shd w:val="clear" w:color="auto" w:fill="FFFFFF"/>
        <w:adjustRightInd w:val="0"/>
        <w:snapToGrid w:val="0"/>
        <w:spacing w:line="360" w:lineRule="auto"/>
        <w:ind w:firstLineChars="200" w:firstLine="480"/>
        <w:jc w:val="right"/>
        <w:rPr>
          <w:color w:val="FF0000"/>
        </w:rPr>
      </w:pPr>
      <w:r w:rsidRPr="009417D4">
        <w:rPr>
          <w:rFonts w:ascii="宋体" w:hAnsi="宋体" w:cs="Arial"/>
          <w:color w:val="000000"/>
          <w:kern w:val="0"/>
          <w:sz w:val="24"/>
          <w:szCs w:val="24"/>
        </w:rPr>
        <w:t>2023年5月12日</w:t>
      </w:r>
    </w:p>
    <w:sectPr w:rsidR="005623FC" w:rsidSect="00F9689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DA" w:rsidRDefault="00B700DA">
      <w:r>
        <w:separator/>
      </w:r>
    </w:p>
  </w:endnote>
  <w:endnote w:type="continuationSeparator" w:id="0">
    <w:p w:rsidR="00B700DA" w:rsidRDefault="00B70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DA" w:rsidRDefault="00B700DA">
      <w:r>
        <w:separator/>
      </w:r>
    </w:p>
  </w:footnote>
  <w:footnote w:type="continuationSeparator" w:id="0">
    <w:p w:rsidR="00B700DA" w:rsidRDefault="00B70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FC" w:rsidRDefault="00076CB4">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5623FC" w:rsidRDefault="005623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4F7B"/>
    <w:rsid w:val="00052A23"/>
    <w:rsid w:val="000539B9"/>
    <w:rsid w:val="00054FD3"/>
    <w:rsid w:val="00060C4F"/>
    <w:rsid w:val="000641E8"/>
    <w:rsid w:val="00064A4A"/>
    <w:rsid w:val="00066B51"/>
    <w:rsid w:val="000709A2"/>
    <w:rsid w:val="0007546E"/>
    <w:rsid w:val="00076CB4"/>
    <w:rsid w:val="000865AE"/>
    <w:rsid w:val="00094A1B"/>
    <w:rsid w:val="000C0F62"/>
    <w:rsid w:val="000C3565"/>
    <w:rsid w:val="000D052F"/>
    <w:rsid w:val="000D7634"/>
    <w:rsid w:val="000E3C6B"/>
    <w:rsid w:val="000F6002"/>
    <w:rsid w:val="0010344B"/>
    <w:rsid w:val="00111219"/>
    <w:rsid w:val="0011704F"/>
    <w:rsid w:val="00133541"/>
    <w:rsid w:val="00134461"/>
    <w:rsid w:val="0013797C"/>
    <w:rsid w:val="00145A86"/>
    <w:rsid w:val="001524EF"/>
    <w:rsid w:val="0016423F"/>
    <w:rsid w:val="00164F2D"/>
    <w:rsid w:val="00165B09"/>
    <w:rsid w:val="001724E1"/>
    <w:rsid w:val="0018732B"/>
    <w:rsid w:val="00192CEF"/>
    <w:rsid w:val="00193408"/>
    <w:rsid w:val="00194C79"/>
    <w:rsid w:val="001A3F03"/>
    <w:rsid w:val="001D19F8"/>
    <w:rsid w:val="001E508F"/>
    <w:rsid w:val="001E60F3"/>
    <w:rsid w:val="00220AE5"/>
    <w:rsid w:val="00223811"/>
    <w:rsid w:val="00230F4C"/>
    <w:rsid w:val="0023169F"/>
    <w:rsid w:val="002351B7"/>
    <w:rsid w:val="00244B57"/>
    <w:rsid w:val="00246411"/>
    <w:rsid w:val="002507A7"/>
    <w:rsid w:val="00251B16"/>
    <w:rsid w:val="00252FA3"/>
    <w:rsid w:val="0025317B"/>
    <w:rsid w:val="002631CC"/>
    <w:rsid w:val="00264431"/>
    <w:rsid w:val="002654C8"/>
    <w:rsid w:val="002701D0"/>
    <w:rsid w:val="00275BCF"/>
    <w:rsid w:val="00276DA4"/>
    <w:rsid w:val="0027790A"/>
    <w:rsid w:val="00277F66"/>
    <w:rsid w:val="00287A3A"/>
    <w:rsid w:val="002A0758"/>
    <w:rsid w:val="002A2122"/>
    <w:rsid w:val="002A4AB8"/>
    <w:rsid w:val="002A689C"/>
    <w:rsid w:val="002A7C4B"/>
    <w:rsid w:val="002D0661"/>
    <w:rsid w:val="002E44D1"/>
    <w:rsid w:val="002F2F12"/>
    <w:rsid w:val="00315AE9"/>
    <w:rsid w:val="00316026"/>
    <w:rsid w:val="00317AAF"/>
    <w:rsid w:val="00324AA8"/>
    <w:rsid w:val="00331565"/>
    <w:rsid w:val="00332F1A"/>
    <w:rsid w:val="00333522"/>
    <w:rsid w:val="003359E5"/>
    <w:rsid w:val="0034459C"/>
    <w:rsid w:val="0035640E"/>
    <w:rsid w:val="003623A8"/>
    <w:rsid w:val="00364202"/>
    <w:rsid w:val="00370FF9"/>
    <w:rsid w:val="00374625"/>
    <w:rsid w:val="00377EBD"/>
    <w:rsid w:val="00382BE7"/>
    <w:rsid w:val="0038413A"/>
    <w:rsid w:val="00391168"/>
    <w:rsid w:val="00394297"/>
    <w:rsid w:val="003973E8"/>
    <w:rsid w:val="003A1DE1"/>
    <w:rsid w:val="003A3E4F"/>
    <w:rsid w:val="003A7615"/>
    <w:rsid w:val="003B6C01"/>
    <w:rsid w:val="003C07C7"/>
    <w:rsid w:val="003C5684"/>
    <w:rsid w:val="003C6164"/>
    <w:rsid w:val="003C6B15"/>
    <w:rsid w:val="003C6CAC"/>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72375"/>
    <w:rsid w:val="00476140"/>
    <w:rsid w:val="00481ADC"/>
    <w:rsid w:val="00481B4F"/>
    <w:rsid w:val="00486B91"/>
    <w:rsid w:val="0048736C"/>
    <w:rsid w:val="00495BA6"/>
    <w:rsid w:val="00495E06"/>
    <w:rsid w:val="004A0555"/>
    <w:rsid w:val="004A5152"/>
    <w:rsid w:val="004B5811"/>
    <w:rsid w:val="004B65CB"/>
    <w:rsid w:val="004C5705"/>
    <w:rsid w:val="004D60B4"/>
    <w:rsid w:val="004D7F8A"/>
    <w:rsid w:val="004E1667"/>
    <w:rsid w:val="004F1566"/>
    <w:rsid w:val="00510964"/>
    <w:rsid w:val="00514512"/>
    <w:rsid w:val="00534E48"/>
    <w:rsid w:val="00546F39"/>
    <w:rsid w:val="00556031"/>
    <w:rsid w:val="00561A24"/>
    <w:rsid w:val="005623FC"/>
    <w:rsid w:val="00563288"/>
    <w:rsid w:val="0057602C"/>
    <w:rsid w:val="005766B6"/>
    <w:rsid w:val="0058162C"/>
    <w:rsid w:val="0058355D"/>
    <w:rsid w:val="00583B13"/>
    <w:rsid w:val="00590F6B"/>
    <w:rsid w:val="00594DC3"/>
    <w:rsid w:val="00596990"/>
    <w:rsid w:val="005A2505"/>
    <w:rsid w:val="005A2EAF"/>
    <w:rsid w:val="005A45B3"/>
    <w:rsid w:val="005A5B42"/>
    <w:rsid w:val="005B047A"/>
    <w:rsid w:val="005D703A"/>
    <w:rsid w:val="005E6727"/>
    <w:rsid w:val="005F0A1F"/>
    <w:rsid w:val="005F6D69"/>
    <w:rsid w:val="005F6E56"/>
    <w:rsid w:val="00602E55"/>
    <w:rsid w:val="00611081"/>
    <w:rsid w:val="00613F45"/>
    <w:rsid w:val="00632D12"/>
    <w:rsid w:val="00633137"/>
    <w:rsid w:val="00634868"/>
    <w:rsid w:val="00642546"/>
    <w:rsid w:val="00642777"/>
    <w:rsid w:val="00653AC9"/>
    <w:rsid w:val="00655CBA"/>
    <w:rsid w:val="00661079"/>
    <w:rsid w:val="006642FC"/>
    <w:rsid w:val="00673C1B"/>
    <w:rsid w:val="00673F4A"/>
    <w:rsid w:val="006768EF"/>
    <w:rsid w:val="0067712A"/>
    <w:rsid w:val="0068271D"/>
    <w:rsid w:val="00686A5B"/>
    <w:rsid w:val="00686EC9"/>
    <w:rsid w:val="006A58C4"/>
    <w:rsid w:val="006B17C8"/>
    <w:rsid w:val="006B5AB5"/>
    <w:rsid w:val="006B782F"/>
    <w:rsid w:val="006B7D76"/>
    <w:rsid w:val="006C0D45"/>
    <w:rsid w:val="006C3340"/>
    <w:rsid w:val="006C3DC5"/>
    <w:rsid w:val="006D5682"/>
    <w:rsid w:val="006D771F"/>
    <w:rsid w:val="006E00F9"/>
    <w:rsid w:val="006E1994"/>
    <w:rsid w:val="006E340B"/>
    <w:rsid w:val="006F3AD5"/>
    <w:rsid w:val="00700DC4"/>
    <w:rsid w:val="00713F26"/>
    <w:rsid w:val="00715251"/>
    <w:rsid w:val="00725D59"/>
    <w:rsid w:val="00732AFC"/>
    <w:rsid w:val="00734075"/>
    <w:rsid w:val="00734C29"/>
    <w:rsid w:val="00735F1E"/>
    <w:rsid w:val="00736252"/>
    <w:rsid w:val="0074395D"/>
    <w:rsid w:val="00743987"/>
    <w:rsid w:val="0075461B"/>
    <w:rsid w:val="007604AF"/>
    <w:rsid w:val="007634EF"/>
    <w:rsid w:val="00763A7B"/>
    <w:rsid w:val="00782A1C"/>
    <w:rsid w:val="00782DF4"/>
    <w:rsid w:val="00783DF8"/>
    <w:rsid w:val="007A03B7"/>
    <w:rsid w:val="007A53B4"/>
    <w:rsid w:val="007A5BAB"/>
    <w:rsid w:val="007D0D95"/>
    <w:rsid w:val="007E42E4"/>
    <w:rsid w:val="007E4357"/>
    <w:rsid w:val="007E5E75"/>
    <w:rsid w:val="00800130"/>
    <w:rsid w:val="00802CD7"/>
    <w:rsid w:val="008058B2"/>
    <w:rsid w:val="008059F6"/>
    <w:rsid w:val="008164FD"/>
    <w:rsid w:val="00835FBF"/>
    <w:rsid w:val="00843FAC"/>
    <w:rsid w:val="008448A8"/>
    <w:rsid w:val="00853D84"/>
    <w:rsid w:val="0085488E"/>
    <w:rsid w:val="00864A5B"/>
    <w:rsid w:val="008677FD"/>
    <w:rsid w:val="00872AEE"/>
    <w:rsid w:val="008747AC"/>
    <w:rsid w:val="00881592"/>
    <w:rsid w:val="00885D35"/>
    <w:rsid w:val="00886478"/>
    <w:rsid w:val="00894FF6"/>
    <w:rsid w:val="00896E04"/>
    <w:rsid w:val="008A42AA"/>
    <w:rsid w:val="008A5539"/>
    <w:rsid w:val="008B7A92"/>
    <w:rsid w:val="008B7AAC"/>
    <w:rsid w:val="008C0A1F"/>
    <w:rsid w:val="008C50E4"/>
    <w:rsid w:val="008C736A"/>
    <w:rsid w:val="008D08DC"/>
    <w:rsid w:val="008D48DC"/>
    <w:rsid w:val="008E2115"/>
    <w:rsid w:val="008E5164"/>
    <w:rsid w:val="008F2B6D"/>
    <w:rsid w:val="008F619D"/>
    <w:rsid w:val="008F6C7D"/>
    <w:rsid w:val="008F6F2E"/>
    <w:rsid w:val="00900648"/>
    <w:rsid w:val="00905C70"/>
    <w:rsid w:val="00907F19"/>
    <w:rsid w:val="00913012"/>
    <w:rsid w:val="0091779F"/>
    <w:rsid w:val="00923D64"/>
    <w:rsid w:val="009417D4"/>
    <w:rsid w:val="009441C1"/>
    <w:rsid w:val="00947A68"/>
    <w:rsid w:val="00964DE5"/>
    <w:rsid w:val="00966456"/>
    <w:rsid w:val="00970BC8"/>
    <w:rsid w:val="00980236"/>
    <w:rsid w:val="0098596F"/>
    <w:rsid w:val="00990D58"/>
    <w:rsid w:val="0099744D"/>
    <w:rsid w:val="009A1C2A"/>
    <w:rsid w:val="009B0C50"/>
    <w:rsid w:val="009B1E7A"/>
    <w:rsid w:val="009B32A9"/>
    <w:rsid w:val="009C17EC"/>
    <w:rsid w:val="009C614A"/>
    <w:rsid w:val="009D2854"/>
    <w:rsid w:val="009D4CF3"/>
    <w:rsid w:val="009D7041"/>
    <w:rsid w:val="009E2862"/>
    <w:rsid w:val="009E40F3"/>
    <w:rsid w:val="009F4195"/>
    <w:rsid w:val="00A05C9D"/>
    <w:rsid w:val="00A05F48"/>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429A"/>
    <w:rsid w:val="00A713B3"/>
    <w:rsid w:val="00A718C2"/>
    <w:rsid w:val="00A7435E"/>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B06B60"/>
    <w:rsid w:val="00B1348E"/>
    <w:rsid w:val="00B22243"/>
    <w:rsid w:val="00B23D5B"/>
    <w:rsid w:val="00B25CB2"/>
    <w:rsid w:val="00B42CF7"/>
    <w:rsid w:val="00B5208C"/>
    <w:rsid w:val="00B52B67"/>
    <w:rsid w:val="00B65D19"/>
    <w:rsid w:val="00B700DA"/>
    <w:rsid w:val="00B71624"/>
    <w:rsid w:val="00B738DD"/>
    <w:rsid w:val="00B81897"/>
    <w:rsid w:val="00B82604"/>
    <w:rsid w:val="00B83136"/>
    <w:rsid w:val="00B90161"/>
    <w:rsid w:val="00B90609"/>
    <w:rsid w:val="00B92782"/>
    <w:rsid w:val="00B97ABE"/>
    <w:rsid w:val="00BA0C0A"/>
    <w:rsid w:val="00BA4E3E"/>
    <w:rsid w:val="00BA5F5B"/>
    <w:rsid w:val="00BB287E"/>
    <w:rsid w:val="00BC1132"/>
    <w:rsid w:val="00BC39F3"/>
    <w:rsid w:val="00BD1D30"/>
    <w:rsid w:val="00BD5248"/>
    <w:rsid w:val="00BE05F5"/>
    <w:rsid w:val="00BE0E90"/>
    <w:rsid w:val="00BE66E9"/>
    <w:rsid w:val="00BE7C68"/>
    <w:rsid w:val="00BF5482"/>
    <w:rsid w:val="00C025A7"/>
    <w:rsid w:val="00C052D3"/>
    <w:rsid w:val="00C12883"/>
    <w:rsid w:val="00C227BF"/>
    <w:rsid w:val="00C24838"/>
    <w:rsid w:val="00C32923"/>
    <w:rsid w:val="00C378D0"/>
    <w:rsid w:val="00C50F93"/>
    <w:rsid w:val="00C573F5"/>
    <w:rsid w:val="00C66731"/>
    <w:rsid w:val="00C7148E"/>
    <w:rsid w:val="00C74AC7"/>
    <w:rsid w:val="00C77D88"/>
    <w:rsid w:val="00C81D4E"/>
    <w:rsid w:val="00C86CBA"/>
    <w:rsid w:val="00CA1DDD"/>
    <w:rsid w:val="00CA66D8"/>
    <w:rsid w:val="00CA762E"/>
    <w:rsid w:val="00CB3BC8"/>
    <w:rsid w:val="00CC03CF"/>
    <w:rsid w:val="00CC738F"/>
    <w:rsid w:val="00CD59FC"/>
    <w:rsid w:val="00CE08B1"/>
    <w:rsid w:val="00CE13EA"/>
    <w:rsid w:val="00CE3BEA"/>
    <w:rsid w:val="00CF6994"/>
    <w:rsid w:val="00CF6A30"/>
    <w:rsid w:val="00D04615"/>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B09E6"/>
    <w:rsid w:val="00DB2986"/>
    <w:rsid w:val="00DB399F"/>
    <w:rsid w:val="00DB558F"/>
    <w:rsid w:val="00DB7254"/>
    <w:rsid w:val="00DC2B13"/>
    <w:rsid w:val="00DD3AB3"/>
    <w:rsid w:val="00DD5705"/>
    <w:rsid w:val="00DE2BF2"/>
    <w:rsid w:val="00DE6B99"/>
    <w:rsid w:val="00DF2143"/>
    <w:rsid w:val="00DF48FA"/>
    <w:rsid w:val="00E061F2"/>
    <w:rsid w:val="00E14F4A"/>
    <w:rsid w:val="00E22214"/>
    <w:rsid w:val="00E23AC4"/>
    <w:rsid w:val="00E242D6"/>
    <w:rsid w:val="00E2727F"/>
    <w:rsid w:val="00E32857"/>
    <w:rsid w:val="00E37E87"/>
    <w:rsid w:val="00E41286"/>
    <w:rsid w:val="00E46108"/>
    <w:rsid w:val="00E477E6"/>
    <w:rsid w:val="00E5745E"/>
    <w:rsid w:val="00E62DD7"/>
    <w:rsid w:val="00E6625E"/>
    <w:rsid w:val="00E6688A"/>
    <w:rsid w:val="00E70629"/>
    <w:rsid w:val="00E739EE"/>
    <w:rsid w:val="00E74F00"/>
    <w:rsid w:val="00E755BE"/>
    <w:rsid w:val="00E857FC"/>
    <w:rsid w:val="00E87068"/>
    <w:rsid w:val="00E941D7"/>
    <w:rsid w:val="00EA5AC5"/>
    <w:rsid w:val="00EB7957"/>
    <w:rsid w:val="00EC1D60"/>
    <w:rsid w:val="00EC50FF"/>
    <w:rsid w:val="00EC6506"/>
    <w:rsid w:val="00EE0C05"/>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35EB"/>
    <w:rsid w:val="00F356D9"/>
    <w:rsid w:val="00F40494"/>
    <w:rsid w:val="00F4108E"/>
    <w:rsid w:val="00F415D5"/>
    <w:rsid w:val="00F41FCE"/>
    <w:rsid w:val="00F44155"/>
    <w:rsid w:val="00F519EF"/>
    <w:rsid w:val="00F57090"/>
    <w:rsid w:val="00F61419"/>
    <w:rsid w:val="00F66659"/>
    <w:rsid w:val="00F70345"/>
    <w:rsid w:val="00F77288"/>
    <w:rsid w:val="00F81557"/>
    <w:rsid w:val="00F83C33"/>
    <w:rsid w:val="00F96890"/>
    <w:rsid w:val="00FB2C5E"/>
    <w:rsid w:val="00FB55C5"/>
    <w:rsid w:val="00FC244C"/>
    <w:rsid w:val="00FD160D"/>
    <w:rsid w:val="00FD245D"/>
    <w:rsid w:val="00FD2870"/>
    <w:rsid w:val="00FD3787"/>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90"/>
    <w:pPr>
      <w:widowControl w:val="0"/>
      <w:jc w:val="both"/>
    </w:pPr>
    <w:rPr>
      <w:kern w:val="2"/>
      <w:sz w:val="21"/>
      <w:szCs w:val="22"/>
    </w:rPr>
  </w:style>
  <w:style w:type="paragraph" w:styleId="2">
    <w:name w:val="heading 2"/>
    <w:basedOn w:val="a"/>
    <w:next w:val="a"/>
    <w:link w:val="2Char"/>
    <w:uiPriority w:val="9"/>
    <w:qFormat/>
    <w:rsid w:val="00F9689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96890"/>
    <w:pPr>
      <w:jc w:val="left"/>
    </w:pPr>
  </w:style>
  <w:style w:type="paragraph" w:styleId="a4">
    <w:name w:val="Balloon Text"/>
    <w:basedOn w:val="a"/>
    <w:link w:val="Char0"/>
    <w:uiPriority w:val="99"/>
    <w:semiHidden/>
    <w:unhideWhenUsed/>
    <w:rsid w:val="00F96890"/>
    <w:rPr>
      <w:sz w:val="18"/>
      <w:szCs w:val="18"/>
    </w:rPr>
  </w:style>
  <w:style w:type="paragraph" w:styleId="a5">
    <w:name w:val="footer"/>
    <w:basedOn w:val="a"/>
    <w:link w:val="Char1"/>
    <w:uiPriority w:val="99"/>
    <w:unhideWhenUsed/>
    <w:rsid w:val="00F96890"/>
    <w:pPr>
      <w:tabs>
        <w:tab w:val="center" w:pos="4153"/>
        <w:tab w:val="right" w:pos="8306"/>
      </w:tabs>
      <w:snapToGrid w:val="0"/>
      <w:jc w:val="left"/>
    </w:pPr>
    <w:rPr>
      <w:sz w:val="18"/>
      <w:szCs w:val="18"/>
    </w:rPr>
  </w:style>
  <w:style w:type="paragraph" w:styleId="a6">
    <w:name w:val="header"/>
    <w:basedOn w:val="a"/>
    <w:link w:val="Char2"/>
    <w:uiPriority w:val="99"/>
    <w:unhideWhenUsed/>
    <w:rsid w:val="00F9689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F96890"/>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F96890"/>
    <w:rPr>
      <w:b/>
      <w:bCs/>
    </w:rPr>
  </w:style>
  <w:style w:type="table" w:styleId="a9">
    <w:name w:val="Table Grid"/>
    <w:basedOn w:val="a1"/>
    <w:uiPriority w:val="59"/>
    <w:qFormat/>
    <w:rsid w:val="00F96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F96890"/>
    <w:rPr>
      <w:color w:val="0000FF"/>
      <w:u w:val="single"/>
    </w:rPr>
  </w:style>
  <w:style w:type="character" w:styleId="ab">
    <w:name w:val="annotation reference"/>
    <w:uiPriority w:val="99"/>
    <w:semiHidden/>
    <w:unhideWhenUsed/>
    <w:rsid w:val="00F96890"/>
    <w:rPr>
      <w:sz w:val="21"/>
      <w:szCs w:val="21"/>
    </w:rPr>
  </w:style>
  <w:style w:type="character" w:customStyle="1" w:styleId="Char2">
    <w:name w:val="页眉 Char"/>
    <w:link w:val="a6"/>
    <w:uiPriority w:val="99"/>
    <w:rsid w:val="00F96890"/>
    <w:rPr>
      <w:rFonts w:ascii="Calibri" w:eastAsia="宋体" w:hAnsi="Calibri" w:cs="Times New Roman"/>
      <w:sz w:val="18"/>
      <w:szCs w:val="18"/>
    </w:rPr>
  </w:style>
  <w:style w:type="character" w:customStyle="1" w:styleId="Char0">
    <w:name w:val="批注框文本 Char"/>
    <w:link w:val="a4"/>
    <w:uiPriority w:val="99"/>
    <w:semiHidden/>
    <w:qFormat/>
    <w:rsid w:val="00F96890"/>
    <w:rPr>
      <w:sz w:val="18"/>
      <w:szCs w:val="18"/>
    </w:rPr>
  </w:style>
  <w:style w:type="character" w:customStyle="1" w:styleId="Char1">
    <w:name w:val="页脚 Char"/>
    <w:link w:val="a5"/>
    <w:uiPriority w:val="99"/>
    <w:qFormat/>
    <w:rsid w:val="00F96890"/>
    <w:rPr>
      <w:kern w:val="2"/>
      <w:sz w:val="18"/>
      <w:szCs w:val="18"/>
    </w:rPr>
  </w:style>
  <w:style w:type="character" w:customStyle="1" w:styleId="Char">
    <w:name w:val="批注文字 Char"/>
    <w:link w:val="a3"/>
    <w:uiPriority w:val="99"/>
    <w:semiHidden/>
    <w:rsid w:val="00F96890"/>
    <w:rPr>
      <w:kern w:val="2"/>
      <w:sz w:val="21"/>
      <w:szCs w:val="22"/>
    </w:rPr>
  </w:style>
  <w:style w:type="character" w:customStyle="1" w:styleId="Char3">
    <w:name w:val="批注主题 Char"/>
    <w:link w:val="a8"/>
    <w:uiPriority w:val="99"/>
    <w:semiHidden/>
    <w:rsid w:val="00F96890"/>
    <w:rPr>
      <w:b/>
      <w:bCs/>
      <w:kern w:val="2"/>
      <w:sz w:val="21"/>
      <w:szCs w:val="22"/>
    </w:rPr>
  </w:style>
  <w:style w:type="character" w:customStyle="1" w:styleId="2Char">
    <w:name w:val="标题 2 Char"/>
    <w:link w:val="2"/>
    <w:uiPriority w:val="9"/>
    <w:rsid w:val="00F96890"/>
    <w:rPr>
      <w:rFonts w:ascii="宋体" w:hAnsi="宋体" w:cs="宋体"/>
      <w:b/>
      <w:bCs/>
      <w:sz w:val="36"/>
      <w:szCs w:val="36"/>
    </w:rPr>
  </w:style>
  <w:style w:type="paragraph" w:styleId="ac">
    <w:name w:val="List Paragraph"/>
    <w:basedOn w:val="a"/>
    <w:uiPriority w:val="34"/>
    <w:qFormat/>
    <w:rsid w:val="00F96890"/>
    <w:pPr>
      <w:ind w:firstLineChars="200" w:firstLine="420"/>
    </w:pPr>
  </w:style>
  <w:style w:type="paragraph" w:customStyle="1" w:styleId="1">
    <w:name w:val="修订1"/>
    <w:hidden/>
    <w:uiPriority w:val="99"/>
    <w:semiHidden/>
    <w:qFormat/>
    <w:rsid w:val="00F96890"/>
    <w:rPr>
      <w:kern w:val="2"/>
      <w:sz w:val="21"/>
      <w:szCs w:val="22"/>
    </w:rPr>
  </w:style>
</w:styles>
</file>

<file path=word/webSettings.xml><?xml version="1.0" encoding="utf-8"?>
<w:webSettings xmlns:r="http://schemas.openxmlformats.org/officeDocument/2006/relationships" xmlns:w="http://schemas.openxmlformats.org/wordprocessingml/2006/main">
  <w:divs>
    <w:div w:id="9979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66C3E0-B24A-4870-87BD-44556FD4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4</DocSecurity>
  <Lines>16</Lines>
  <Paragraphs>4</Paragraphs>
  <ScaleCrop>false</ScaleCrop>
  <Company>Lenovo</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2023-05-11T16:01:00Z</dcterms:created>
  <dcterms:modified xsi:type="dcterms:W3CDTF">2023-05-11T16:01:00Z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