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31D" w:rsidRPr="00A93986" w:rsidRDefault="008309AE" w:rsidP="00A93986">
      <w:pPr>
        <w:spacing w:line="360" w:lineRule="auto"/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 w:rsidRPr="00A93986">
        <w:rPr>
          <w:rFonts w:asciiTheme="minorEastAsia" w:eastAsiaTheme="minorEastAsia" w:hAnsiTheme="minorEastAsia" w:hint="eastAsia"/>
          <w:b/>
          <w:sz w:val="24"/>
          <w:szCs w:val="24"/>
        </w:rPr>
        <w:t>南方基金关于</w:t>
      </w:r>
      <w:r w:rsidR="00397ACB" w:rsidRPr="00EB4FA5">
        <w:rPr>
          <w:rFonts w:asciiTheme="minorEastAsia" w:hAnsiTheme="minorEastAsia" w:hint="eastAsia"/>
          <w:b/>
          <w:sz w:val="24"/>
          <w:szCs w:val="24"/>
        </w:rPr>
        <w:t>旗下部分基金</w:t>
      </w:r>
      <w:r w:rsidRPr="00A93986">
        <w:rPr>
          <w:rFonts w:asciiTheme="minorEastAsia" w:eastAsiaTheme="minorEastAsia" w:hAnsiTheme="minorEastAsia" w:hint="eastAsia"/>
          <w:b/>
          <w:sz w:val="24"/>
          <w:szCs w:val="24"/>
        </w:rPr>
        <w:t>增加</w:t>
      </w:r>
      <w:r w:rsidR="00397ACB" w:rsidRPr="00EB4FA5">
        <w:rPr>
          <w:rFonts w:ascii="宋体" w:hAnsi="宋体" w:hint="eastAsia"/>
          <w:b/>
          <w:color w:val="000000"/>
          <w:sz w:val="24"/>
          <w:szCs w:val="24"/>
        </w:rPr>
        <w:t>华宝证券</w:t>
      </w:r>
      <w:r w:rsidRPr="00A93986">
        <w:rPr>
          <w:rFonts w:asciiTheme="minorEastAsia" w:eastAsiaTheme="minorEastAsia" w:hAnsiTheme="minorEastAsia" w:hint="eastAsia"/>
          <w:b/>
          <w:sz w:val="24"/>
          <w:szCs w:val="24"/>
        </w:rPr>
        <w:t>为申购赎回代理券商的公告</w:t>
      </w:r>
    </w:p>
    <w:p w:rsidR="00A93986" w:rsidRPr="00A93986" w:rsidRDefault="00A93986" w:rsidP="00A93986">
      <w:pPr>
        <w:spacing w:line="360" w:lineRule="auto"/>
        <w:jc w:val="center"/>
        <w:rPr>
          <w:rFonts w:asciiTheme="minorEastAsia" w:eastAsiaTheme="minorEastAsia" w:hAnsiTheme="minorEastAsia"/>
          <w:color w:val="000000"/>
          <w:szCs w:val="21"/>
        </w:rPr>
      </w:pPr>
    </w:p>
    <w:p w:rsidR="00A53541" w:rsidRPr="00A93986" w:rsidRDefault="008309AE">
      <w:pPr>
        <w:spacing w:line="360" w:lineRule="auto"/>
        <w:ind w:firstLineChars="200" w:firstLine="420"/>
        <w:rPr>
          <w:rFonts w:asciiTheme="minorEastAsia" w:eastAsiaTheme="minorEastAsia" w:hAnsiTheme="minorEastAsia"/>
          <w:color w:val="000000"/>
          <w:szCs w:val="21"/>
        </w:rPr>
      </w:pPr>
      <w:r w:rsidRPr="00EB4FA5">
        <w:rPr>
          <w:rFonts w:asciiTheme="minorEastAsia" w:eastAsiaTheme="minorEastAsia" w:hAnsiTheme="minorEastAsia" w:hint="eastAsia"/>
          <w:color w:val="000000"/>
          <w:szCs w:val="21"/>
        </w:rPr>
        <w:t>经深圳证券交易所</w:t>
      </w:r>
      <w:r w:rsidR="00B36B3F" w:rsidRPr="00EB4FA5">
        <w:rPr>
          <w:rFonts w:asciiTheme="minorEastAsia" w:eastAsiaTheme="minorEastAsia" w:hAnsiTheme="minorEastAsia" w:hint="eastAsia"/>
          <w:color w:val="000000"/>
          <w:szCs w:val="21"/>
        </w:rPr>
        <w:t>确认</w:t>
      </w:r>
      <w:r w:rsidR="005369FE" w:rsidRPr="00A93986">
        <w:rPr>
          <w:rFonts w:asciiTheme="minorEastAsia" w:eastAsiaTheme="minorEastAsia" w:hAnsiTheme="minorEastAsia"/>
          <w:color w:val="000000"/>
          <w:szCs w:val="21"/>
        </w:rPr>
        <w:t>,</w:t>
      </w:r>
      <w:r w:rsidRPr="00A93986">
        <w:rPr>
          <w:rFonts w:asciiTheme="minorEastAsia" w:eastAsiaTheme="minorEastAsia" w:hAnsiTheme="minorEastAsia" w:hint="eastAsia"/>
          <w:color w:val="000000"/>
          <w:szCs w:val="21"/>
        </w:rPr>
        <w:t>根据南方基金管理</w:t>
      </w:r>
      <w:r w:rsidR="00FF2C24" w:rsidRPr="00A93986">
        <w:rPr>
          <w:rFonts w:asciiTheme="minorEastAsia" w:eastAsiaTheme="minorEastAsia" w:hAnsiTheme="minorEastAsia" w:hint="eastAsia"/>
          <w:color w:val="000000"/>
          <w:szCs w:val="21"/>
        </w:rPr>
        <w:t>股份</w:t>
      </w:r>
      <w:r w:rsidRPr="00A93986">
        <w:rPr>
          <w:rFonts w:asciiTheme="minorEastAsia" w:eastAsiaTheme="minorEastAsia" w:hAnsiTheme="minorEastAsia" w:hint="eastAsia"/>
          <w:color w:val="000000"/>
          <w:szCs w:val="21"/>
        </w:rPr>
        <w:t>有限公司</w:t>
      </w:r>
      <w:r w:rsidRPr="00A93986">
        <w:rPr>
          <w:rFonts w:asciiTheme="minorEastAsia" w:eastAsiaTheme="minorEastAsia" w:hAnsiTheme="minorEastAsia"/>
          <w:color w:val="000000"/>
          <w:szCs w:val="21"/>
        </w:rPr>
        <w:t>(下称"本公司")与</w:t>
      </w:r>
      <w:r w:rsidRPr="00A93986">
        <w:rPr>
          <w:rFonts w:asciiTheme="minorEastAsia" w:eastAsiaTheme="minorEastAsia" w:hAnsiTheme="minorEastAsia" w:hint="eastAsia"/>
          <w:color w:val="000000"/>
          <w:szCs w:val="21"/>
        </w:rPr>
        <w:t>以下</w:t>
      </w:r>
      <w:r w:rsidR="00E66EDB" w:rsidRPr="00A93986">
        <w:rPr>
          <w:rFonts w:asciiTheme="minorEastAsia" w:eastAsiaTheme="minorEastAsia" w:hAnsiTheme="minorEastAsia" w:hint="eastAsia"/>
          <w:color w:val="000000"/>
          <w:szCs w:val="21"/>
        </w:rPr>
        <w:t>券商</w:t>
      </w:r>
      <w:r w:rsidRPr="00A93986">
        <w:rPr>
          <w:rFonts w:asciiTheme="minorEastAsia" w:eastAsiaTheme="minorEastAsia" w:hAnsiTheme="minorEastAsia" w:hint="eastAsia"/>
          <w:color w:val="000000"/>
          <w:szCs w:val="21"/>
        </w:rPr>
        <w:t>签署的协议</w:t>
      </w:r>
      <w:r w:rsidRPr="00A93986">
        <w:rPr>
          <w:rFonts w:asciiTheme="minorEastAsia" w:eastAsiaTheme="minorEastAsia" w:hAnsiTheme="minorEastAsia"/>
          <w:color w:val="000000"/>
          <w:szCs w:val="21"/>
        </w:rPr>
        <w:t>, 本公司决定</w:t>
      </w:r>
      <w:r w:rsidRPr="00A93986">
        <w:rPr>
          <w:rFonts w:asciiTheme="minorEastAsia" w:eastAsiaTheme="minorEastAsia" w:hAnsiTheme="minorEastAsia" w:hint="eastAsia"/>
          <w:color w:val="000000"/>
          <w:szCs w:val="21"/>
        </w:rPr>
        <w:t>自</w:t>
      </w:r>
      <w:r w:rsidR="00397ACB" w:rsidRPr="00EB4FA5">
        <w:rPr>
          <w:rFonts w:asciiTheme="minorEastAsia" w:hAnsiTheme="minorEastAsia"/>
          <w:szCs w:val="21"/>
        </w:rPr>
        <w:t>2023年</w:t>
      </w:r>
      <w:r w:rsidR="00A315F8">
        <w:rPr>
          <w:rFonts w:asciiTheme="minorEastAsia" w:hAnsiTheme="minorEastAsia"/>
          <w:szCs w:val="21"/>
        </w:rPr>
        <w:t>5</w:t>
      </w:r>
      <w:r w:rsidR="00397ACB" w:rsidRPr="00EB4FA5">
        <w:rPr>
          <w:rFonts w:asciiTheme="minorEastAsia" w:hAnsiTheme="minorEastAsia"/>
          <w:szCs w:val="21"/>
        </w:rPr>
        <w:t>月</w:t>
      </w:r>
      <w:r w:rsidR="00A315F8">
        <w:rPr>
          <w:rFonts w:asciiTheme="minorEastAsia" w:hAnsiTheme="minorEastAsia"/>
          <w:szCs w:val="21"/>
        </w:rPr>
        <w:t>11</w:t>
      </w:r>
      <w:r w:rsidR="00397ACB" w:rsidRPr="00EB4FA5">
        <w:rPr>
          <w:rFonts w:asciiTheme="minorEastAsia" w:hAnsiTheme="minorEastAsia"/>
          <w:szCs w:val="21"/>
        </w:rPr>
        <w:t>日</w:t>
      </w:r>
      <w:r w:rsidR="005369FE" w:rsidRPr="00A93986">
        <w:rPr>
          <w:rFonts w:asciiTheme="minorEastAsia" w:eastAsiaTheme="minorEastAsia" w:hAnsiTheme="minorEastAsia" w:hint="eastAsia"/>
          <w:color w:val="000000"/>
          <w:szCs w:val="21"/>
        </w:rPr>
        <w:t>起</w:t>
      </w:r>
      <w:r w:rsidRPr="00A93986">
        <w:rPr>
          <w:rFonts w:asciiTheme="minorEastAsia" w:eastAsiaTheme="minorEastAsia" w:hAnsiTheme="minorEastAsia" w:hint="eastAsia"/>
          <w:color w:val="000000"/>
          <w:szCs w:val="21"/>
        </w:rPr>
        <w:t>增加以下</w:t>
      </w:r>
      <w:r w:rsidR="00E66EDB" w:rsidRPr="00A93986">
        <w:rPr>
          <w:rFonts w:asciiTheme="minorEastAsia" w:eastAsiaTheme="minorEastAsia" w:hAnsiTheme="minorEastAsia" w:hint="eastAsia"/>
          <w:color w:val="000000"/>
          <w:szCs w:val="21"/>
        </w:rPr>
        <w:t>券商</w:t>
      </w:r>
      <w:r w:rsidRPr="00A93986">
        <w:rPr>
          <w:rFonts w:asciiTheme="minorEastAsia" w:eastAsiaTheme="minorEastAsia" w:hAnsiTheme="minorEastAsia" w:hint="eastAsia"/>
          <w:color w:val="000000"/>
          <w:szCs w:val="21"/>
        </w:rPr>
        <w:t>为</w:t>
      </w:r>
      <w:r w:rsidR="00397ACB" w:rsidRPr="00EB4FA5">
        <w:rPr>
          <w:rFonts w:asciiTheme="minorEastAsia" w:hAnsiTheme="minorEastAsia" w:hint="eastAsia"/>
          <w:szCs w:val="21"/>
        </w:rPr>
        <w:t>深证成份交易型开放式指数证券投资基金（场内简称：深成</w:t>
      </w:r>
      <w:r w:rsidR="00397ACB" w:rsidRPr="00EB4FA5">
        <w:rPr>
          <w:rFonts w:asciiTheme="minorEastAsia" w:hAnsiTheme="minorEastAsia"/>
          <w:szCs w:val="21"/>
        </w:rPr>
        <w:t>ETF，基金代码:159903）、南方创业板交易型开放式指数证券投资基金（场内简称：创业板ETF南方，基金代码:159948）、南方恒生中国企业交易型开放式指数证券投资基金（场内简称：H股ETF，基金代码:159954）、南方粤港澳大湾区创新100交易型开放式指数证券投资基金（场内简称：湾区100ETF，基金代码:159984）、南方基金南方东英银河联昌富时亚太低碳精选交易</w:t>
      </w:r>
      <w:r w:rsidR="00397ACB" w:rsidRPr="00EB4FA5">
        <w:rPr>
          <w:rFonts w:asciiTheme="minorEastAsia" w:hAnsiTheme="minorEastAsia" w:hint="eastAsia"/>
          <w:szCs w:val="21"/>
        </w:rPr>
        <w:t>型开放式指数证券投资基金（</w:t>
      </w:r>
      <w:r w:rsidR="00397ACB" w:rsidRPr="00EB4FA5">
        <w:rPr>
          <w:rFonts w:asciiTheme="minorEastAsia" w:hAnsiTheme="minorEastAsia"/>
          <w:szCs w:val="21"/>
        </w:rPr>
        <w:t>QDII）（场内简称：亚太低碳ETF，基金代码:159687）</w:t>
      </w:r>
      <w:r w:rsidR="00A315F8">
        <w:rPr>
          <w:rFonts w:asciiTheme="minorEastAsia" w:hAnsiTheme="minorEastAsia" w:hint="eastAsia"/>
          <w:szCs w:val="21"/>
        </w:rPr>
        <w:t>、</w:t>
      </w:r>
      <w:r w:rsidR="00A315F8" w:rsidRPr="0058646E">
        <w:rPr>
          <w:rFonts w:asciiTheme="minorEastAsia" w:hAnsiTheme="minorEastAsia" w:hint="eastAsia"/>
          <w:szCs w:val="21"/>
        </w:rPr>
        <w:t>南方中证香港科技交易型开放式指数证券投资基金（</w:t>
      </w:r>
      <w:r w:rsidR="00A315F8" w:rsidRPr="0058646E">
        <w:rPr>
          <w:rFonts w:asciiTheme="minorEastAsia" w:hAnsiTheme="minorEastAsia"/>
          <w:szCs w:val="21"/>
        </w:rPr>
        <w:t>QDII）（场内简称：香港科技ETF，基金代码:159747）、南方恒生香港上市生物科技交易型开放式指数证券投资基金(QDII)（场内简称：生物科技ETF港股，基金代码:159615）</w:t>
      </w:r>
      <w:r w:rsidR="002D303B" w:rsidRPr="00A93986">
        <w:rPr>
          <w:rFonts w:asciiTheme="minorEastAsia" w:eastAsiaTheme="minorEastAsia" w:hAnsiTheme="minorEastAsia" w:hint="eastAsia"/>
          <w:color w:val="000000"/>
          <w:szCs w:val="21"/>
        </w:rPr>
        <w:t>的</w:t>
      </w:r>
      <w:r w:rsidRPr="00A93986">
        <w:rPr>
          <w:rFonts w:asciiTheme="minorEastAsia" w:eastAsiaTheme="minorEastAsia" w:hAnsiTheme="minorEastAsia" w:hint="eastAsia"/>
          <w:color w:val="000000"/>
          <w:szCs w:val="21"/>
        </w:rPr>
        <w:t>申购赎回代理券商。</w:t>
      </w:r>
      <w:bookmarkStart w:id="0" w:name="_GoBack"/>
      <w:bookmarkEnd w:id="0"/>
    </w:p>
    <w:p w:rsidR="00397ACB" w:rsidRPr="00EB4FA5" w:rsidDel="008734D2" w:rsidRDefault="008309AE">
      <w:pPr>
        <w:pStyle w:val="a7"/>
        <w:spacing w:before="0" w:beforeAutospacing="0" w:after="0" w:afterAutospacing="0" w:line="360" w:lineRule="auto"/>
        <w:ind w:firstLineChars="200" w:firstLine="420"/>
        <w:rPr>
          <w:rFonts w:asciiTheme="minorEastAsia" w:hAnsiTheme="minorEastAsia"/>
          <w:szCs w:val="21"/>
        </w:rPr>
      </w:pPr>
      <w:r w:rsidRPr="00A93986">
        <w:rPr>
          <w:rFonts w:asciiTheme="minorEastAsia" w:eastAsiaTheme="minorEastAsia" w:hAnsiTheme="minorEastAsia" w:cs="Times New Roman" w:hint="eastAsia"/>
          <w:color w:val="000000"/>
          <w:kern w:val="2"/>
          <w:sz w:val="21"/>
          <w:szCs w:val="21"/>
        </w:rPr>
        <w:t>投资人可通过以下途径了解或咨询相关情况：</w:t>
      </w:r>
    </w:p>
    <w:tbl>
      <w:tblPr>
        <w:tblStyle w:val="dxjgtable"/>
        <w:tblW w:w="0" w:type="auto"/>
        <w:tblLayout w:type="fixed"/>
        <w:tblLook w:val="04A0"/>
      </w:tblPr>
      <w:tblGrid>
        <w:gridCol w:w="1134"/>
        <w:gridCol w:w="2835"/>
        <w:gridCol w:w="4536"/>
      </w:tblGrid>
      <w:tr w:rsidR="00397ACB" w:rsidRPr="00A93986" w:rsidTr="00A93986">
        <w:tc>
          <w:tcPr>
            <w:tcW w:w="1134" w:type="dxa"/>
          </w:tcPr>
          <w:p w:rsidR="00397ACB" w:rsidRPr="00EB4FA5" w:rsidRDefault="00397ACB">
            <w:pPr>
              <w:pStyle w:val="a7"/>
              <w:spacing w:before="0" w:beforeAutospacing="0" w:after="0" w:afterAutospacing="0" w:line="360" w:lineRule="auto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EB4FA5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2835" w:type="dxa"/>
          </w:tcPr>
          <w:p w:rsidR="00397ACB" w:rsidRPr="00EB4FA5" w:rsidRDefault="00397ACB">
            <w:pPr>
              <w:pStyle w:val="a7"/>
              <w:spacing w:before="0" w:beforeAutospacing="0" w:after="0" w:afterAutospacing="0" w:line="360" w:lineRule="auto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EB4FA5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>申购赎回代理券商</w:t>
            </w:r>
          </w:p>
        </w:tc>
        <w:tc>
          <w:tcPr>
            <w:tcW w:w="4536" w:type="dxa"/>
          </w:tcPr>
          <w:p w:rsidR="00397ACB" w:rsidRPr="00EB4FA5" w:rsidRDefault="00397ACB">
            <w:pPr>
              <w:pStyle w:val="a7"/>
              <w:spacing w:before="0" w:beforeAutospacing="0" w:after="0" w:afterAutospacing="0" w:line="360" w:lineRule="auto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EB4FA5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>联系方式</w:t>
            </w:r>
          </w:p>
        </w:tc>
      </w:tr>
      <w:tr w:rsidR="00397ACB" w:rsidRPr="00A93986" w:rsidTr="00A93986">
        <w:tc>
          <w:tcPr>
            <w:tcW w:w="1134" w:type="dxa"/>
          </w:tcPr>
          <w:p w:rsidR="00397ACB" w:rsidRPr="00EB4FA5" w:rsidRDefault="00397ACB">
            <w:pPr>
              <w:pStyle w:val="a7"/>
              <w:spacing w:before="0" w:beforeAutospacing="0" w:after="0" w:afterAutospacing="0" w:line="360" w:lineRule="auto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EB4FA5">
              <w:rPr>
                <w:rFonts w:asciiTheme="minorEastAsia" w:hAnsiTheme="minorEastAsia" w:cs="Times New Roman"/>
                <w:kern w:val="2"/>
                <w:sz w:val="21"/>
                <w:szCs w:val="21"/>
              </w:rPr>
              <w:t>1</w:t>
            </w:r>
          </w:p>
        </w:tc>
        <w:tc>
          <w:tcPr>
            <w:tcW w:w="2835" w:type="dxa"/>
          </w:tcPr>
          <w:p w:rsidR="00397ACB" w:rsidRPr="00EB4FA5" w:rsidRDefault="00397ACB">
            <w:pPr>
              <w:pStyle w:val="a7"/>
              <w:spacing w:before="0" w:beforeAutospacing="0" w:after="0" w:afterAutospacing="0" w:line="360" w:lineRule="auto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EB4FA5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>华宝证券股份有限公司</w:t>
            </w:r>
          </w:p>
        </w:tc>
        <w:tc>
          <w:tcPr>
            <w:tcW w:w="4536" w:type="dxa"/>
          </w:tcPr>
          <w:p w:rsidR="00397ACB" w:rsidRPr="00EB4FA5" w:rsidRDefault="00397ACB">
            <w:pPr>
              <w:pStyle w:val="a7"/>
              <w:spacing w:before="0" w:beforeAutospacing="0" w:after="0" w:afterAutospacing="0" w:line="360" w:lineRule="auto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EB4FA5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>客服电话：</w:t>
            </w:r>
            <w:r w:rsidRPr="00EB4FA5">
              <w:rPr>
                <w:rFonts w:asciiTheme="minorEastAsia" w:hAnsiTheme="minorEastAsia" w:cs="Times New Roman"/>
                <w:kern w:val="2"/>
                <w:sz w:val="21"/>
                <w:szCs w:val="21"/>
              </w:rPr>
              <w:t>4008209898</w:t>
            </w:r>
          </w:p>
          <w:p w:rsidR="00397ACB" w:rsidRPr="00EB4FA5" w:rsidRDefault="00397ACB">
            <w:pPr>
              <w:pStyle w:val="a7"/>
              <w:spacing w:before="0" w:beforeAutospacing="0" w:after="0" w:afterAutospacing="0" w:line="360" w:lineRule="auto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EB4FA5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>网址：</w:t>
            </w:r>
            <w:r w:rsidRPr="00EB4FA5">
              <w:rPr>
                <w:rFonts w:asciiTheme="minorEastAsia" w:hAnsiTheme="minorEastAsia" w:cs="Times New Roman"/>
                <w:kern w:val="2"/>
                <w:sz w:val="21"/>
                <w:szCs w:val="21"/>
              </w:rPr>
              <w:t>www.cnhbstock.com</w:t>
            </w:r>
          </w:p>
        </w:tc>
      </w:tr>
    </w:tbl>
    <w:p w:rsidR="00A53541" w:rsidRPr="00A93986" w:rsidRDefault="008309AE" w:rsidP="00A93986">
      <w:pPr>
        <w:pStyle w:val="a7"/>
        <w:spacing w:before="0" w:beforeAutospacing="0" w:after="0" w:afterAutospacing="0" w:line="360" w:lineRule="auto"/>
        <w:ind w:firstLineChars="200" w:firstLine="420"/>
        <w:rPr>
          <w:szCs w:val="21"/>
        </w:rPr>
      </w:pPr>
      <w:r w:rsidRPr="00A93986">
        <w:rPr>
          <w:rFonts w:asciiTheme="minorEastAsia" w:eastAsiaTheme="minorEastAsia" w:hAnsiTheme="minorEastAsia" w:cs="Times New Roman" w:hint="eastAsia"/>
          <w:color w:val="000000"/>
          <w:kern w:val="2"/>
          <w:sz w:val="21"/>
          <w:szCs w:val="21"/>
        </w:rPr>
        <w:t>投资人也可通过访问南方基金管理</w:t>
      </w:r>
      <w:r w:rsidR="00BD7132" w:rsidRPr="00A93986">
        <w:rPr>
          <w:rFonts w:asciiTheme="minorEastAsia" w:eastAsiaTheme="minorEastAsia" w:hAnsiTheme="minorEastAsia" w:cs="Times New Roman" w:hint="eastAsia"/>
          <w:color w:val="000000"/>
          <w:kern w:val="2"/>
          <w:sz w:val="21"/>
          <w:szCs w:val="21"/>
        </w:rPr>
        <w:t>股份</w:t>
      </w:r>
      <w:r w:rsidRPr="00A93986">
        <w:rPr>
          <w:rFonts w:asciiTheme="minorEastAsia" w:eastAsiaTheme="minorEastAsia" w:hAnsiTheme="minorEastAsia" w:cs="Times New Roman" w:hint="eastAsia"/>
          <w:color w:val="000000"/>
          <w:kern w:val="2"/>
          <w:sz w:val="21"/>
          <w:szCs w:val="21"/>
        </w:rPr>
        <w:t>有限公司网站</w:t>
      </w:r>
      <w:r w:rsidRPr="00A93986">
        <w:rPr>
          <w:rFonts w:asciiTheme="minorEastAsia" w:eastAsiaTheme="minorEastAsia" w:hAnsiTheme="minorEastAsia" w:cs="Times New Roman"/>
          <w:color w:val="000000"/>
          <w:kern w:val="2"/>
          <w:sz w:val="21"/>
          <w:szCs w:val="21"/>
        </w:rPr>
        <w:t>(</w:t>
      </w:r>
      <w:hyperlink r:id="rId6" w:history="1">
        <w:r w:rsidRPr="00A93986">
          <w:rPr>
            <w:rFonts w:asciiTheme="minorEastAsia" w:eastAsiaTheme="minorEastAsia" w:hAnsiTheme="minorEastAsia" w:cs="Times New Roman"/>
            <w:color w:val="000000"/>
            <w:kern w:val="2"/>
            <w:sz w:val="21"/>
            <w:szCs w:val="21"/>
          </w:rPr>
          <w:t>www.nffund.com</w:t>
        </w:r>
      </w:hyperlink>
      <w:r w:rsidRPr="00A93986">
        <w:rPr>
          <w:rFonts w:asciiTheme="minorEastAsia" w:eastAsiaTheme="minorEastAsia" w:hAnsiTheme="minorEastAsia" w:cs="Times New Roman"/>
          <w:color w:val="000000"/>
          <w:kern w:val="2"/>
          <w:sz w:val="21"/>
          <w:szCs w:val="21"/>
        </w:rPr>
        <w:t>)或拨打客户</w:t>
      </w:r>
      <w:r w:rsidRPr="00A93986">
        <w:rPr>
          <w:rFonts w:asciiTheme="minorEastAsia" w:eastAsiaTheme="minorEastAsia" w:hAnsiTheme="minorEastAsia" w:hint="eastAsia"/>
          <w:color w:val="000000"/>
          <w:sz w:val="21"/>
          <w:szCs w:val="21"/>
        </w:rPr>
        <w:t>服务电话（</w:t>
      </w:r>
      <w:r w:rsidRPr="00A93986">
        <w:rPr>
          <w:rFonts w:asciiTheme="minorEastAsia" w:eastAsiaTheme="minorEastAsia" w:hAnsiTheme="minorEastAsia"/>
          <w:color w:val="000000"/>
          <w:sz w:val="21"/>
          <w:szCs w:val="21"/>
        </w:rPr>
        <w:t>400－889－8899）咨询相关情况。</w:t>
      </w:r>
    </w:p>
    <w:p w:rsidR="004E35E4" w:rsidRPr="00A93986" w:rsidRDefault="008309AE">
      <w:pPr>
        <w:spacing w:line="360" w:lineRule="auto"/>
        <w:ind w:firstLine="450"/>
        <w:rPr>
          <w:rFonts w:asciiTheme="minorEastAsia" w:eastAsiaTheme="minorEastAsia" w:hAnsiTheme="minorEastAsia"/>
          <w:b/>
          <w:szCs w:val="21"/>
        </w:rPr>
      </w:pPr>
      <w:r w:rsidRPr="00A93986">
        <w:rPr>
          <w:rFonts w:asciiTheme="minorEastAsia" w:eastAsiaTheme="minorEastAsia" w:hAnsiTheme="minorEastAsia" w:hint="eastAsia"/>
          <w:b/>
          <w:szCs w:val="21"/>
        </w:rPr>
        <w:t>风险提示：</w:t>
      </w:r>
    </w:p>
    <w:p w:rsidR="004E35E4" w:rsidRPr="00A93986" w:rsidRDefault="008309AE">
      <w:pPr>
        <w:spacing w:line="360" w:lineRule="auto"/>
        <w:ind w:firstLine="450"/>
        <w:rPr>
          <w:rFonts w:asciiTheme="minorEastAsia" w:eastAsiaTheme="minorEastAsia" w:hAnsiTheme="minorEastAsia"/>
          <w:szCs w:val="21"/>
        </w:rPr>
      </w:pPr>
      <w:r w:rsidRPr="00A93986">
        <w:rPr>
          <w:rFonts w:asciiTheme="minorEastAsia" w:eastAsiaTheme="minorEastAsia" w:hAnsiTheme="minorEastAsia" w:hint="eastAsia"/>
          <w:szCs w:val="21"/>
        </w:rPr>
        <w:t>投资人应认真阅读拟投资基金的《基金合同》、《招募说明书》等法律文件，了解所投资基金的风险收益特征，并根据自身情况购买与本人风险承受能力相匹配的产品。</w:t>
      </w:r>
    </w:p>
    <w:p w:rsidR="004E35E4" w:rsidRPr="00A93986" w:rsidRDefault="008309AE">
      <w:pPr>
        <w:spacing w:line="360" w:lineRule="auto"/>
        <w:ind w:firstLine="450"/>
        <w:rPr>
          <w:rFonts w:asciiTheme="minorEastAsia" w:eastAsiaTheme="minorEastAsia" w:hAnsiTheme="minorEastAsia"/>
          <w:szCs w:val="21"/>
        </w:rPr>
      </w:pPr>
      <w:r w:rsidRPr="00A93986">
        <w:rPr>
          <w:rFonts w:asciiTheme="minorEastAsia" w:eastAsiaTheme="minorEastAsia" w:hAnsiTheme="minorEastAsia" w:hint="eastAsia"/>
          <w:szCs w:val="21"/>
        </w:rPr>
        <w:t>特此公告</w:t>
      </w:r>
    </w:p>
    <w:p w:rsidR="0088588D" w:rsidRPr="00A93986" w:rsidRDefault="0088588D">
      <w:pPr>
        <w:spacing w:line="360" w:lineRule="auto"/>
        <w:ind w:firstLine="450"/>
        <w:rPr>
          <w:rFonts w:asciiTheme="minorEastAsia" w:eastAsiaTheme="minorEastAsia" w:hAnsiTheme="minorEastAsia"/>
          <w:szCs w:val="21"/>
        </w:rPr>
      </w:pPr>
    </w:p>
    <w:p w:rsidR="0088588D" w:rsidRPr="00A93986" w:rsidRDefault="0088588D">
      <w:pPr>
        <w:spacing w:line="360" w:lineRule="auto"/>
        <w:ind w:firstLine="450"/>
        <w:rPr>
          <w:rFonts w:asciiTheme="minorEastAsia" w:eastAsiaTheme="minorEastAsia" w:hAnsiTheme="minorEastAsia"/>
          <w:szCs w:val="21"/>
        </w:rPr>
      </w:pPr>
    </w:p>
    <w:p w:rsidR="004E35E4" w:rsidRPr="00A93986" w:rsidRDefault="008309AE">
      <w:pPr>
        <w:spacing w:line="360" w:lineRule="auto"/>
        <w:ind w:firstLine="450"/>
        <w:jc w:val="right"/>
        <w:rPr>
          <w:rFonts w:asciiTheme="minorEastAsia" w:eastAsiaTheme="minorEastAsia" w:hAnsiTheme="minorEastAsia"/>
          <w:szCs w:val="21"/>
        </w:rPr>
      </w:pPr>
      <w:r w:rsidRPr="00A93986">
        <w:rPr>
          <w:rFonts w:asciiTheme="minorEastAsia" w:eastAsiaTheme="minorEastAsia" w:hAnsiTheme="minorEastAsia" w:hint="eastAsia"/>
          <w:szCs w:val="21"/>
        </w:rPr>
        <w:t>南方基金管理</w:t>
      </w:r>
      <w:r w:rsidR="00FF2C24" w:rsidRPr="00A93986">
        <w:rPr>
          <w:rFonts w:asciiTheme="minorEastAsia" w:eastAsiaTheme="minorEastAsia" w:hAnsiTheme="minorEastAsia" w:hint="eastAsia"/>
          <w:szCs w:val="21"/>
        </w:rPr>
        <w:t>股份</w:t>
      </w:r>
      <w:r w:rsidRPr="00A93986">
        <w:rPr>
          <w:rFonts w:asciiTheme="minorEastAsia" w:eastAsiaTheme="minorEastAsia" w:hAnsiTheme="minorEastAsia" w:hint="eastAsia"/>
          <w:szCs w:val="21"/>
        </w:rPr>
        <w:t>有限公司</w:t>
      </w:r>
    </w:p>
    <w:p w:rsidR="004E35E4" w:rsidRPr="00077F90" w:rsidRDefault="00A93986">
      <w:pPr>
        <w:spacing w:line="360" w:lineRule="auto"/>
        <w:ind w:firstLine="450"/>
        <w:jc w:val="right"/>
        <w:rPr>
          <w:rFonts w:asciiTheme="minorEastAsia" w:eastAsiaTheme="minorEastAsia" w:hAnsiTheme="minorEastAsia"/>
        </w:rPr>
      </w:pPr>
      <w:r w:rsidRPr="00EB4FA5">
        <w:rPr>
          <w:rFonts w:asciiTheme="minorEastAsia" w:hAnsiTheme="minorEastAsia"/>
          <w:szCs w:val="21"/>
        </w:rPr>
        <w:t>2023年</w:t>
      </w:r>
      <w:r w:rsidR="00A315F8">
        <w:rPr>
          <w:rFonts w:asciiTheme="minorEastAsia" w:hAnsiTheme="minorEastAsia"/>
          <w:szCs w:val="21"/>
        </w:rPr>
        <w:t>5</w:t>
      </w:r>
      <w:r w:rsidR="00397ACB" w:rsidRPr="00EB4FA5">
        <w:rPr>
          <w:rFonts w:asciiTheme="minorEastAsia" w:hAnsiTheme="minorEastAsia"/>
          <w:szCs w:val="21"/>
        </w:rPr>
        <w:t>月</w:t>
      </w:r>
      <w:r w:rsidR="00A315F8">
        <w:rPr>
          <w:rFonts w:asciiTheme="minorEastAsia" w:hAnsiTheme="minorEastAsia"/>
          <w:szCs w:val="21"/>
        </w:rPr>
        <w:t>11</w:t>
      </w:r>
      <w:r w:rsidR="00397ACB" w:rsidRPr="00EB4FA5">
        <w:rPr>
          <w:rFonts w:asciiTheme="minorEastAsia" w:hAnsiTheme="minorEastAsia"/>
          <w:szCs w:val="21"/>
        </w:rPr>
        <w:t>日</w:t>
      </w:r>
    </w:p>
    <w:sectPr w:rsidR="004E35E4" w:rsidRPr="00077F90" w:rsidSect="005149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4461" w:rsidRDefault="001A4461" w:rsidP="00B708BF">
      <w:r>
        <w:separator/>
      </w:r>
    </w:p>
  </w:endnote>
  <w:endnote w:type="continuationSeparator" w:id="0">
    <w:p w:rsidR="001A4461" w:rsidRDefault="001A4461" w:rsidP="00B708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4461" w:rsidRDefault="001A4461" w:rsidP="00B708BF">
      <w:r>
        <w:separator/>
      </w:r>
    </w:p>
  </w:footnote>
  <w:footnote w:type="continuationSeparator" w:id="0">
    <w:p w:rsidR="001A4461" w:rsidRDefault="001A4461" w:rsidP="00B708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69FE"/>
    <w:rsid w:val="00001DC0"/>
    <w:rsid w:val="00003785"/>
    <w:rsid w:val="00004C2C"/>
    <w:rsid w:val="00052BA7"/>
    <w:rsid w:val="00077F90"/>
    <w:rsid w:val="000C6A02"/>
    <w:rsid w:val="000C7B8D"/>
    <w:rsid w:val="000F3E5D"/>
    <w:rsid w:val="00125A7E"/>
    <w:rsid w:val="00126CE8"/>
    <w:rsid w:val="00145474"/>
    <w:rsid w:val="0015168E"/>
    <w:rsid w:val="00161054"/>
    <w:rsid w:val="00161AD3"/>
    <w:rsid w:val="00164C8D"/>
    <w:rsid w:val="00197ACF"/>
    <w:rsid w:val="001A1BF8"/>
    <w:rsid w:val="001A4461"/>
    <w:rsid w:val="001C42EB"/>
    <w:rsid w:val="001D4AA3"/>
    <w:rsid w:val="001F6101"/>
    <w:rsid w:val="001F6B48"/>
    <w:rsid w:val="002447E6"/>
    <w:rsid w:val="002453EF"/>
    <w:rsid w:val="00260136"/>
    <w:rsid w:val="002617B3"/>
    <w:rsid w:val="00275618"/>
    <w:rsid w:val="002823A8"/>
    <w:rsid w:val="0028790A"/>
    <w:rsid w:val="002A3573"/>
    <w:rsid w:val="002C3FC9"/>
    <w:rsid w:val="002D303B"/>
    <w:rsid w:val="002F470A"/>
    <w:rsid w:val="00305B06"/>
    <w:rsid w:val="00324C96"/>
    <w:rsid w:val="003314A7"/>
    <w:rsid w:val="0035362C"/>
    <w:rsid w:val="00380381"/>
    <w:rsid w:val="0039683B"/>
    <w:rsid w:val="00397ACB"/>
    <w:rsid w:val="003B2C54"/>
    <w:rsid w:val="003B358C"/>
    <w:rsid w:val="003D0893"/>
    <w:rsid w:val="003D6009"/>
    <w:rsid w:val="003F39F9"/>
    <w:rsid w:val="003F4FA4"/>
    <w:rsid w:val="00426D50"/>
    <w:rsid w:val="00434743"/>
    <w:rsid w:val="004471C2"/>
    <w:rsid w:val="0045102E"/>
    <w:rsid w:val="004550BB"/>
    <w:rsid w:val="0047216D"/>
    <w:rsid w:val="00475453"/>
    <w:rsid w:val="00481EA5"/>
    <w:rsid w:val="004C2082"/>
    <w:rsid w:val="004D2E82"/>
    <w:rsid w:val="004E35E4"/>
    <w:rsid w:val="004F0593"/>
    <w:rsid w:val="005149AD"/>
    <w:rsid w:val="0052796C"/>
    <w:rsid w:val="0053591B"/>
    <w:rsid w:val="005369FE"/>
    <w:rsid w:val="00542FE6"/>
    <w:rsid w:val="00563296"/>
    <w:rsid w:val="00564E05"/>
    <w:rsid w:val="00566756"/>
    <w:rsid w:val="0057728C"/>
    <w:rsid w:val="00577765"/>
    <w:rsid w:val="005867D0"/>
    <w:rsid w:val="005A7BB9"/>
    <w:rsid w:val="005D0F58"/>
    <w:rsid w:val="005D4EA8"/>
    <w:rsid w:val="00602808"/>
    <w:rsid w:val="00616176"/>
    <w:rsid w:val="00616586"/>
    <w:rsid w:val="006606CC"/>
    <w:rsid w:val="00663355"/>
    <w:rsid w:val="0069249F"/>
    <w:rsid w:val="00696B22"/>
    <w:rsid w:val="006A1FEC"/>
    <w:rsid w:val="006F4D57"/>
    <w:rsid w:val="006F6804"/>
    <w:rsid w:val="0072245B"/>
    <w:rsid w:val="0073212E"/>
    <w:rsid w:val="00735667"/>
    <w:rsid w:val="00754DC9"/>
    <w:rsid w:val="00794F1C"/>
    <w:rsid w:val="007A013D"/>
    <w:rsid w:val="007A2D0E"/>
    <w:rsid w:val="007B5218"/>
    <w:rsid w:val="007F07C2"/>
    <w:rsid w:val="008200F0"/>
    <w:rsid w:val="008309AE"/>
    <w:rsid w:val="0083531D"/>
    <w:rsid w:val="008734D2"/>
    <w:rsid w:val="008816AE"/>
    <w:rsid w:val="0088588D"/>
    <w:rsid w:val="0090519F"/>
    <w:rsid w:val="00930056"/>
    <w:rsid w:val="009333A5"/>
    <w:rsid w:val="009621F7"/>
    <w:rsid w:val="0096491F"/>
    <w:rsid w:val="00964CD9"/>
    <w:rsid w:val="00971A4E"/>
    <w:rsid w:val="009734EC"/>
    <w:rsid w:val="00987A1F"/>
    <w:rsid w:val="00991489"/>
    <w:rsid w:val="00991CDF"/>
    <w:rsid w:val="009B026B"/>
    <w:rsid w:val="009C74A6"/>
    <w:rsid w:val="009C78E6"/>
    <w:rsid w:val="009D26E1"/>
    <w:rsid w:val="00A0257D"/>
    <w:rsid w:val="00A315F8"/>
    <w:rsid w:val="00A423C7"/>
    <w:rsid w:val="00A53541"/>
    <w:rsid w:val="00A61921"/>
    <w:rsid w:val="00A83696"/>
    <w:rsid w:val="00A90286"/>
    <w:rsid w:val="00A93986"/>
    <w:rsid w:val="00A96D5B"/>
    <w:rsid w:val="00AA0716"/>
    <w:rsid w:val="00AF3D72"/>
    <w:rsid w:val="00B164EB"/>
    <w:rsid w:val="00B33EF1"/>
    <w:rsid w:val="00B36B3F"/>
    <w:rsid w:val="00B535D3"/>
    <w:rsid w:val="00B57704"/>
    <w:rsid w:val="00B708BF"/>
    <w:rsid w:val="00B8275F"/>
    <w:rsid w:val="00B92297"/>
    <w:rsid w:val="00BA184A"/>
    <w:rsid w:val="00BA54AE"/>
    <w:rsid w:val="00BD7132"/>
    <w:rsid w:val="00C05673"/>
    <w:rsid w:val="00C23999"/>
    <w:rsid w:val="00C348A6"/>
    <w:rsid w:val="00C36BC9"/>
    <w:rsid w:val="00C62A82"/>
    <w:rsid w:val="00CE6C34"/>
    <w:rsid w:val="00D06BD7"/>
    <w:rsid w:val="00D31ADA"/>
    <w:rsid w:val="00D34F4E"/>
    <w:rsid w:val="00D655AC"/>
    <w:rsid w:val="00D726FA"/>
    <w:rsid w:val="00D95574"/>
    <w:rsid w:val="00DB4F6D"/>
    <w:rsid w:val="00DC6DC7"/>
    <w:rsid w:val="00DF78E0"/>
    <w:rsid w:val="00E04136"/>
    <w:rsid w:val="00E40291"/>
    <w:rsid w:val="00E66EDB"/>
    <w:rsid w:val="00E8092E"/>
    <w:rsid w:val="00E9779D"/>
    <w:rsid w:val="00EB4FA5"/>
    <w:rsid w:val="00EC0C41"/>
    <w:rsid w:val="00F01515"/>
    <w:rsid w:val="00F102AC"/>
    <w:rsid w:val="00F20009"/>
    <w:rsid w:val="00F472EF"/>
    <w:rsid w:val="00F54D0B"/>
    <w:rsid w:val="00F84AD5"/>
    <w:rsid w:val="00F855F4"/>
    <w:rsid w:val="00F946CB"/>
    <w:rsid w:val="00FD2FEC"/>
    <w:rsid w:val="00FD7ED3"/>
    <w:rsid w:val="00FE2F1E"/>
    <w:rsid w:val="00FF230D"/>
    <w:rsid w:val="00FF2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EA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08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08BF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08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08BF"/>
    <w:rPr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542FE6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542FE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42FE6"/>
    <w:rPr>
      <w:kern w:val="2"/>
      <w:sz w:val="18"/>
      <w:szCs w:val="18"/>
    </w:rPr>
  </w:style>
  <w:style w:type="paragraph" w:styleId="a7">
    <w:name w:val="Normal (Web)"/>
    <w:basedOn w:val="a"/>
    <w:uiPriority w:val="99"/>
    <w:unhideWhenUsed/>
    <w:rsid w:val="00A535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B164EB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B164EB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B164EB"/>
    <w:rPr>
      <w:kern w:val="2"/>
      <w:sz w:val="21"/>
      <w:szCs w:val="22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B164EB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B164EB"/>
    <w:rPr>
      <w:b/>
      <w:bCs/>
      <w:kern w:val="2"/>
      <w:sz w:val="21"/>
      <w:szCs w:val="22"/>
    </w:rPr>
  </w:style>
  <w:style w:type="table" w:customStyle="1" w:styleId="dxjgtable">
    <w:name w:val="dxjg_table"/>
    <w:basedOn w:val="a1"/>
    <w:uiPriority w:val="99"/>
    <w:rsid w:val="00481E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ffund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4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ZHONGM</cp:lastModifiedBy>
  <cp:revision>2</cp:revision>
  <dcterms:created xsi:type="dcterms:W3CDTF">2023-05-10T16:01:00Z</dcterms:created>
  <dcterms:modified xsi:type="dcterms:W3CDTF">2023-05-10T16:01:00Z</dcterms:modified>
</cp:coreProperties>
</file>