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4B1" w:rsidRDefault="00E01192">
      <w:pPr>
        <w:jc w:val="center"/>
        <w:rPr>
          <w:rFonts w:ascii="宋体" w:eastAsia="宋体" w:hAnsi="宋体"/>
          <w:b/>
          <w:bCs/>
          <w:sz w:val="30"/>
          <w:szCs w:val="30"/>
        </w:rPr>
      </w:pPr>
      <w:r>
        <w:rPr>
          <w:rFonts w:ascii="宋体" w:eastAsia="宋体" w:hAnsi="宋体" w:hint="eastAsia"/>
          <w:b/>
          <w:bCs/>
          <w:sz w:val="30"/>
          <w:szCs w:val="30"/>
        </w:rPr>
        <w:t>国联安基金管理有限公司关于旗下部分基金投资询价转让</w:t>
      </w:r>
    </w:p>
    <w:p w:rsidR="004914B1" w:rsidRDefault="00E01192" w:rsidP="00CA081E">
      <w:pPr>
        <w:jc w:val="center"/>
        <w:rPr>
          <w:rFonts w:ascii="宋体" w:eastAsia="宋体" w:hAnsi="宋体"/>
          <w:b/>
          <w:bCs/>
          <w:sz w:val="30"/>
          <w:szCs w:val="30"/>
        </w:rPr>
      </w:pPr>
      <w:r>
        <w:rPr>
          <w:rFonts w:ascii="宋体" w:eastAsia="宋体" w:hAnsi="宋体" w:hint="eastAsia"/>
          <w:b/>
          <w:bCs/>
          <w:sz w:val="30"/>
          <w:szCs w:val="30"/>
        </w:rPr>
        <w:t>股票的公告</w:t>
      </w:r>
    </w:p>
    <w:p w:rsidR="004914B1" w:rsidRDefault="00E01192" w:rsidP="00CA081E">
      <w:pPr>
        <w:spacing w:line="480" w:lineRule="auto"/>
        <w:ind w:firstLineChars="200" w:firstLine="480"/>
        <w:rPr>
          <w:rFonts w:ascii="宋体" w:eastAsia="宋体" w:hAnsi="宋体"/>
          <w:sz w:val="24"/>
          <w:szCs w:val="24"/>
        </w:rPr>
      </w:pPr>
      <w:r>
        <w:rPr>
          <w:rFonts w:ascii="宋体" w:eastAsia="宋体" w:hAnsi="宋体" w:hint="eastAsia"/>
          <w:sz w:val="24"/>
          <w:szCs w:val="24"/>
        </w:rPr>
        <w:t>国联安基金管理有限公司（以下简称“本公司”）旗下国联安优选行业混合型证券投资基金（以下简称“国联安优选行业混合”）、国联安科技动力股票型证券投资基金（以下简称“国联安科技动力股票”）、国联安科技创新混合型证券投资基金（</w:t>
      </w:r>
      <w:r>
        <w:rPr>
          <w:rFonts w:ascii="宋体" w:eastAsia="宋体" w:hAnsi="宋体"/>
          <w:sz w:val="24"/>
          <w:szCs w:val="24"/>
        </w:rPr>
        <w:t>LOF</w:t>
      </w:r>
      <w:r>
        <w:rPr>
          <w:rFonts w:ascii="宋体" w:eastAsia="宋体" w:hAnsi="宋体"/>
          <w:sz w:val="24"/>
          <w:szCs w:val="24"/>
        </w:rPr>
        <w:t>）</w:t>
      </w:r>
      <w:r>
        <w:rPr>
          <w:rFonts w:ascii="宋体" w:eastAsia="宋体" w:hAnsi="宋体" w:hint="eastAsia"/>
          <w:sz w:val="24"/>
          <w:szCs w:val="24"/>
        </w:rPr>
        <w:t>（以下简称“国联安科创混合（</w:t>
      </w:r>
      <w:r>
        <w:rPr>
          <w:rFonts w:ascii="宋体" w:eastAsia="宋体" w:hAnsi="宋体"/>
          <w:sz w:val="24"/>
          <w:szCs w:val="24"/>
        </w:rPr>
        <w:t>LOF</w:t>
      </w:r>
      <w:r>
        <w:rPr>
          <w:rFonts w:ascii="宋体" w:eastAsia="宋体" w:hAnsi="宋体"/>
          <w:sz w:val="24"/>
          <w:szCs w:val="24"/>
        </w:rPr>
        <w:t>）</w:t>
      </w:r>
      <w:r>
        <w:rPr>
          <w:rFonts w:ascii="宋体" w:eastAsia="宋体" w:hAnsi="宋体" w:hint="eastAsia"/>
          <w:sz w:val="24"/>
          <w:szCs w:val="24"/>
        </w:rPr>
        <w:t>”）参与了拓荆科技股份有限公司（股票简称：拓荆</w:t>
      </w:r>
      <w:r>
        <w:rPr>
          <w:rFonts w:ascii="宋体" w:eastAsia="宋体" w:hAnsi="宋体" w:hint="eastAsia"/>
          <w:sz w:val="24"/>
          <w:szCs w:val="24"/>
        </w:rPr>
        <w:t>科技，股票代码：</w:t>
      </w:r>
      <w:r>
        <w:rPr>
          <w:rFonts w:ascii="宋体" w:eastAsia="宋体" w:hAnsi="宋体"/>
          <w:sz w:val="24"/>
          <w:szCs w:val="24"/>
        </w:rPr>
        <w:t>688</w:t>
      </w:r>
      <w:r>
        <w:rPr>
          <w:rFonts w:ascii="宋体" w:eastAsia="宋体" w:hAnsi="宋体" w:hint="eastAsia"/>
          <w:sz w:val="24"/>
          <w:szCs w:val="24"/>
        </w:rPr>
        <w:t>072</w:t>
      </w:r>
      <w:r>
        <w:rPr>
          <w:rFonts w:ascii="宋体" w:eastAsia="宋体" w:hAnsi="宋体"/>
          <w:sz w:val="24"/>
          <w:szCs w:val="24"/>
        </w:rPr>
        <w:t>）</w:t>
      </w:r>
      <w:r w:rsidRPr="00CA081E">
        <w:rPr>
          <w:rFonts w:ascii="宋体" w:eastAsia="宋体" w:hAnsi="宋体" w:hint="eastAsia"/>
          <w:sz w:val="24"/>
          <w:szCs w:val="24"/>
        </w:rPr>
        <w:t>向特定机构投资者</w:t>
      </w:r>
      <w:r w:rsidRPr="00CA081E">
        <w:rPr>
          <w:rFonts w:ascii="宋体" w:eastAsia="宋体" w:hAnsi="宋体"/>
          <w:sz w:val="24"/>
          <w:szCs w:val="24"/>
        </w:rPr>
        <w:t>询价转让</w:t>
      </w:r>
      <w:r w:rsidRPr="00CA081E">
        <w:rPr>
          <w:rFonts w:ascii="宋体" w:eastAsia="宋体" w:hAnsi="宋体" w:hint="eastAsia"/>
          <w:sz w:val="24"/>
          <w:szCs w:val="24"/>
        </w:rPr>
        <w:t>股份事宜。拓荆科技股份有限公司于</w:t>
      </w:r>
      <w:r w:rsidRPr="00CA081E">
        <w:rPr>
          <w:rFonts w:ascii="宋体" w:eastAsia="宋体" w:hAnsi="宋体"/>
          <w:sz w:val="24"/>
          <w:szCs w:val="24"/>
        </w:rPr>
        <w:t>202</w:t>
      </w:r>
      <w:r w:rsidRPr="00CA081E">
        <w:rPr>
          <w:rFonts w:ascii="宋体" w:eastAsia="宋体" w:hAnsi="宋体" w:hint="eastAsia"/>
          <w:sz w:val="24"/>
          <w:szCs w:val="24"/>
        </w:rPr>
        <w:t>3</w:t>
      </w:r>
      <w:r w:rsidRPr="00CA081E">
        <w:rPr>
          <w:rFonts w:ascii="宋体" w:eastAsia="宋体" w:hAnsi="宋体" w:hint="eastAsia"/>
          <w:sz w:val="24"/>
          <w:szCs w:val="24"/>
        </w:rPr>
        <w:t>年</w:t>
      </w:r>
      <w:r w:rsidRPr="00CA081E">
        <w:rPr>
          <w:rFonts w:ascii="宋体" w:eastAsia="宋体" w:hAnsi="宋体" w:hint="eastAsia"/>
          <w:sz w:val="24"/>
          <w:szCs w:val="24"/>
        </w:rPr>
        <w:t>4</w:t>
      </w:r>
      <w:r w:rsidRPr="00CA081E">
        <w:rPr>
          <w:rFonts w:ascii="宋体" w:eastAsia="宋体" w:hAnsi="宋体" w:hint="eastAsia"/>
          <w:sz w:val="24"/>
          <w:szCs w:val="24"/>
        </w:rPr>
        <w:t>月</w:t>
      </w:r>
      <w:r w:rsidRPr="00CA081E">
        <w:rPr>
          <w:rFonts w:ascii="宋体" w:eastAsia="宋体" w:hAnsi="宋体" w:hint="eastAsia"/>
          <w:sz w:val="24"/>
          <w:szCs w:val="24"/>
        </w:rPr>
        <w:t>28</w:t>
      </w:r>
      <w:r w:rsidRPr="00CA081E">
        <w:rPr>
          <w:rFonts w:ascii="宋体" w:eastAsia="宋体" w:hAnsi="宋体" w:hint="eastAsia"/>
          <w:sz w:val="24"/>
          <w:szCs w:val="24"/>
        </w:rPr>
        <w:t>日发布《</w:t>
      </w:r>
      <w:r w:rsidR="00CA081E" w:rsidRPr="00CA081E">
        <w:rPr>
          <w:rFonts w:ascii="宋体" w:eastAsia="宋体" w:hAnsi="宋体" w:hint="eastAsia"/>
          <w:sz w:val="24"/>
          <w:szCs w:val="24"/>
        </w:rPr>
        <w:t>中信证券股份有限公司关于拓荆科技股份有限公司股东向特定机构投资者询价转让股份的核查报告</w:t>
      </w:r>
      <w:r w:rsidRPr="00CA081E">
        <w:rPr>
          <w:rFonts w:ascii="宋体" w:eastAsia="宋体" w:hAnsi="宋体" w:hint="eastAsia"/>
          <w:sz w:val="24"/>
          <w:szCs w:val="24"/>
        </w:rPr>
        <w:t>》</w:t>
      </w:r>
      <w:r>
        <w:rPr>
          <w:rFonts w:ascii="宋体" w:eastAsia="宋体" w:hAnsi="宋体" w:hint="eastAsia"/>
          <w:sz w:val="24"/>
          <w:szCs w:val="24"/>
        </w:rPr>
        <w:t>，公布了本次询价转让结果。</w:t>
      </w:r>
    </w:p>
    <w:p w:rsidR="004914B1" w:rsidRDefault="00E01192">
      <w:pPr>
        <w:spacing w:line="480" w:lineRule="auto"/>
        <w:ind w:firstLineChars="200" w:firstLine="480"/>
        <w:rPr>
          <w:rFonts w:ascii="宋体" w:eastAsia="宋体" w:hAnsi="宋体"/>
          <w:sz w:val="24"/>
          <w:szCs w:val="24"/>
        </w:rPr>
      </w:pPr>
      <w:r>
        <w:rPr>
          <w:rFonts w:ascii="宋体" w:eastAsia="宋体" w:hAnsi="宋体"/>
          <w:sz w:val="24"/>
          <w:szCs w:val="24"/>
        </w:rPr>
        <w:t>根据中国证监会《关于基金投资非公开发行股票等流通受限证券有关问题的通知》等有关规定，本公司现将旗下</w:t>
      </w:r>
      <w:r>
        <w:rPr>
          <w:rFonts w:ascii="宋体" w:eastAsia="宋体" w:hAnsi="宋体" w:hint="eastAsia"/>
          <w:sz w:val="24"/>
          <w:szCs w:val="24"/>
        </w:rPr>
        <w:t>部分</w:t>
      </w:r>
      <w:r>
        <w:rPr>
          <w:rFonts w:ascii="宋体" w:eastAsia="宋体" w:hAnsi="宋体"/>
          <w:sz w:val="24"/>
          <w:szCs w:val="24"/>
        </w:rPr>
        <w:t>基金投资</w:t>
      </w:r>
      <w:r>
        <w:rPr>
          <w:rFonts w:ascii="宋体" w:eastAsia="宋体" w:hAnsi="宋体" w:hint="eastAsia"/>
          <w:sz w:val="24"/>
          <w:szCs w:val="24"/>
        </w:rPr>
        <w:t>拓荆科技股份有限公司</w:t>
      </w:r>
      <w:r>
        <w:rPr>
          <w:rFonts w:ascii="宋体" w:eastAsia="宋体" w:hAnsi="宋体"/>
          <w:sz w:val="24"/>
          <w:szCs w:val="24"/>
        </w:rPr>
        <w:t>的相关信息公告如下：</w:t>
      </w:r>
    </w:p>
    <w:tbl>
      <w:tblPr>
        <w:tblStyle w:val="a7"/>
        <w:tblW w:w="9356" w:type="dxa"/>
        <w:tblInd w:w="-572" w:type="dxa"/>
        <w:tblLayout w:type="fixed"/>
        <w:tblLook w:val="04A0"/>
      </w:tblPr>
      <w:tblGrid>
        <w:gridCol w:w="1106"/>
        <w:gridCol w:w="1672"/>
        <w:gridCol w:w="1776"/>
        <w:gridCol w:w="1015"/>
        <w:gridCol w:w="1776"/>
        <w:gridCol w:w="1036"/>
        <w:gridCol w:w="975"/>
      </w:tblGrid>
      <w:tr w:rsidR="004914B1">
        <w:tc>
          <w:tcPr>
            <w:tcW w:w="1106" w:type="dxa"/>
          </w:tcPr>
          <w:p w:rsidR="004914B1" w:rsidRDefault="004914B1">
            <w:pPr>
              <w:spacing w:line="276" w:lineRule="auto"/>
              <w:jc w:val="center"/>
              <w:rPr>
                <w:rFonts w:ascii="宋体" w:eastAsia="宋体" w:hAnsi="宋体"/>
                <w:sz w:val="24"/>
                <w:szCs w:val="24"/>
              </w:rPr>
            </w:pPr>
          </w:p>
          <w:p w:rsidR="004914B1" w:rsidRDefault="00E01192">
            <w:pPr>
              <w:spacing w:line="276" w:lineRule="auto"/>
              <w:jc w:val="center"/>
              <w:rPr>
                <w:rFonts w:ascii="宋体" w:eastAsia="宋体" w:hAnsi="宋体"/>
                <w:sz w:val="24"/>
                <w:szCs w:val="24"/>
              </w:rPr>
            </w:pPr>
            <w:r>
              <w:rPr>
                <w:rFonts w:ascii="宋体" w:eastAsia="宋体" w:hAnsi="宋体" w:hint="eastAsia"/>
                <w:sz w:val="24"/>
                <w:szCs w:val="24"/>
              </w:rPr>
              <w:t>基金</w:t>
            </w:r>
          </w:p>
          <w:p w:rsidR="004914B1" w:rsidRDefault="00E01192">
            <w:pPr>
              <w:spacing w:line="276" w:lineRule="auto"/>
              <w:jc w:val="center"/>
              <w:rPr>
                <w:rFonts w:ascii="宋体" w:eastAsia="宋体" w:hAnsi="宋体"/>
                <w:sz w:val="24"/>
                <w:szCs w:val="24"/>
              </w:rPr>
            </w:pPr>
            <w:r>
              <w:rPr>
                <w:rFonts w:ascii="宋体" w:eastAsia="宋体" w:hAnsi="宋体" w:hint="eastAsia"/>
                <w:sz w:val="24"/>
                <w:szCs w:val="24"/>
              </w:rPr>
              <w:t>名称</w:t>
            </w:r>
          </w:p>
        </w:tc>
        <w:tc>
          <w:tcPr>
            <w:tcW w:w="1672" w:type="dxa"/>
          </w:tcPr>
          <w:p w:rsidR="004914B1" w:rsidRDefault="004914B1">
            <w:pPr>
              <w:spacing w:line="276" w:lineRule="auto"/>
              <w:jc w:val="center"/>
              <w:rPr>
                <w:rFonts w:ascii="宋体" w:eastAsia="宋体" w:hAnsi="宋体"/>
                <w:sz w:val="24"/>
                <w:szCs w:val="24"/>
              </w:rPr>
            </w:pPr>
          </w:p>
          <w:p w:rsidR="004914B1" w:rsidRDefault="00E01192">
            <w:pPr>
              <w:spacing w:line="276" w:lineRule="auto"/>
              <w:jc w:val="center"/>
              <w:rPr>
                <w:rFonts w:ascii="宋体" w:eastAsia="宋体" w:hAnsi="宋体"/>
                <w:sz w:val="24"/>
                <w:szCs w:val="24"/>
              </w:rPr>
            </w:pPr>
            <w:r>
              <w:rPr>
                <w:rFonts w:ascii="宋体" w:eastAsia="宋体" w:hAnsi="宋体" w:hint="eastAsia"/>
                <w:sz w:val="24"/>
                <w:szCs w:val="24"/>
              </w:rPr>
              <w:t>获配数量（股）</w:t>
            </w:r>
          </w:p>
        </w:tc>
        <w:tc>
          <w:tcPr>
            <w:tcW w:w="1776" w:type="dxa"/>
          </w:tcPr>
          <w:p w:rsidR="004914B1" w:rsidRDefault="004914B1">
            <w:pPr>
              <w:spacing w:line="276" w:lineRule="auto"/>
              <w:rPr>
                <w:rFonts w:ascii="宋体" w:eastAsia="宋体" w:hAnsi="宋体"/>
                <w:sz w:val="24"/>
                <w:szCs w:val="24"/>
              </w:rPr>
            </w:pPr>
          </w:p>
          <w:p w:rsidR="004914B1" w:rsidRDefault="00E01192">
            <w:pPr>
              <w:spacing w:line="276" w:lineRule="auto"/>
              <w:jc w:val="center"/>
              <w:rPr>
                <w:rFonts w:ascii="宋体" w:eastAsia="宋体" w:hAnsi="宋体"/>
                <w:sz w:val="24"/>
                <w:szCs w:val="24"/>
              </w:rPr>
            </w:pPr>
            <w:r>
              <w:rPr>
                <w:rFonts w:ascii="宋体" w:eastAsia="宋体" w:hAnsi="宋体" w:hint="eastAsia"/>
                <w:sz w:val="24"/>
                <w:szCs w:val="24"/>
              </w:rPr>
              <w:t>总成本（元）</w:t>
            </w:r>
          </w:p>
        </w:tc>
        <w:tc>
          <w:tcPr>
            <w:tcW w:w="1015" w:type="dxa"/>
          </w:tcPr>
          <w:p w:rsidR="004914B1" w:rsidRDefault="00E01192">
            <w:pPr>
              <w:spacing w:line="276" w:lineRule="auto"/>
              <w:jc w:val="center"/>
              <w:rPr>
                <w:rFonts w:ascii="宋体" w:eastAsia="宋体" w:hAnsi="宋体"/>
                <w:sz w:val="24"/>
                <w:szCs w:val="24"/>
              </w:rPr>
            </w:pPr>
            <w:r>
              <w:rPr>
                <w:rFonts w:ascii="宋体" w:eastAsia="宋体" w:hAnsi="宋体" w:hint="eastAsia"/>
                <w:sz w:val="24"/>
                <w:szCs w:val="24"/>
              </w:rPr>
              <w:t>总成本占基金资产净值比例（</w:t>
            </w:r>
            <w:r>
              <w:rPr>
                <w:rFonts w:ascii="宋体" w:eastAsia="宋体" w:hAnsi="宋体" w:hint="eastAsia"/>
                <w:sz w:val="24"/>
                <w:szCs w:val="24"/>
              </w:rPr>
              <w:t>%</w:t>
            </w:r>
            <w:r>
              <w:rPr>
                <w:rFonts w:ascii="宋体" w:eastAsia="宋体" w:hAnsi="宋体" w:hint="eastAsia"/>
                <w:sz w:val="24"/>
                <w:szCs w:val="24"/>
              </w:rPr>
              <w:t>）</w:t>
            </w:r>
          </w:p>
        </w:tc>
        <w:tc>
          <w:tcPr>
            <w:tcW w:w="1776" w:type="dxa"/>
          </w:tcPr>
          <w:p w:rsidR="004914B1" w:rsidRDefault="004914B1">
            <w:pPr>
              <w:spacing w:line="276" w:lineRule="auto"/>
              <w:jc w:val="center"/>
              <w:rPr>
                <w:rFonts w:ascii="宋体" w:eastAsia="宋体" w:hAnsi="宋体"/>
                <w:sz w:val="24"/>
                <w:szCs w:val="24"/>
              </w:rPr>
            </w:pPr>
          </w:p>
          <w:p w:rsidR="004914B1" w:rsidRDefault="00E01192">
            <w:pPr>
              <w:spacing w:line="276" w:lineRule="auto"/>
              <w:jc w:val="center"/>
              <w:rPr>
                <w:rFonts w:ascii="宋体" w:eastAsia="宋体" w:hAnsi="宋体"/>
                <w:sz w:val="24"/>
                <w:szCs w:val="24"/>
              </w:rPr>
            </w:pPr>
            <w:r>
              <w:rPr>
                <w:rFonts w:ascii="宋体" w:eastAsia="宋体" w:hAnsi="宋体" w:hint="eastAsia"/>
                <w:sz w:val="24"/>
                <w:szCs w:val="24"/>
              </w:rPr>
              <w:t>账面价值（元）</w:t>
            </w:r>
          </w:p>
        </w:tc>
        <w:tc>
          <w:tcPr>
            <w:tcW w:w="1036" w:type="dxa"/>
          </w:tcPr>
          <w:p w:rsidR="004914B1" w:rsidRDefault="00E01192">
            <w:pPr>
              <w:spacing w:line="276" w:lineRule="auto"/>
              <w:jc w:val="center"/>
              <w:rPr>
                <w:rFonts w:ascii="宋体" w:eastAsia="宋体" w:hAnsi="宋体"/>
                <w:sz w:val="24"/>
                <w:szCs w:val="24"/>
              </w:rPr>
            </w:pPr>
            <w:r>
              <w:rPr>
                <w:rFonts w:ascii="宋体" w:eastAsia="宋体" w:hAnsi="宋体" w:hint="eastAsia"/>
                <w:sz w:val="24"/>
                <w:szCs w:val="24"/>
              </w:rPr>
              <w:t>账面价值占基金净资产比例（</w:t>
            </w:r>
            <w:r>
              <w:rPr>
                <w:rFonts w:ascii="宋体" w:eastAsia="宋体" w:hAnsi="宋体" w:hint="eastAsia"/>
                <w:sz w:val="24"/>
                <w:szCs w:val="24"/>
              </w:rPr>
              <w:t>%</w:t>
            </w:r>
            <w:r>
              <w:rPr>
                <w:rFonts w:ascii="宋体" w:eastAsia="宋体" w:hAnsi="宋体" w:hint="eastAsia"/>
                <w:sz w:val="24"/>
                <w:szCs w:val="24"/>
              </w:rPr>
              <w:t>）</w:t>
            </w:r>
          </w:p>
        </w:tc>
        <w:tc>
          <w:tcPr>
            <w:tcW w:w="975" w:type="dxa"/>
          </w:tcPr>
          <w:p w:rsidR="004914B1" w:rsidRDefault="004914B1">
            <w:pPr>
              <w:spacing w:line="276" w:lineRule="auto"/>
              <w:jc w:val="center"/>
              <w:rPr>
                <w:rFonts w:ascii="宋体" w:eastAsia="宋体" w:hAnsi="宋体"/>
                <w:sz w:val="24"/>
                <w:szCs w:val="24"/>
              </w:rPr>
            </w:pPr>
          </w:p>
          <w:p w:rsidR="004914B1" w:rsidRDefault="00E01192">
            <w:pPr>
              <w:spacing w:line="276" w:lineRule="auto"/>
              <w:jc w:val="center"/>
              <w:rPr>
                <w:rFonts w:ascii="宋体" w:eastAsia="宋体" w:hAnsi="宋体"/>
                <w:sz w:val="24"/>
                <w:szCs w:val="24"/>
              </w:rPr>
            </w:pPr>
            <w:r>
              <w:rPr>
                <w:rFonts w:ascii="宋体" w:eastAsia="宋体" w:hAnsi="宋体" w:hint="eastAsia"/>
                <w:sz w:val="24"/>
                <w:szCs w:val="24"/>
              </w:rPr>
              <w:t>锁定期（月）</w:t>
            </w:r>
          </w:p>
          <w:p w:rsidR="004914B1" w:rsidRDefault="004914B1">
            <w:pPr>
              <w:spacing w:line="276" w:lineRule="auto"/>
              <w:jc w:val="center"/>
              <w:rPr>
                <w:rFonts w:ascii="宋体" w:eastAsia="宋体" w:hAnsi="宋体"/>
                <w:sz w:val="24"/>
                <w:szCs w:val="24"/>
              </w:rPr>
            </w:pPr>
          </w:p>
        </w:tc>
      </w:tr>
      <w:tr w:rsidR="004914B1">
        <w:tc>
          <w:tcPr>
            <w:tcW w:w="1106" w:type="dxa"/>
          </w:tcPr>
          <w:p w:rsidR="004914B1" w:rsidRDefault="00E01192">
            <w:pPr>
              <w:spacing w:line="276" w:lineRule="auto"/>
              <w:jc w:val="center"/>
              <w:rPr>
                <w:rFonts w:ascii="宋体" w:eastAsia="宋体" w:hAnsi="宋体"/>
                <w:sz w:val="24"/>
                <w:szCs w:val="24"/>
              </w:rPr>
            </w:pPr>
            <w:r>
              <w:rPr>
                <w:rFonts w:ascii="宋体" w:eastAsia="宋体" w:hAnsi="宋体" w:hint="eastAsia"/>
                <w:sz w:val="24"/>
                <w:szCs w:val="24"/>
              </w:rPr>
              <w:t>国联安优选行业混合</w:t>
            </w:r>
          </w:p>
        </w:tc>
        <w:tc>
          <w:tcPr>
            <w:tcW w:w="1672" w:type="dxa"/>
          </w:tcPr>
          <w:p w:rsidR="004914B1" w:rsidRDefault="00E01192">
            <w:pPr>
              <w:spacing w:line="480" w:lineRule="auto"/>
              <w:rPr>
                <w:rFonts w:ascii="宋体" w:eastAsia="宋体" w:hAnsi="宋体"/>
                <w:sz w:val="24"/>
                <w:szCs w:val="24"/>
              </w:rPr>
            </w:pPr>
            <w:r>
              <w:rPr>
                <w:rFonts w:ascii="宋体" w:eastAsia="宋体" w:hAnsi="宋体"/>
                <w:sz w:val="24"/>
                <w:szCs w:val="24"/>
              </w:rPr>
              <w:t>50</w:t>
            </w:r>
            <w:r>
              <w:rPr>
                <w:rFonts w:ascii="宋体" w:eastAsia="宋体" w:hAnsi="宋体" w:hint="eastAsia"/>
                <w:sz w:val="24"/>
                <w:szCs w:val="24"/>
              </w:rPr>
              <w:t>,</w:t>
            </w:r>
            <w:r>
              <w:rPr>
                <w:rFonts w:ascii="宋体" w:eastAsia="宋体" w:hAnsi="宋体"/>
                <w:sz w:val="24"/>
                <w:szCs w:val="24"/>
              </w:rPr>
              <w:t>000</w:t>
            </w:r>
          </w:p>
        </w:tc>
        <w:tc>
          <w:tcPr>
            <w:tcW w:w="1776" w:type="dxa"/>
          </w:tcPr>
          <w:p w:rsidR="004914B1" w:rsidRDefault="00E01192">
            <w:pPr>
              <w:spacing w:line="480" w:lineRule="auto"/>
              <w:rPr>
                <w:rFonts w:ascii="宋体" w:eastAsia="宋体" w:hAnsi="宋体"/>
                <w:sz w:val="24"/>
                <w:szCs w:val="24"/>
              </w:rPr>
            </w:pPr>
            <w:r>
              <w:rPr>
                <w:rFonts w:ascii="宋体" w:eastAsia="宋体" w:hAnsi="宋体"/>
                <w:sz w:val="24"/>
                <w:szCs w:val="24"/>
              </w:rPr>
              <w:t>17</w:t>
            </w:r>
            <w:r>
              <w:rPr>
                <w:rFonts w:ascii="宋体" w:eastAsia="宋体" w:hAnsi="宋体" w:hint="eastAsia"/>
                <w:sz w:val="24"/>
                <w:szCs w:val="24"/>
              </w:rPr>
              <w:t>,600,000.00</w:t>
            </w:r>
          </w:p>
        </w:tc>
        <w:tc>
          <w:tcPr>
            <w:tcW w:w="1015" w:type="dxa"/>
          </w:tcPr>
          <w:p w:rsidR="004914B1" w:rsidRDefault="00E01192">
            <w:pPr>
              <w:spacing w:line="480" w:lineRule="auto"/>
              <w:rPr>
                <w:rFonts w:ascii="宋体" w:eastAsia="宋体" w:hAnsi="宋体"/>
                <w:sz w:val="24"/>
                <w:szCs w:val="24"/>
              </w:rPr>
            </w:pPr>
            <w:r>
              <w:rPr>
                <w:rFonts w:ascii="宋体" w:eastAsia="宋体" w:hAnsi="宋体" w:hint="eastAsia"/>
                <w:sz w:val="24"/>
                <w:szCs w:val="24"/>
              </w:rPr>
              <w:t>1.72</w:t>
            </w:r>
          </w:p>
        </w:tc>
        <w:tc>
          <w:tcPr>
            <w:tcW w:w="1776" w:type="dxa"/>
          </w:tcPr>
          <w:p w:rsidR="004914B1" w:rsidRDefault="00E01192">
            <w:pPr>
              <w:spacing w:line="480" w:lineRule="auto"/>
              <w:rPr>
                <w:rFonts w:ascii="宋体" w:eastAsia="宋体" w:hAnsi="宋体"/>
                <w:sz w:val="24"/>
                <w:szCs w:val="24"/>
              </w:rPr>
            </w:pPr>
            <w:r>
              <w:rPr>
                <w:rFonts w:ascii="宋体" w:eastAsia="宋体" w:hAnsi="宋体"/>
                <w:sz w:val="24"/>
                <w:szCs w:val="24"/>
              </w:rPr>
              <w:t>18</w:t>
            </w:r>
            <w:r>
              <w:rPr>
                <w:rFonts w:ascii="宋体" w:eastAsia="宋体" w:hAnsi="宋体" w:hint="eastAsia"/>
                <w:sz w:val="24"/>
                <w:szCs w:val="24"/>
              </w:rPr>
              <w:t>,</w:t>
            </w:r>
            <w:r>
              <w:rPr>
                <w:rFonts w:ascii="宋体" w:eastAsia="宋体" w:hAnsi="宋体"/>
                <w:sz w:val="24"/>
                <w:szCs w:val="24"/>
              </w:rPr>
              <w:t>341</w:t>
            </w:r>
            <w:r>
              <w:rPr>
                <w:rFonts w:ascii="宋体" w:eastAsia="宋体" w:hAnsi="宋体" w:hint="eastAsia"/>
                <w:sz w:val="24"/>
                <w:szCs w:val="24"/>
              </w:rPr>
              <w:t>,</w:t>
            </w:r>
            <w:r>
              <w:rPr>
                <w:rFonts w:ascii="宋体" w:eastAsia="宋体" w:hAnsi="宋体"/>
                <w:sz w:val="24"/>
                <w:szCs w:val="24"/>
              </w:rPr>
              <w:t>000.00</w:t>
            </w:r>
          </w:p>
        </w:tc>
        <w:tc>
          <w:tcPr>
            <w:tcW w:w="1036" w:type="dxa"/>
          </w:tcPr>
          <w:p w:rsidR="004914B1" w:rsidRDefault="00E01192">
            <w:pPr>
              <w:spacing w:line="480" w:lineRule="auto"/>
              <w:rPr>
                <w:rFonts w:ascii="宋体" w:eastAsia="宋体" w:hAnsi="宋体"/>
                <w:sz w:val="24"/>
                <w:szCs w:val="24"/>
              </w:rPr>
            </w:pPr>
            <w:r>
              <w:rPr>
                <w:rFonts w:ascii="宋体" w:eastAsia="宋体" w:hAnsi="宋体" w:hint="eastAsia"/>
                <w:sz w:val="24"/>
                <w:szCs w:val="24"/>
              </w:rPr>
              <w:t>1.79</w:t>
            </w:r>
          </w:p>
        </w:tc>
        <w:tc>
          <w:tcPr>
            <w:tcW w:w="975" w:type="dxa"/>
          </w:tcPr>
          <w:p w:rsidR="004914B1" w:rsidRDefault="00E01192">
            <w:pPr>
              <w:spacing w:line="480" w:lineRule="auto"/>
              <w:rPr>
                <w:rFonts w:ascii="宋体" w:eastAsia="宋体" w:hAnsi="宋体"/>
                <w:sz w:val="24"/>
                <w:szCs w:val="24"/>
              </w:rPr>
            </w:pPr>
            <w:r>
              <w:rPr>
                <w:rFonts w:ascii="宋体" w:eastAsia="宋体" w:hAnsi="宋体" w:hint="eastAsia"/>
                <w:sz w:val="24"/>
                <w:szCs w:val="24"/>
              </w:rPr>
              <w:t>6</w:t>
            </w:r>
            <w:r>
              <w:rPr>
                <w:rFonts w:ascii="宋体" w:eastAsia="宋体" w:hAnsi="宋体" w:hint="eastAsia"/>
                <w:sz w:val="24"/>
                <w:szCs w:val="24"/>
              </w:rPr>
              <w:t>个月</w:t>
            </w:r>
          </w:p>
        </w:tc>
      </w:tr>
      <w:tr w:rsidR="004914B1">
        <w:tc>
          <w:tcPr>
            <w:tcW w:w="1106" w:type="dxa"/>
          </w:tcPr>
          <w:p w:rsidR="004914B1" w:rsidRDefault="00E01192">
            <w:pPr>
              <w:spacing w:line="276" w:lineRule="auto"/>
              <w:jc w:val="center"/>
              <w:rPr>
                <w:rFonts w:ascii="宋体" w:eastAsia="宋体" w:hAnsi="宋体"/>
                <w:sz w:val="24"/>
                <w:szCs w:val="24"/>
              </w:rPr>
            </w:pPr>
            <w:r>
              <w:rPr>
                <w:rFonts w:ascii="宋体" w:eastAsia="宋体" w:hAnsi="宋体"/>
                <w:sz w:val="24"/>
                <w:szCs w:val="24"/>
              </w:rPr>
              <w:t>国联安</w:t>
            </w:r>
            <w:r>
              <w:rPr>
                <w:rFonts w:ascii="宋体" w:eastAsia="宋体" w:hAnsi="宋体" w:hint="eastAsia"/>
                <w:sz w:val="24"/>
                <w:szCs w:val="24"/>
              </w:rPr>
              <w:t>科技动力股票</w:t>
            </w:r>
          </w:p>
        </w:tc>
        <w:tc>
          <w:tcPr>
            <w:tcW w:w="1672" w:type="dxa"/>
          </w:tcPr>
          <w:p w:rsidR="004914B1" w:rsidRDefault="00E01192">
            <w:pPr>
              <w:spacing w:line="480" w:lineRule="auto"/>
              <w:rPr>
                <w:rFonts w:ascii="宋体" w:eastAsia="宋体" w:hAnsi="宋体"/>
                <w:sz w:val="24"/>
                <w:szCs w:val="24"/>
              </w:rPr>
            </w:pPr>
            <w:r>
              <w:rPr>
                <w:rFonts w:ascii="宋体" w:eastAsia="宋体" w:hAnsi="宋体"/>
                <w:sz w:val="24"/>
                <w:szCs w:val="24"/>
              </w:rPr>
              <w:t>60</w:t>
            </w:r>
            <w:r>
              <w:rPr>
                <w:rFonts w:ascii="宋体" w:eastAsia="宋体" w:hAnsi="宋体" w:hint="eastAsia"/>
                <w:sz w:val="24"/>
                <w:szCs w:val="24"/>
              </w:rPr>
              <w:t>,</w:t>
            </w:r>
            <w:r>
              <w:rPr>
                <w:rFonts w:ascii="宋体" w:eastAsia="宋体" w:hAnsi="宋体"/>
                <w:sz w:val="24"/>
                <w:szCs w:val="24"/>
              </w:rPr>
              <w:t>000</w:t>
            </w:r>
          </w:p>
        </w:tc>
        <w:tc>
          <w:tcPr>
            <w:tcW w:w="1776" w:type="dxa"/>
          </w:tcPr>
          <w:p w:rsidR="004914B1" w:rsidRDefault="00E01192">
            <w:pPr>
              <w:spacing w:line="480" w:lineRule="auto"/>
              <w:rPr>
                <w:rFonts w:ascii="宋体" w:eastAsia="宋体" w:hAnsi="宋体"/>
                <w:sz w:val="24"/>
                <w:szCs w:val="24"/>
              </w:rPr>
            </w:pPr>
            <w:r>
              <w:rPr>
                <w:rFonts w:ascii="宋体" w:eastAsia="宋体" w:hAnsi="宋体"/>
                <w:sz w:val="24"/>
                <w:szCs w:val="24"/>
              </w:rPr>
              <w:t>21</w:t>
            </w:r>
            <w:r>
              <w:rPr>
                <w:rFonts w:ascii="宋体" w:eastAsia="宋体" w:hAnsi="宋体"/>
                <w:sz w:val="24"/>
                <w:szCs w:val="24"/>
              </w:rPr>
              <w:t>，</w:t>
            </w:r>
            <w:r>
              <w:rPr>
                <w:rFonts w:ascii="宋体" w:eastAsia="宋体" w:hAnsi="宋体"/>
                <w:sz w:val="24"/>
                <w:szCs w:val="24"/>
              </w:rPr>
              <w:t>120</w:t>
            </w:r>
            <w:r>
              <w:rPr>
                <w:rFonts w:ascii="宋体" w:eastAsia="宋体" w:hAnsi="宋体"/>
                <w:sz w:val="24"/>
                <w:szCs w:val="24"/>
              </w:rPr>
              <w:t>，</w:t>
            </w:r>
            <w:r>
              <w:rPr>
                <w:rFonts w:ascii="宋体" w:eastAsia="宋体" w:hAnsi="宋体"/>
                <w:sz w:val="24"/>
                <w:szCs w:val="24"/>
              </w:rPr>
              <w:t>000.00</w:t>
            </w:r>
          </w:p>
        </w:tc>
        <w:tc>
          <w:tcPr>
            <w:tcW w:w="1015" w:type="dxa"/>
          </w:tcPr>
          <w:p w:rsidR="004914B1" w:rsidRDefault="00E01192">
            <w:pPr>
              <w:spacing w:line="480" w:lineRule="auto"/>
              <w:rPr>
                <w:rFonts w:ascii="宋体" w:eastAsia="宋体" w:hAnsi="宋体"/>
                <w:sz w:val="24"/>
                <w:szCs w:val="24"/>
              </w:rPr>
            </w:pPr>
            <w:r>
              <w:rPr>
                <w:rFonts w:ascii="宋体" w:eastAsia="宋体" w:hAnsi="宋体" w:hint="eastAsia"/>
                <w:sz w:val="24"/>
                <w:szCs w:val="24"/>
              </w:rPr>
              <w:t>1.84</w:t>
            </w:r>
          </w:p>
        </w:tc>
        <w:tc>
          <w:tcPr>
            <w:tcW w:w="1776" w:type="dxa"/>
          </w:tcPr>
          <w:p w:rsidR="004914B1" w:rsidRDefault="00E01192">
            <w:pPr>
              <w:spacing w:line="480" w:lineRule="auto"/>
              <w:rPr>
                <w:rFonts w:ascii="宋体" w:eastAsia="宋体" w:hAnsi="宋体"/>
                <w:sz w:val="24"/>
                <w:szCs w:val="24"/>
              </w:rPr>
            </w:pPr>
            <w:r>
              <w:rPr>
                <w:rFonts w:ascii="宋体" w:eastAsia="宋体" w:hAnsi="宋体"/>
                <w:sz w:val="24"/>
                <w:szCs w:val="24"/>
              </w:rPr>
              <w:t>22</w:t>
            </w:r>
            <w:r>
              <w:rPr>
                <w:rFonts w:ascii="宋体" w:eastAsia="宋体" w:hAnsi="宋体" w:hint="eastAsia"/>
                <w:sz w:val="24"/>
                <w:szCs w:val="24"/>
              </w:rPr>
              <w:t>,</w:t>
            </w:r>
            <w:r>
              <w:rPr>
                <w:rFonts w:ascii="宋体" w:eastAsia="宋体" w:hAnsi="宋体"/>
                <w:sz w:val="24"/>
                <w:szCs w:val="24"/>
              </w:rPr>
              <w:t>009</w:t>
            </w:r>
            <w:r>
              <w:rPr>
                <w:rFonts w:ascii="宋体" w:eastAsia="宋体" w:hAnsi="宋体" w:hint="eastAsia"/>
                <w:sz w:val="24"/>
                <w:szCs w:val="24"/>
              </w:rPr>
              <w:t>,</w:t>
            </w:r>
            <w:r>
              <w:rPr>
                <w:rFonts w:ascii="宋体" w:eastAsia="宋体" w:hAnsi="宋体"/>
                <w:sz w:val="24"/>
                <w:szCs w:val="24"/>
              </w:rPr>
              <w:t>200.00</w:t>
            </w:r>
          </w:p>
        </w:tc>
        <w:tc>
          <w:tcPr>
            <w:tcW w:w="1036" w:type="dxa"/>
          </w:tcPr>
          <w:p w:rsidR="004914B1" w:rsidRDefault="00E01192">
            <w:pPr>
              <w:spacing w:line="480" w:lineRule="auto"/>
              <w:rPr>
                <w:rFonts w:ascii="宋体" w:eastAsia="宋体" w:hAnsi="宋体"/>
                <w:sz w:val="24"/>
                <w:szCs w:val="24"/>
              </w:rPr>
            </w:pPr>
            <w:r>
              <w:rPr>
                <w:rFonts w:ascii="宋体" w:eastAsia="宋体" w:hAnsi="宋体" w:hint="eastAsia"/>
                <w:sz w:val="24"/>
                <w:szCs w:val="24"/>
              </w:rPr>
              <w:t>1.92</w:t>
            </w:r>
          </w:p>
        </w:tc>
        <w:tc>
          <w:tcPr>
            <w:tcW w:w="975" w:type="dxa"/>
          </w:tcPr>
          <w:p w:rsidR="004914B1" w:rsidRDefault="00E01192">
            <w:pPr>
              <w:spacing w:line="480" w:lineRule="auto"/>
              <w:rPr>
                <w:rFonts w:ascii="宋体" w:eastAsia="宋体" w:hAnsi="宋体"/>
                <w:sz w:val="24"/>
                <w:szCs w:val="24"/>
              </w:rPr>
            </w:pPr>
            <w:r>
              <w:rPr>
                <w:rFonts w:ascii="宋体" w:eastAsia="宋体" w:hAnsi="宋体" w:hint="eastAsia"/>
                <w:sz w:val="24"/>
                <w:szCs w:val="24"/>
              </w:rPr>
              <w:t>6</w:t>
            </w:r>
            <w:r>
              <w:rPr>
                <w:rFonts w:ascii="宋体" w:eastAsia="宋体" w:hAnsi="宋体" w:hint="eastAsia"/>
                <w:sz w:val="24"/>
                <w:szCs w:val="24"/>
              </w:rPr>
              <w:t>个月</w:t>
            </w:r>
          </w:p>
        </w:tc>
      </w:tr>
      <w:tr w:rsidR="004914B1">
        <w:tc>
          <w:tcPr>
            <w:tcW w:w="1106" w:type="dxa"/>
          </w:tcPr>
          <w:p w:rsidR="004914B1" w:rsidRDefault="00E01192">
            <w:pPr>
              <w:spacing w:line="276" w:lineRule="auto"/>
              <w:jc w:val="center"/>
              <w:rPr>
                <w:rFonts w:ascii="宋体" w:eastAsia="宋体" w:hAnsi="宋体"/>
                <w:sz w:val="24"/>
                <w:szCs w:val="24"/>
              </w:rPr>
            </w:pPr>
            <w:r>
              <w:rPr>
                <w:rFonts w:ascii="宋体" w:eastAsia="宋体" w:hAnsi="宋体" w:hint="eastAsia"/>
                <w:sz w:val="24"/>
                <w:szCs w:val="24"/>
              </w:rPr>
              <w:t>国联安科创混合（</w:t>
            </w:r>
            <w:r>
              <w:rPr>
                <w:rFonts w:ascii="宋体" w:eastAsia="宋体" w:hAnsi="宋体"/>
                <w:sz w:val="24"/>
                <w:szCs w:val="24"/>
              </w:rPr>
              <w:t>LOF</w:t>
            </w:r>
            <w:r>
              <w:rPr>
                <w:rFonts w:ascii="宋体" w:eastAsia="宋体" w:hAnsi="宋体"/>
                <w:sz w:val="24"/>
                <w:szCs w:val="24"/>
              </w:rPr>
              <w:t>）</w:t>
            </w:r>
          </w:p>
        </w:tc>
        <w:tc>
          <w:tcPr>
            <w:tcW w:w="1672" w:type="dxa"/>
          </w:tcPr>
          <w:p w:rsidR="004914B1" w:rsidRDefault="00E01192">
            <w:pPr>
              <w:spacing w:line="480" w:lineRule="auto"/>
              <w:rPr>
                <w:rFonts w:ascii="宋体" w:eastAsia="宋体" w:hAnsi="宋体"/>
                <w:sz w:val="24"/>
                <w:szCs w:val="24"/>
              </w:rPr>
            </w:pPr>
            <w:r>
              <w:rPr>
                <w:rFonts w:ascii="宋体" w:eastAsia="宋体" w:hAnsi="宋体"/>
                <w:sz w:val="24"/>
                <w:szCs w:val="24"/>
              </w:rPr>
              <w:t>20</w:t>
            </w:r>
            <w:r>
              <w:rPr>
                <w:rFonts w:ascii="宋体" w:eastAsia="宋体" w:hAnsi="宋体" w:hint="eastAsia"/>
                <w:sz w:val="24"/>
                <w:szCs w:val="24"/>
              </w:rPr>
              <w:t>,</w:t>
            </w:r>
            <w:r>
              <w:rPr>
                <w:rFonts w:ascii="宋体" w:eastAsia="宋体" w:hAnsi="宋体"/>
                <w:sz w:val="24"/>
                <w:szCs w:val="24"/>
              </w:rPr>
              <w:t>000</w:t>
            </w:r>
          </w:p>
        </w:tc>
        <w:tc>
          <w:tcPr>
            <w:tcW w:w="1776" w:type="dxa"/>
          </w:tcPr>
          <w:p w:rsidR="004914B1" w:rsidRDefault="00E01192">
            <w:pPr>
              <w:spacing w:line="480" w:lineRule="auto"/>
              <w:rPr>
                <w:rFonts w:ascii="宋体" w:eastAsia="宋体" w:hAnsi="宋体"/>
                <w:sz w:val="24"/>
                <w:szCs w:val="24"/>
              </w:rPr>
            </w:pPr>
            <w:r>
              <w:rPr>
                <w:rFonts w:ascii="宋体" w:eastAsia="宋体" w:hAnsi="宋体" w:hint="eastAsia"/>
                <w:sz w:val="24"/>
                <w:szCs w:val="24"/>
              </w:rPr>
              <w:t>7,040,000.00</w:t>
            </w:r>
          </w:p>
        </w:tc>
        <w:tc>
          <w:tcPr>
            <w:tcW w:w="1015" w:type="dxa"/>
          </w:tcPr>
          <w:p w:rsidR="004914B1" w:rsidRDefault="00E01192">
            <w:pPr>
              <w:spacing w:line="480" w:lineRule="auto"/>
              <w:rPr>
                <w:rFonts w:ascii="宋体" w:eastAsia="宋体" w:hAnsi="宋体"/>
                <w:sz w:val="24"/>
                <w:szCs w:val="24"/>
              </w:rPr>
            </w:pPr>
            <w:r>
              <w:rPr>
                <w:rFonts w:ascii="宋体" w:eastAsia="宋体" w:hAnsi="宋体" w:hint="eastAsia"/>
                <w:sz w:val="24"/>
                <w:szCs w:val="24"/>
              </w:rPr>
              <w:t>1.72</w:t>
            </w:r>
          </w:p>
        </w:tc>
        <w:tc>
          <w:tcPr>
            <w:tcW w:w="1776" w:type="dxa"/>
          </w:tcPr>
          <w:p w:rsidR="004914B1" w:rsidRDefault="00E01192">
            <w:pPr>
              <w:spacing w:line="480" w:lineRule="auto"/>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w:t>
            </w:r>
            <w:r>
              <w:rPr>
                <w:rFonts w:ascii="宋体" w:eastAsia="宋体" w:hAnsi="宋体"/>
                <w:sz w:val="24"/>
                <w:szCs w:val="24"/>
              </w:rPr>
              <w:t>336</w:t>
            </w:r>
            <w:r>
              <w:rPr>
                <w:rFonts w:ascii="宋体" w:eastAsia="宋体" w:hAnsi="宋体" w:hint="eastAsia"/>
                <w:sz w:val="24"/>
                <w:szCs w:val="24"/>
              </w:rPr>
              <w:t>,</w:t>
            </w:r>
            <w:r>
              <w:rPr>
                <w:rFonts w:ascii="宋体" w:eastAsia="宋体" w:hAnsi="宋体"/>
                <w:sz w:val="24"/>
                <w:szCs w:val="24"/>
              </w:rPr>
              <w:t>400.00</w:t>
            </w:r>
          </w:p>
        </w:tc>
        <w:tc>
          <w:tcPr>
            <w:tcW w:w="1036" w:type="dxa"/>
          </w:tcPr>
          <w:p w:rsidR="004914B1" w:rsidRDefault="00E01192">
            <w:pPr>
              <w:spacing w:line="480" w:lineRule="auto"/>
              <w:rPr>
                <w:rFonts w:ascii="宋体" w:eastAsia="宋体" w:hAnsi="宋体"/>
                <w:sz w:val="24"/>
                <w:szCs w:val="24"/>
              </w:rPr>
            </w:pPr>
            <w:r>
              <w:rPr>
                <w:rFonts w:ascii="宋体" w:eastAsia="宋体" w:hAnsi="宋体" w:hint="eastAsia"/>
                <w:sz w:val="24"/>
                <w:szCs w:val="24"/>
              </w:rPr>
              <w:t>1.79</w:t>
            </w:r>
          </w:p>
        </w:tc>
        <w:tc>
          <w:tcPr>
            <w:tcW w:w="975" w:type="dxa"/>
          </w:tcPr>
          <w:p w:rsidR="004914B1" w:rsidRDefault="00E01192">
            <w:pPr>
              <w:spacing w:line="480" w:lineRule="auto"/>
              <w:rPr>
                <w:rFonts w:ascii="宋体" w:eastAsia="宋体" w:hAnsi="宋体"/>
                <w:sz w:val="24"/>
                <w:szCs w:val="24"/>
              </w:rPr>
            </w:pPr>
            <w:r>
              <w:rPr>
                <w:rFonts w:ascii="宋体" w:eastAsia="宋体" w:hAnsi="宋体" w:hint="eastAsia"/>
                <w:sz w:val="24"/>
                <w:szCs w:val="24"/>
              </w:rPr>
              <w:t>6</w:t>
            </w:r>
            <w:r>
              <w:rPr>
                <w:rFonts w:ascii="宋体" w:eastAsia="宋体" w:hAnsi="宋体" w:hint="eastAsia"/>
                <w:sz w:val="24"/>
                <w:szCs w:val="24"/>
              </w:rPr>
              <w:t>个月</w:t>
            </w:r>
          </w:p>
        </w:tc>
      </w:tr>
    </w:tbl>
    <w:p w:rsidR="004914B1" w:rsidRDefault="00E01192">
      <w:pPr>
        <w:spacing w:line="480" w:lineRule="auto"/>
        <w:ind w:firstLineChars="200" w:firstLine="480"/>
        <w:rPr>
          <w:rFonts w:ascii="宋体" w:eastAsia="宋体" w:hAnsi="宋体"/>
          <w:sz w:val="24"/>
          <w:szCs w:val="24"/>
        </w:rPr>
      </w:pPr>
      <w:r>
        <w:rPr>
          <w:rFonts w:ascii="宋体" w:eastAsia="宋体" w:hAnsi="宋体" w:hint="eastAsia"/>
          <w:sz w:val="24"/>
          <w:szCs w:val="24"/>
        </w:rPr>
        <w:t>注：基金资产净值、账面价值为</w:t>
      </w:r>
      <w:r>
        <w:rPr>
          <w:rFonts w:ascii="宋体" w:eastAsia="宋体" w:hAnsi="宋体"/>
          <w:sz w:val="24"/>
          <w:szCs w:val="24"/>
        </w:rPr>
        <w:t>2023</w:t>
      </w:r>
      <w:r>
        <w:rPr>
          <w:rFonts w:ascii="宋体" w:eastAsia="宋体" w:hAnsi="宋体"/>
          <w:sz w:val="24"/>
          <w:szCs w:val="24"/>
        </w:rPr>
        <w:t>年</w:t>
      </w:r>
      <w:r>
        <w:rPr>
          <w:rFonts w:ascii="宋体" w:eastAsia="宋体" w:hAnsi="宋体"/>
          <w:sz w:val="24"/>
          <w:szCs w:val="24"/>
        </w:rPr>
        <w:t>4</w:t>
      </w:r>
      <w:r>
        <w:rPr>
          <w:rFonts w:ascii="宋体" w:eastAsia="宋体" w:hAnsi="宋体" w:hint="eastAsia"/>
          <w:sz w:val="24"/>
          <w:szCs w:val="24"/>
        </w:rPr>
        <w:t>月</w:t>
      </w:r>
      <w:r>
        <w:rPr>
          <w:rFonts w:ascii="宋体" w:eastAsia="宋体" w:hAnsi="宋体"/>
          <w:sz w:val="24"/>
          <w:szCs w:val="24"/>
        </w:rPr>
        <w:t>28</w:t>
      </w:r>
      <w:r>
        <w:rPr>
          <w:rFonts w:ascii="宋体" w:eastAsia="宋体" w:hAnsi="宋体"/>
          <w:sz w:val="24"/>
          <w:szCs w:val="24"/>
        </w:rPr>
        <w:t>日数据。</w:t>
      </w:r>
    </w:p>
    <w:p w:rsidR="004914B1" w:rsidRDefault="004914B1">
      <w:pPr>
        <w:spacing w:line="480" w:lineRule="auto"/>
        <w:ind w:firstLineChars="200" w:firstLine="480"/>
        <w:rPr>
          <w:rFonts w:ascii="宋体" w:eastAsia="宋体" w:hAnsi="宋体"/>
          <w:sz w:val="24"/>
          <w:szCs w:val="24"/>
        </w:rPr>
      </w:pPr>
    </w:p>
    <w:p w:rsidR="004914B1" w:rsidRDefault="00E01192">
      <w:pPr>
        <w:spacing w:line="480" w:lineRule="auto"/>
        <w:ind w:firstLineChars="200" w:firstLine="480"/>
        <w:rPr>
          <w:rFonts w:ascii="宋体" w:eastAsia="宋体" w:hAnsi="宋体"/>
          <w:sz w:val="24"/>
          <w:szCs w:val="24"/>
        </w:rPr>
      </w:pPr>
      <w:r>
        <w:rPr>
          <w:rFonts w:ascii="宋体" w:eastAsia="宋体" w:hAnsi="宋体" w:hint="eastAsia"/>
          <w:sz w:val="24"/>
          <w:szCs w:val="24"/>
        </w:rPr>
        <w:t>特此公告。</w:t>
      </w:r>
    </w:p>
    <w:p w:rsidR="004914B1" w:rsidRDefault="004914B1">
      <w:pPr>
        <w:spacing w:line="480" w:lineRule="auto"/>
        <w:ind w:firstLineChars="200" w:firstLine="560"/>
        <w:rPr>
          <w:rFonts w:ascii="宋体" w:eastAsia="宋体" w:hAnsi="宋体"/>
          <w:sz w:val="28"/>
          <w:szCs w:val="32"/>
        </w:rPr>
      </w:pPr>
    </w:p>
    <w:p w:rsidR="004914B1" w:rsidRDefault="004914B1">
      <w:pPr>
        <w:spacing w:line="480" w:lineRule="auto"/>
        <w:ind w:firstLineChars="200" w:firstLine="480"/>
        <w:rPr>
          <w:rFonts w:ascii="宋体" w:eastAsia="宋体" w:hAnsi="宋体"/>
          <w:sz w:val="24"/>
          <w:szCs w:val="24"/>
        </w:rPr>
      </w:pPr>
    </w:p>
    <w:p w:rsidR="004914B1" w:rsidRDefault="00E01192">
      <w:pPr>
        <w:spacing w:line="480" w:lineRule="auto"/>
        <w:ind w:firstLineChars="1800" w:firstLine="4320"/>
        <w:jc w:val="right"/>
        <w:rPr>
          <w:rFonts w:ascii="宋体" w:eastAsia="宋体" w:hAnsi="宋体"/>
          <w:sz w:val="24"/>
          <w:szCs w:val="24"/>
        </w:rPr>
      </w:pPr>
      <w:r>
        <w:rPr>
          <w:rFonts w:ascii="宋体" w:eastAsia="宋体" w:hAnsi="宋体" w:hint="eastAsia"/>
          <w:sz w:val="24"/>
          <w:szCs w:val="24"/>
        </w:rPr>
        <w:t>国联安基金管理有限公司</w:t>
      </w:r>
    </w:p>
    <w:p w:rsidR="004914B1" w:rsidRDefault="00E01192">
      <w:pPr>
        <w:spacing w:line="480" w:lineRule="auto"/>
        <w:ind w:firstLineChars="1800" w:firstLine="4320"/>
        <w:jc w:val="right"/>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2023</w:t>
      </w:r>
      <w:r>
        <w:rPr>
          <w:rFonts w:ascii="宋体" w:eastAsia="宋体" w:hAnsi="宋体" w:hint="eastAsia"/>
          <w:sz w:val="24"/>
          <w:szCs w:val="24"/>
        </w:rPr>
        <w:t>年</w:t>
      </w:r>
      <w:r>
        <w:rPr>
          <w:rFonts w:ascii="宋体" w:eastAsia="宋体" w:hAnsi="宋体" w:hint="eastAsia"/>
          <w:sz w:val="24"/>
          <w:szCs w:val="24"/>
        </w:rPr>
        <w:t>5</w:t>
      </w:r>
      <w:r>
        <w:rPr>
          <w:rFonts w:ascii="宋体" w:eastAsia="宋体" w:hAnsi="宋体" w:hint="eastAsia"/>
          <w:sz w:val="24"/>
          <w:szCs w:val="24"/>
        </w:rPr>
        <w:t>月</w:t>
      </w:r>
      <w:r>
        <w:rPr>
          <w:rFonts w:ascii="宋体" w:eastAsia="宋体" w:hAnsi="宋体" w:hint="eastAsia"/>
          <w:sz w:val="24"/>
          <w:szCs w:val="24"/>
        </w:rPr>
        <w:t>5</w:t>
      </w:r>
      <w:r>
        <w:rPr>
          <w:rFonts w:ascii="宋体" w:eastAsia="宋体" w:hAnsi="宋体" w:hint="eastAsia"/>
          <w:sz w:val="24"/>
          <w:szCs w:val="24"/>
        </w:rPr>
        <w:t>日</w:t>
      </w:r>
    </w:p>
    <w:sectPr w:rsidR="004914B1" w:rsidSect="004A54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37F" w:rsidRDefault="0040437F" w:rsidP="00CA081E">
      <w:r>
        <w:separator/>
      </w:r>
    </w:p>
  </w:endnote>
  <w:endnote w:type="continuationSeparator" w:id="0">
    <w:p w:rsidR="0040437F" w:rsidRDefault="0040437F" w:rsidP="00CA0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37F" w:rsidRDefault="0040437F" w:rsidP="00CA081E">
      <w:r>
        <w:separator/>
      </w:r>
    </w:p>
  </w:footnote>
  <w:footnote w:type="continuationSeparator" w:id="0">
    <w:p w:rsidR="0040437F" w:rsidRDefault="0040437F" w:rsidP="00CA08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0237"/>
    <w:rsid w:val="00030445"/>
    <w:rsid w:val="00050E33"/>
    <w:rsid w:val="000B233C"/>
    <w:rsid w:val="001119CE"/>
    <w:rsid w:val="00271C02"/>
    <w:rsid w:val="0028253C"/>
    <w:rsid w:val="002B1C42"/>
    <w:rsid w:val="002E7928"/>
    <w:rsid w:val="00344466"/>
    <w:rsid w:val="00361BA7"/>
    <w:rsid w:val="003B3F3E"/>
    <w:rsid w:val="003F0237"/>
    <w:rsid w:val="0040437F"/>
    <w:rsid w:val="0041447C"/>
    <w:rsid w:val="004170BE"/>
    <w:rsid w:val="00424EE8"/>
    <w:rsid w:val="004468D4"/>
    <w:rsid w:val="004914B1"/>
    <w:rsid w:val="004A54F9"/>
    <w:rsid w:val="004E26F8"/>
    <w:rsid w:val="005123C3"/>
    <w:rsid w:val="005408B5"/>
    <w:rsid w:val="006578D7"/>
    <w:rsid w:val="007D656E"/>
    <w:rsid w:val="007F0841"/>
    <w:rsid w:val="00823839"/>
    <w:rsid w:val="008F0C8E"/>
    <w:rsid w:val="00942297"/>
    <w:rsid w:val="00942354"/>
    <w:rsid w:val="00945550"/>
    <w:rsid w:val="009544E9"/>
    <w:rsid w:val="00966A6D"/>
    <w:rsid w:val="00A10E77"/>
    <w:rsid w:val="00A71037"/>
    <w:rsid w:val="00A87819"/>
    <w:rsid w:val="00AA3F44"/>
    <w:rsid w:val="00AA6AA1"/>
    <w:rsid w:val="00B319AE"/>
    <w:rsid w:val="00BE0C2B"/>
    <w:rsid w:val="00CA081E"/>
    <w:rsid w:val="00D12745"/>
    <w:rsid w:val="00DB1DED"/>
    <w:rsid w:val="00DE32B1"/>
    <w:rsid w:val="00E01192"/>
    <w:rsid w:val="00E4469B"/>
    <w:rsid w:val="00EE3F45"/>
    <w:rsid w:val="00F42619"/>
    <w:rsid w:val="00F50DCC"/>
    <w:rsid w:val="0AAF71CD"/>
    <w:rsid w:val="4EC34F07"/>
    <w:rsid w:val="7D4640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4F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4A54F9"/>
    <w:pPr>
      <w:jc w:val="left"/>
    </w:pPr>
  </w:style>
  <w:style w:type="paragraph" w:styleId="a4">
    <w:name w:val="footer"/>
    <w:basedOn w:val="a"/>
    <w:link w:val="Char0"/>
    <w:uiPriority w:val="99"/>
    <w:unhideWhenUsed/>
    <w:qFormat/>
    <w:rsid w:val="004A54F9"/>
    <w:pPr>
      <w:tabs>
        <w:tab w:val="center" w:pos="4153"/>
        <w:tab w:val="right" w:pos="8306"/>
      </w:tabs>
      <w:snapToGrid w:val="0"/>
      <w:jc w:val="left"/>
    </w:pPr>
    <w:rPr>
      <w:sz w:val="18"/>
      <w:szCs w:val="18"/>
    </w:rPr>
  </w:style>
  <w:style w:type="paragraph" w:styleId="a5">
    <w:name w:val="header"/>
    <w:basedOn w:val="a"/>
    <w:link w:val="Char1"/>
    <w:uiPriority w:val="99"/>
    <w:unhideWhenUsed/>
    <w:rsid w:val="004A54F9"/>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rsid w:val="004A54F9"/>
    <w:rPr>
      <w:b/>
      <w:bCs/>
    </w:rPr>
  </w:style>
  <w:style w:type="table" w:styleId="a7">
    <w:name w:val="Table Grid"/>
    <w:basedOn w:val="a1"/>
    <w:uiPriority w:val="39"/>
    <w:rsid w:val="004A54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4A54F9"/>
    <w:rPr>
      <w:sz w:val="21"/>
      <w:szCs w:val="21"/>
    </w:rPr>
  </w:style>
  <w:style w:type="character" w:customStyle="1" w:styleId="Char1">
    <w:name w:val="页眉 Char"/>
    <w:basedOn w:val="a0"/>
    <w:link w:val="a5"/>
    <w:uiPriority w:val="99"/>
    <w:qFormat/>
    <w:rsid w:val="004A54F9"/>
    <w:rPr>
      <w:sz w:val="18"/>
      <w:szCs w:val="18"/>
    </w:rPr>
  </w:style>
  <w:style w:type="character" w:customStyle="1" w:styleId="Char0">
    <w:name w:val="页脚 Char"/>
    <w:basedOn w:val="a0"/>
    <w:link w:val="a4"/>
    <w:uiPriority w:val="99"/>
    <w:rsid w:val="004A54F9"/>
    <w:rPr>
      <w:sz w:val="18"/>
      <w:szCs w:val="18"/>
    </w:rPr>
  </w:style>
  <w:style w:type="paragraph" w:customStyle="1" w:styleId="1">
    <w:name w:val="修订1"/>
    <w:hidden/>
    <w:uiPriority w:val="99"/>
    <w:semiHidden/>
    <w:rsid w:val="004A54F9"/>
    <w:rPr>
      <w:rFonts w:asciiTheme="minorHAnsi" w:eastAsiaTheme="minorEastAsia" w:hAnsiTheme="minorHAnsi" w:cstheme="minorBidi"/>
      <w:kern w:val="2"/>
      <w:sz w:val="21"/>
      <w:szCs w:val="22"/>
    </w:rPr>
  </w:style>
  <w:style w:type="character" w:customStyle="1" w:styleId="Char">
    <w:name w:val="批注文字 Char"/>
    <w:basedOn w:val="a0"/>
    <w:link w:val="a3"/>
    <w:uiPriority w:val="99"/>
    <w:semiHidden/>
    <w:rsid w:val="004A54F9"/>
  </w:style>
  <w:style w:type="character" w:customStyle="1" w:styleId="Char2">
    <w:name w:val="批注主题 Char"/>
    <w:basedOn w:val="Char"/>
    <w:link w:val="a6"/>
    <w:uiPriority w:val="99"/>
    <w:semiHidden/>
    <w:rsid w:val="004A54F9"/>
    <w:rPr>
      <w:b/>
      <w:bCs/>
    </w:rPr>
  </w:style>
  <w:style w:type="paragraph" w:customStyle="1" w:styleId="2">
    <w:name w:val="修订2"/>
    <w:hidden/>
    <w:uiPriority w:val="99"/>
    <w:semiHidden/>
    <w:rsid w:val="004A54F9"/>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127308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1B662-95AF-4B0C-BFEB-C6B04A41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595</Characters>
  <Application>Microsoft Office Word</Application>
  <DocSecurity>4</DocSecurity>
  <Lines>4</Lines>
  <Paragraphs>1</Paragraphs>
  <ScaleCrop>false</ScaleCrop>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颜笑寒</dc:creator>
  <cp:lastModifiedBy>ZHONGM</cp:lastModifiedBy>
  <cp:revision>2</cp:revision>
  <dcterms:created xsi:type="dcterms:W3CDTF">2023-05-04T16:01:00Z</dcterms:created>
  <dcterms:modified xsi:type="dcterms:W3CDTF">2023-05-04T16:01:00Z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