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56" w:rsidRPr="0039287C" w:rsidRDefault="00EB3156" w:rsidP="0039287C">
      <w:pPr>
        <w:spacing w:line="480" w:lineRule="auto"/>
        <w:jc w:val="center"/>
        <w:rPr>
          <w:rFonts w:ascii="宋体" w:hAnsi="宋体" w:cs="Cambria Math"/>
          <w:b/>
          <w:bCs/>
          <w:color w:val="014E9E"/>
          <w:kern w:val="0"/>
          <w:sz w:val="28"/>
          <w:szCs w:val="28"/>
        </w:rPr>
      </w:pPr>
      <w:r w:rsidRPr="0039287C">
        <w:rPr>
          <w:rFonts w:ascii="宋体" w:hAnsi="宋体" w:cs="Cambria Math" w:hint="eastAsia"/>
          <w:b/>
          <w:bCs/>
          <w:color w:val="014E9E"/>
          <w:kern w:val="0"/>
          <w:sz w:val="28"/>
          <w:szCs w:val="28"/>
        </w:rPr>
        <w:t>海富通基金管理有限公司关于</w:t>
      </w:r>
      <w:r w:rsidR="00E0075E" w:rsidRPr="0039287C">
        <w:rPr>
          <w:rFonts w:ascii="宋体" w:hAnsi="宋体" w:cs="Cambria Math" w:hint="eastAsia"/>
          <w:b/>
          <w:bCs/>
          <w:color w:val="014E9E"/>
          <w:kern w:val="0"/>
          <w:sz w:val="28"/>
          <w:szCs w:val="28"/>
        </w:rPr>
        <w:t>海富通稳固收益债券型证券投资基金A类份额</w:t>
      </w:r>
      <w:r w:rsidRPr="0039287C">
        <w:rPr>
          <w:rFonts w:ascii="宋体" w:hAnsi="宋体" w:cs="Cambria Math" w:hint="eastAsia"/>
          <w:b/>
          <w:bCs/>
          <w:color w:val="014E9E"/>
          <w:kern w:val="0"/>
          <w:sz w:val="28"/>
          <w:szCs w:val="28"/>
        </w:rPr>
        <w:t>新增销售机构的公告</w:t>
      </w:r>
    </w:p>
    <w:p w:rsidR="00EB3156" w:rsidRPr="0039287C" w:rsidRDefault="00EB3156" w:rsidP="0039287C">
      <w:pPr>
        <w:spacing w:line="480" w:lineRule="auto"/>
        <w:jc w:val="center"/>
        <w:rPr>
          <w:rFonts w:ascii="宋体" w:hAnsi="宋体" w:cs="Cambria Math" w:hint="eastAsia"/>
          <w:b/>
          <w:bCs/>
          <w:color w:val="014E9E"/>
          <w:kern w:val="0"/>
          <w:sz w:val="24"/>
          <w:szCs w:val="24"/>
        </w:rPr>
      </w:pP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一、</w:t>
      </w:r>
      <w:r w:rsidR="00900AA4" w:rsidRPr="00900AA4">
        <w:rPr>
          <w:rFonts w:ascii="宋体" w:hAnsi="宋体" w:hint="eastAsia"/>
          <w:sz w:val="24"/>
          <w:szCs w:val="24"/>
        </w:rPr>
        <w:t>上海利得基金销售有限公司（以下简称“利得基金”）</w:t>
      </w:r>
      <w:r w:rsidR="00900AA4">
        <w:rPr>
          <w:rFonts w:ascii="宋体" w:hAnsi="宋体" w:hint="eastAsia"/>
          <w:sz w:val="24"/>
          <w:szCs w:val="24"/>
        </w:rPr>
        <w:t>、</w:t>
      </w:r>
      <w:r w:rsidR="00900AA4" w:rsidRPr="00900AA4">
        <w:rPr>
          <w:rFonts w:ascii="宋体" w:hAnsi="宋体" w:hint="eastAsia"/>
          <w:sz w:val="24"/>
          <w:szCs w:val="24"/>
        </w:rPr>
        <w:t>京东肯特瑞基金销售有限公司（以下简称“肯特瑞”）</w:t>
      </w:r>
      <w:r w:rsidR="0029705A">
        <w:rPr>
          <w:rFonts w:ascii="宋体" w:hAnsi="宋体" w:hint="eastAsia"/>
          <w:sz w:val="24"/>
          <w:szCs w:val="24"/>
        </w:rPr>
        <w:t>、</w:t>
      </w:r>
      <w:r w:rsidR="0029705A" w:rsidRPr="0029705A">
        <w:rPr>
          <w:rFonts w:ascii="宋体" w:hAnsi="宋体" w:hint="eastAsia"/>
          <w:sz w:val="24"/>
          <w:szCs w:val="24"/>
        </w:rPr>
        <w:t>上海联泰基金销售有限公司（以下简称“上海联泰”）</w:t>
      </w:r>
      <w:r w:rsidRPr="0039287C">
        <w:rPr>
          <w:rFonts w:ascii="宋体" w:hAnsi="宋体" w:hint="eastAsia"/>
          <w:sz w:val="24"/>
          <w:szCs w:val="24"/>
        </w:rPr>
        <w:t>的开放式基金销售资格已获中国证券监督管理委员会批准。根据海富通基金管理有限公司日前与</w:t>
      </w:r>
      <w:r w:rsidR="0029705A">
        <w:rPr>
          <w:rFonts w:ascii="宋体" w:hAnsi="宋体" w:hint="eastAsia"/>
          <w:sz w:val="24"/>
          <w:szCs w:val="24"/>
        </w:rPr>
        <w:t>利得基金、肯特瑞、上海联泰</w:t>
      </w:r>
      <w:r w:rsidRPr="0039287C">
        <w:rPr>
          <w:rFonts w:ascii="宋体" w:hAnsi="宋体" w:hint="eastAsia"/>
          <w:sz w:val="24"/>
          <w:szCs w:val="24"/>
        </w:rPr>
        <w:t>签署的开放式证券投资基金销售协议，现增加</w:t>
      </w:r>
      <w:r w:rsidR="0029705A">
        <w:rPr>
          <w:rFonts w:ascii="宋体" w:hAnsi="宋体" w:hint="eastAsia"/>
          <w:sz w:val="24"/>
          <w:szCs w:val="24"/>
        </w:rPr>
        <w:t>利得基金、肯特瑞、上海联泰</w:t>
      </w:r>
      <w:r w:rsidRPr="0039287C">
        <w:rPr>
          <w:rFonts w:ascii="宋体" w:hAnsi="宋体" w:hint="eastAsia"/>
          <w:sz w:val="24"/>
          <w:szCs w:val="24"/>
        </w:rPr>
        <w:t>为</w:t>
      </w:r>
      <w:r w:rsidR="00E0075E" w:rsidRPr="0039287C">
        <w:rPr>
          <w:rFonts w:ascii="宋体" w:hAnsi="宋体" w:hint="eastAsia"/>
          <w:sz w:val="24"/>
          <w:szCs w:val="24"/>
        </w:rPr>
        <w:t>海富通稳固收益债券型证券投资基金A类份额</w:t>
      </w:r>
      <w:r w:rsidRPr="0039287C">
        <w:rPr>
          <w:rFonts w:ascii="宋体" w:hAnsi="宋体" w:hint="eastAsia"/>
          <w:sz w:val="24"/>
          <w:szCs w:val="24"/>
        </w:rPr>
        <w:t>（简称：</w:t>
      </w:r>
      <w:r w:rsidR="00FB22B6" w:rsidRPr="0039287C">
        <w:rPr>
          <w:rFonts w:ascii="宋体" w:hAnsi="宋体" w:hint="eastAsia"/>
          <w:sz w:val="24"/>
          <w:szCs w:val="24"/>
        </w:rPr>
        <w:t>海富通稳固收益债券A</w:t>
      </w:r>
      <w:r w:rsidRPr="0039287C">
        <w:rPr>
          <w:rFonts w:ascii="宋体" w:hAnsi="宋体" w:hint="eastAsia"/>
          <w:sz w:val="24"/>
          <w:szCs w:val="24"/>
        </w:rPr>
        <w:t>，代码：0</w:t>
      </w:r>
      <w:r w:rsidR="00FB22B6" w:rsidRPr="0039287C">
        <w:rPr>
          <w:rFonts w:ascii="宋体" w:hAnsi="宋体"/>
          <w:sz w:val="24"/>
          <w:szCs w:val="24"/>
        </w:rPr>
        <w:t>18042</w:t>
      </w:r>
      <w:r w:rsidRPr="0039287C">
        <w:rPr>
          <w:rFonts w:ascii="宋体" w:hAnsi="宋体" w:hint="eastAsia"/>
          <w:sz w:val="24"/>
          <w:szCs w:val="24"/>
        </w:rPr>
        <w:t>）的销售机构。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投资者欲了解基金的详细信息，请仔细阅读《海富通</w:t>
      </w:r>
      <w:r w:rsidR="00FB22B6" w:rsidRPr="0039287C">
        <w:rPr>
          <w:rFonts w:ascii="宋体" w:hAnsi="宋体" w:hint="eastAsia"/>
          <w:sz w:val="24"/>
          <w:szCs w:val="24"/>
        </w:rPr>
        <w:t>稳固收益债券型证券投资</w:t>
      </w:r>
      <w:r w:rsidRPr="0039287C">
        <w:rPr>
          <w:rFonts w:ascii="宋体" w:hAnsi="宋体" w:hint="eastAsia"/>
          <w:sz w:val="24"/>
          <w:szCs w:val="24"/>
        </w:rPr>
        <w:t>基金</w:t>
      </w:r>
      <w:r w:rsidR="005D5552">
        <w:rPr>
          <w:rFonts w:ascii="宋体" w:hAnsi="宋体" w:hint="eastAsia"/>
          <w:sz w:val="24"/>
          <w:szCs w:val="24"/>
        </w:rPr>
        <w:t>基金</w:t>
      </w:r>
      <w:r w:rsidRPr="0039287C">
        <w:rPr>
          <w:rFonts w:ascii="宋体" w:hAnsi="宋体" w:hint="eastAsia"/>
          <w:sz w:val="24"/>
          <w:szCs w:val="24"/>
        </w:rPr>
        <w:t>合同》、《海富通</w:t>
      </w:r>
      <w:r w:rsidR="00FB22B6" w:rsidRPr="0039287C">
        <w:rPr>
          <w:rFonts w:ascii="宋体" w:hAnsi="宋体" w:hint="eastAsia"/>
          <w:sz w:val="24"/>
          <w:szCs w:val="24"/>
        </w:rPr>
        <w:t>稳固收益债券型证券投资</w:t>
      </w:r>
      <w:r w:rsidRPr="0039287C">
        <w:rPr>
          <w:rFonts w:ascii="宋体" w:hAnsi="宋体" w:hint="eastAsia"/>
          <w:sz w:val="24"/>
          <w:szCs w:val="24"/>
        </w:rPr>
        <w:t>基金</w:t>
      </w:r>
      <w:r w:rsidR="00FB22B6" w:rsidRPr="0039287C">
        <w:rPr>
          <w:rFonts w:ascii="宋体" w:hAnsi="宋体" w:hint="eastAsia"/>
          <w:sz w:val="24"/>
          <w:szCs w:val="24"/>
        </w:rPr>
        <w:t>更新</w:t>
      </w:r>
      <w:r w:rsidRPr="0039287C">
        <w:rPr>
          <w:rFonts w:ascii="宋体" w:hAnsi="宋体" w:hint="eastAsia"/>
          <w:sz w:val="24"/>
          <w:szCs w:val="24"/>
        </w:rPr>
        <w:t>招募说明书》及相关法律文件。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二、自2023年</w:t>
      </w:r>
      <w:r w:rsidR="0029705A">
        <w:rPr>
          <w:rFonts w:ascii="宋体" w:hAnsi="宋体" w:hint="eastAsia"/>
          <w:sz w:val="24"/>
          <w:szCs w:val="24"/>
        </w:rPr>
        <w:t>5月5日</w:t>
      </w:r>
      <w:r w:rsidRPr="0039287C">
        <w:rPr>
          <w:rFonts w:ascii="宋体" w:hAnsi="宋体" w:hint="eastAsia"/>
          <w:sz w:val="24"/>
          <w:szCs w:val="24"/>
        </w:rPr>
        <w:t>起，投资者可以在</w:t>
      </w:r>
      <w:r w:rsidR="0029705A">
        <w:rPr>
          <w:rFonts w:ascii="宋体" w:hAnsi="宋体" w:hint="eastAsia"/>
          <w:sz w:val="24"/>
          <w:szCs w:val="24"/>
        </w:rPr>
        <w:t>利得基金、肯特瑞、上海联泰</w:t>
      </w:r>
      <w:r w:rsidRPr="0039287C">
        <w:rPr>
          <w:rFonts w:ascii="宋体" w:hAnsi="宋体" w:hint="eastAsia"/>
          <w:sz w:val="24"/>
          <w:szCs w:val="24"/>
        </w:rPr>
        <w:t>办理上述开放式基金的开户、申购、赎回等业务。具体的业务流程、办理方式和办理时间等以</w:t>
      </w:r>
      <w:r w:rsidR="0029705A">
        <w:rPr>
          <w:rFonts w:ascii="宋体" w:hAnsi="宋体" w:hint="eastAsia"/>
          <w:sz w:val="24"/>
          <w:szCs w:val="24"/>
        </w:rPr>
        <w:t>利得基金、肯特瑞、上海联泰</w:t>
      </w:r>
      <w:r w:rsidRPr="0039287C">
        <w:rPr>
          <w:rFonts w:ascii="宋体" w:hAnsi="宋体" w:hint="eastAsia"/>
          <w:sz w:val="24"/>
          <w:szCs w:val="24"/>
        </w:rPr>
        <w:t>的规定为准。</w:t>
      </w:r>
    </w:p>
    <w:p w:rsidR="00EB3156" w:rsidRPr="005D5552" w:rsidRDefault="00EB3156" w:rsidP="005D555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5D5552">
        <w:rPr>
          <w:rFonts w:ascii="宋体" w:hAnsi="宋体" w:hint="eastAsia"/>
          <w:sz w:val="24"/>
          <w:szCs w:val="24"/>
        </w:rPr>
        <w:t>三、投资者可通过以下途径咨询有关详情：</w:t>
      </w:r>
    </w:p>
    <w:p w:rsidR="00900AA4" w:rsidRPr="00900AA4" w:rsidRDefault="00900AA4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900AA4">
        <w:rPr>
          <w:rFonts w:ascii="宋体" w:hAnsi="宋体" w:hint="eastAsia"/>
          <w:sz w:val="24"/>
          <w:szCs w:val="24"/>
        </w:rPr>
        <w:t>1、上海利得基金销售有限公司</w:t>
      </w:r>
    </w:p>
    <w:p w:rsidR="00900AA4" w:rsidRPr="00900AA4" w:rsidRDefault="00900AA4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900AA4">
        <w:rPr>
          <w:rFonts w:ascii="宋体" w:hAnsi="宋体" w:hint="eastAsia"/>
          <w:sz w:val="24"/>
          <w:szCs w:val="24"/>
        </w:rPr>
        <w:t>网站：www.leadfund.com.cn</w:t>
      </w:r>
    </w:p>
    <w:p w:rsidR="00900AA4" w:rsidRDefault="00900AA4" w:rsidP="005D5552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00AA4">
        <w:rPr>
          <w:rFonts w:ascii="宋体" w:hAnsi="宋体" w:hint="eastAsia"/>
          <w:sz w:val="24"/>
          <w:szCs w:val="24"/>
        </w:rPr>
        <w:t>客户服务电话：400-032-5885</w:t>
      </w:r>
    </w:p>
    <w:p w:rsidR="00900AA4" w:rsidRPr="00900AA4" w:rsidRDefault="00B00926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="00900AA4" w:rsidRPr="00900AA4">
        <w:rPr>
          <w:rFonts w:ascii="宋体" w:hAnsi="宋体" w:hint="eastAsia"/>
          <w:sz w:val="24"/>
          <w:szCs w:val="24"/>
        </w:rPr>
        <w:t>京东肯特瑞基金销售有限公司</w:t>
      </w:r>
    </w:p>
    <w:p w:rsidR="00900AA4" w:rsidRPr="00900AA4" w:rsidRDefault="00900AA4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900AA4">
        <w:rPr>
          <w:rFonts w:ascii="宋体" w:hAnsi="宋体" w:hint="eastAsia"/>
          <w:sz w:val="24"/>
          <w:szCs w:val="24"/>
        </w:rPr>
        <w:t>网站：京东金融APP</w:t>
      </w:r>
    </w:p>
    <w:p w:rsidR="00900AA4" w:rsidRDefault="00900AA4" w:rsidP="005D5552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00AA4">
        <w:rPr>
          <w:rFonts w:ascii="宋体" w:hAnsi="宋体" w:hint="eastAsia"/>
          <w:sz w:val="24"/>
          <w:szCs w:val="24"/>
        </w:rPr>
        <w:lastRenderedPageBreak/>
        <w:t>客户服务电话：95118</w:t>
      </w:r>
    </w:p>
    <w:p w:rsidR="0029705A" w:rsidRPr="0029705A" w:rsidRDefault="00B00926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</w:t>
      </w:r>
      <w:r w:rsidR="0029705A" w:rsidRPr="0029705A">
        <w:rPr>
          <w:rFonts w:ascii="宋体" w:hAnsi="宋体" w:hint="eastAsia"/>
          <w:sz w:val="24"/>
          <w:szCs w:val="24"/>
        </w:rPr>
        <w:t>上海联泰基金销售有限公司</w:t>
      </w:r>
    </w:p>
    <w:p w:rsidR="0029705A" w:rsidRPr="0029705A" w:rsidRDefault="0029705A" w:rsidP="005D5552">
      <w:pPr>
        <w:spacing w:line="48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29705A">
        <w:rPr>
          <w:rFonts w:ascii="宋体" w:hAnsi="宋体" w:hint="eastAsia"/>
          <w:sz w:val="24"/>
          <w:szCs w:val="24"/>
        </w:rPr>
        <w:t>网址：www.66liantai.com</w:t>
      </w:r>
    </w:p>
    <w:p w:rsidR="0029705A" w:rsidRDefault="0029705A" w:rsidP="005D5552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9705A">
        <w:rPr>
          <w:rFonts w:ascii="宋体" w:hAnsi="宋体" w:hint="eastAsia"/>
          <w:sz w:val="24"/>
          <w:szCs w:val="24"/>
        </w:rPr>
        <w:t xml:space="preserve">客服电话：400-118-1188 </w:t>
      </w:r>
    </w:p>
    <w:p w:rsidR="00EB3156" w:rsidRPr="0039287C" w:rsidRDefault="00B00926" w:rsidP="005D5552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EB3156" w:rsidRPr="0039287C">
        <w:rPr>
          <w:rFonts w:ascii="宋体" w:hAnsi="宋体" w:hint="eastAsia"/>
          <w:sz w:val="24"/>
          <w:szCs w:val="24"/>
        </w:rPr>
        <w:t>海富通基金管理有限公司</w:t>
      </w:r>
    </w:p>
    <w:p w:rsidR="00BE76A8" w:rsidRPr="0039287C" w:rsidRDefault="00BE76A8" w:rsidP="005D555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网站：www.hftfund.com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客户服务电话：40088-40099（免长途话费）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本公告的解释权归海富通基金管理有限公司。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39287C">
        <w:rPr>
          <w:rFonts w:ascii="宋体" w:hAnsi="宋体" w:hint="eastAsia"/>
          <w:sz w:val="24"/>
          <w:szCs w:val="24"/>
        </w:rPr>
        <w:t>特此公告。</w:t>
      </w: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EB3156" w:rsidRPr="0039287C" w:rsidRDefault="00EB3156" w:rsidP="005D5552">
      <w:pPr>
        <w:spacing w:line="48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:rsidR="00B52B1A" w:rsidRDefault="00EB3156" w:rsidP="005D5552">
      <w:pPr>
        <w:widowControl/>
        <w:spacing w:line="480" w:lineRule="auto"/>
        <w:ind w:firstLineChars="200" w:firstLine="480"/>
        <w:jc w:val="right"/>
        <w:rPr>
          <w:rFonts w:ascii="宋体" w:hAnsi="宋体" w:hint="eastAsia"/>
          <w:kern w:val="0"/>
          <w:sz w:val="24"/>
          <w:szCs w:val="24"/>
        </w:rPr>
      </w:pPr>
      <w:r w:rsidRPr="0039287C">
        <w:rPr>
          <w:rFonts w:ascii="宋体" w:hAnsi="宋体"/>
          <w:color w:val="333333"/>
          <w:kern w:val="0"/>
          <w:sz w:val="24"/>
          <w:szCs w:val="24"/>
        </w:rPr>
        <w:t>    </w:t>
      </w:r>
      <w:r w:rsidRPr="0039287C">
        <w:rPr>
          <w:rFonts w:ascii="宋体" w:hAnsi="宋体"/>
          <w:kern w:val="0"/>
          <w:sz w:val="24"/>
          <w:szCs w:val="24"/>
        </w:rPr>
        <w:t>海</w:t>
      </w:r>
      <w:r w:rsidRPr="0039287C">
        <w:rPr>
          <w:rFonts w:ascii="宋体" w:hAnsi="宋体"/>
          <w:sz w:val="24"/>
          <w:szCs w:val="24"/>
        </w:rPr>
        <w:t>富通基金管理有限公</w:t>
      </w:r>
      <w:r w:rsidRPr="0039287C">
        <w:rPr>
          <w:rFonts w:ascii="宋体" w:hAnsi="宋体"/>
          <w:kern w:val="0"/>
          <w:sz w:val="24"/>
          <w:szCs w:val="24"/>
        </w:rPr>
        <w:t>司</w:t>
      </w:r>
    </w:p>
    <w:p w:rsidR="00EB3156" w:rsidRPr="0039287C" w:rsidRDefault="00EB3156" w:rsidP="005D5552">
      <w:pPr>
        <w:widowControl/>
        <w:spacing w:line="480" w:lineRule="auto"/>
        <w:ind w:firstLineChars="200" w:firstLine="480"/>
        <w:jc w:val="right"/>
        <w:rPr>
          <w:rFonts w:ascii="宋体" w:hAnsi="宋体"/>
          <w:kern w:val="0"/>
          <w:sz w:val="24"/>
          <w:szCs w:val="24"/>
        </w:rPr>
      </w:pPr>
      <w:r w:rsidRPr="0039287C">
        <w:rPr>
          <w:rFonts w:ascii="宋体" w:hAnsi="宋体"/>
          <w:kern w:val="0"/>
          <w:sz w:val="24"/>
          <w:szCs w:val="24"/>
        </w:rPr>
        <w:t>    20</w:t>
      </w:r>
      <w:r w:rsidRPr="0039287C">
        <w:rPr>
          <w:rFonts w:ascii="宋体" w:hAnsi="宋体" w:hint="eastAsia"/>
          <w:kern w:val="0"/>
          <w:sz w:val="24"/>
          <w:szCs w:val="24"/>
        </w:rPr>
        <w:t>2</w:t>
      </w:r>
      <w:r w:rsidRPr="0039287C">
        <w:rPr>
          <w:rFonts w:ascii="宋体" w:hAnsi="宋体"/>
          <w:kern w:val="0"/>
          <w:sz w:val="24"/>
          <w:szCs w:val="24"/>
        </w:rPr>
        <w:t>3年</w:t>
      </w:r>
      <w:r w:rsidR="0029705A">
        <w:rPr>
          <w:rFonts w:ascii="宋体" w:hAnsi="宋体"/>
          <w:kern w:val="0"/>
          <w:sz w:val="24"/>
          <w:szCs w:val="24"/>
        </w:rPr>
        <w:t>5</w:t>
      </w:r>
      <w:r w:rsidRPr="0039287C">
        <w:rPr>
          <w:rFonts w:ascii="宋体" w:hAnsi="宋体"/>
          <w:kern w:val="0"/>
          <w:sz w:val="24"/>
          <w:szCs w:val="24"/>
        </w:rPr>
        <w:t>月</w:t>
      </w:r>
      <w:r w:rsidR="0029705A">
        <w:rPr>
          <w:rFonts w:ascii="宋体" w:hAnsi="宋体"/>
          <w:kern w:val="0"/>
          <w:sz w:val="24"/>
          <w:szCs w:val="24"/>
        </w:rPr>
        <w:t>4</w:t>
      </w:r>
      <w:r w:rsidRPr="0039287C">
        <w:rPr>
          <w:rFonts w:ascii="宋体" w:hAnsi="宋体"/>
          <w:kern w:val="0"/>
          <w:sz w:val="24"/>
          <w:szCs w:val="24"/>
        </w:rPr>
        <w:t xml:space="preserve">日 </w:t>
      </w:r>
    </w:p>
    <w:p w:rsidR="00BD24A7" w:rsidRPr="0039287C" w:rsidRDefault="00BD24A7" w:rsidP="0039287C">
      <w:pPr>
        <w:spacing w:line="480" w:lineRule="auto"/>
        <w:rPr>
          <w:rFonts w:ascii="宋体" w:hAnsi="宋体"/>
          <w:sz w:val="24"/>
          <w:szCs w:val="24"/>
        </w:rPr>
      </w:pPr>
    </w:p>
    <w:sectPr w:rsidR="00BD24A7" w:rsidRPr="003928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84" w:rsidRDefault="00130684" w:rsidP="00900AA4">
      <w:r>
        <w:separator/>
      </w:r>
    </w:p>
  </w:endnote>
  <w:endnote w:type="continuationSeparator" w:id="0">
    <w:p w:rsidR="00130684" w:rsidRDefault="00130684" w:rsidP="00900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84" w:rsidRDefault="00130684" w:rsidP="00900AA4">
      <w:r>
        <w:separator/>
      </w:r>
    </w:p>
  </w:footnote>
  <w:footnote w:type="continuationSeparator" w:id="0">
    <w:p w:rsidR="00130684" w:rsidRDefault="00130684" w:rsidP="00900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922"/>
    <w:rsid w:val="0000745F"/>
    <w:rsid w:val="000205EA"/>
    <w:rsid w:val="0002614F"/>
    <w:rsid w:val="0002659C"/>
    <w:rsid w:val="00027B67"/>
    <w:rsid w:val="000417DE"/>
    <w:rsid w:val="00042EE4"/>
    <w:rsid w:val="00047F9A"/>
    <w:rsid w:val="00054864"/>
    <w:rsid w:val="00071573"/>
    <w:rsid w:val="0008062A"/>
    <w:rsid w:val="00082E3B"/>
    <w:rsid w:val="00086E97"/>
    <w:rsid w:val="000872A2"/>
    <w:rsid w:val="000A64BC"/>
    <w:rsid w:val="000A753F"/>
    <w:rsid w:val="000B52C3"/>
    <w:rsid w:val="000B741F"/>
    <w:rsid w:val="000D4957"/>
    <w:rsid w:val="0010507E"/>
    <w:rsid w:val="00117C30"/>
    <w:rsid w:val="00130684"/>
    <w:rsid w:val="00130975"/>
    <w:rsid w:val="0013181B"/>
    <w:rsid w:val="00165CF2"/>
    <w:rsid w:val="00170EEC"/>
    <w:rsid w:val="00177C26"/>
    <w:rsid w:val="00181894"/>
    <w:rsid w:val="00186594"/>
    <w:rsid w:val="00194134"/>
    <w:rsid w:val="001A0599"/>
    <w:rsid w:val="001A57C1"/>
    <w:rsid w:val="001B4C18"/>
    <w:rsid w:val="001D501E"/>
    <w:rsid w:val="001E0E44"/>
    <w:rsid w:val="001E271F"/>
    <w:rsid w:val="001E4E34"/>
    <w:rsid w:val="002064C6"/>
    <w:rsid w:val="00207997"/>
    <w:rsid w:val="002177A8"/>
    <w:rsid w:val="00232BCF"/>
    <w:rsid w:val="00234C8C"/>
    <w:rsid w:val="00234F44"/>
    <w:rsid w:val="00260361"/>
    <w:rsid w:val="00262E75"/>
    <w:rsid w:val="00264635"/>
    <w:rsid w:val="0026745D"/>
    <w:rsid w:val="00267FB6"/>
    <w:rsid w:val="002747D5"/>
    <w:rsid w:val="00294BE1"/>
    <w:rsid w:val="0029705A"/>
    <w:rsid w:val="002B68D6"/>
    <w:rsid w:val="002D0E02"/>
    <w:rsid w:val="002D380F"/>
    <w:rsid w:val="002E4624"/>
    <w:rsid w:val="00300F1B"/>
    <w:rsid w:val="0031360A"/>
    <w:rsid w:val="003379E8"/>
    <w:rsid w:val="003537E6"/>
    <w:rsid w:val="0035592F"/>
    <w:rsid w:val="0039287C"/>
    <w:rsid w:val="003939DF"/>
    <w:rsid w:val="00395004"/>
    <w:rsid w:val="00396EA6"/>
    <w:rsid w:val="00397643"/>
    <w:rsid w:val="003C127F"/>
    <w:rsid w:val="003C23AC"/>
    <w:rsid w:val="003C3AD2"/>
    <w:rsid w:val="003D10F2"/>
    <w:rsid w:val="003D2707"/>
    <w:rsid w:val="004003CE"/>
    <w:rsid w:val="004048EB"/>
    <w:rsid w:val="0041323F"/>
    <w:rsid w:val="00426886"/>
    <w:rsid w:val="004348DB"/>
    <w:rsid w:val="00436E40"/>
    <w:rsid w:val="0044717F"/>
    <w:rsid w:val="00454605"/>
    <w:rsid w:val="00454E82"/>
    <w:rsid w:val="00477369"/>
    <w:rsid w:val="0049383A"/>
    <w:rsid w:val="00495C38"/>
    <w:rsid w:val="004C19AC"/>
    <w:rsid w:val="004C407F"/>
    <w:rsid w:val="004C5112"/>
    <w:rsid w:val="004D417A"/>
    <w:rsid w:val="004E785D"/>
    <w:rsid w:val="004F2715"/>
    <w:rsid w:val="004F474B"/>
    <w:rsid w:val="00512271"/>
    <w:rsid w:val="00523C60"/>
    <w:rsid w:val="005304B2"/>
    <w:rsid w:val="005460AB"/>
    <w:rsid w:val="00552F38"/>
    <w:rsid w:val="005624D1"/>
    <w:rsid w:val="00573F3C"/>
    <w:rsid w:val="005922ED"/>
    <w:rsid w:val="005C6AA8"/>
    <w:rsid w:val="005D5552"/>
    <w:rsid w:val="005E11D5"/>
    <w:rsid w:val="00601E16"/>
    <w:rsid w:val="00611761"/>
    <w:rsid w:val="0065443B"/>
    <w:rsid w:val="00656923"/>
    <w:rsid w:val="006649C7"/>
    <w:rsid w:val="006660C3"/>
    <w:rsid w:val="006674F7"/>
    <w:rsid w:val="006723B4"/>
    <w:rsid w:val="00676EFC"/>
    <w:rsid w:val="00693FEE"/>
    <w:rsid w:val="006A2A20"/>
    <w:rsid w:val="006A500D"/>
    <w:rsid w:val="006E6F72"/>
    <w:rsid w:val="006F6922"/>
    <w:rsid w:val="00704A26"/>
    <w:rsid w:val="007058CB"/>
    <w:rsid w:val="0071187D"/>
    <w:rsid w:val="007145DE"/>
    <w:rsid w:val="00732922"/>
    <w:rsid w:val="00745EBF"/>
    <w:rsid w:val="00751527"/>
    <w:rsid w:val="00752D29"/>
    <w:rsid w:val="00755397"/>
    <w:rsid w:val="00757F6E"/>
    <w:rsid w:val="00783CD2"/>
    <w:rsid w:val="00784280"/>
    <w:rsid w:val="007A0F28"/>
    <w:rsid w:val="007C641F"/>
    <w:rsid w:val="007D5814"/>
    <w:rsid w:val="007E5E89"/>
    <w:rsid w:val="007E6933"/>
    <w:rsid w:val="00805A10"/>
    <w:rsid w:val="008132C1"/>
    <w:rsid w:val="00823826"/>
    <w:rsid w:val="00832ABF"/>
    <w:rsid w:val="00836EC4"/>
    <w:rsid w:val="0084362B"/>
    <w:rsid w:val="0084474D"/>
    <w:rsid w:val="00862B1F"/>
    <w:rsid w:val="00862CF2"/>
    <w:rsid w:val="00863254"/>
    <w:rsid w:val="008818D5"/>
    <w:rsid w:val="008C16D8"/>
    <w:rsid w:val="008C327A"/>
    <w:rsid w:val="008F3F45"/>
    <w:rsid w:val="008F5736"/>
    <w:rsid w:val="00900AA4"/>
    <w:rsid w:val="00916EE1"/>
    <w:rsid w:val="00920589"/>
    <w:rsid w:val="00920B98"/>
    <w:rsid w:val="00922DB7"/>
    <w:rsid w:val="0093024F"/>
    <w:rsid w:val="009343BE"/>
    <w:rsid w:val="00951A2A"/>
    <w:rsid w:val="00957936"/>
    <w:rsid w:val="00960C48"/>
    <w:rsid w:val="009752FB"/>
    <w:rsid w:val="009A786C"/>
    <w:rsid w:val="009B0DFB"/>
    <w:rsid w:val="009B6C55"/>
    <w:rsid w:val="009E61F9"/>
    <w:rsid w:val="009F590E"/>
    <w:rsid w:val="00A31C3B"/>
    <w:rsid w:val="00A33332"/>
    <w:rsid w:val="00A3422D"/>
    <w:rsid w:val="00A36173"/>
    <w:rsid w:val="00A56D71"/>
    <w:rsid w:val="00A57831"/>
    <w:rsid w:val="00A62244"/>
    <w:rsid w:val="00A76275"/>
    <w:rsid w:val="00A87D15"/>
    <w:rsid w:val="00A93A7F"/>
    <w:rsid w:val="00A961E7"/>
    <w:rsid w:val="00AB27F6"/>
    <w:rsid w:val="00AB55FB"/>
    <w:rsid w:val="00AF02F3"/>
    <w:rsid w:val="00B00926"/>
    <w:rsid w:val="00B022E9"/>
    <w:rsid w:val="00B035E8"/>
    <w:rsid w:val="00B03E87"/>
    <w:rsid w:val="00B10F80"/>
    <w:rsid w:val="00B1114D"/>
    <w:rsid w:val="00B36100"/>
    <w:rsid w:val="00B45258"/>
    <w:rsid w:val="00B52B1A"/>
    <w:rsid w:val="00B548A3"/>
    <w:rsid w:val="00B56E98"/>
    <w:rsid w:val="00B81741"/>
    <w:rsid w:val="00B82CFC"/>
    <w:rsid w:val="00B9459B"/>
    <w:rsid w:val="00B95713"/>
    <w:rsid w:val="00B96F99"/>
    <w:rsid w:val="00BA1F08"/>
    <w:rsid w:val="00BB4061"/>
    <w:rsid w:val="00BD24A7"/>
    <w:rsid w:val="00BE4ABA"/>
    <w:rsid w:val="00BE76A8"/>
    <w:rsid w:val="00C01493"/>
    <w:rsid w:val="00C246D1"/>
    <w:rsid w:val="00C35051"/>
    <w:rsid w:val="00C36283"/>
    <w:rsid w:val="00C42E8E"/>
    <w:rsid w:val="00C4493A"/>
    <w:rsid w:val="00C518D4"/>
    <w:rsid w:val="00C51B17"/>
    <w:rsid w:val="00C565D8"/>
    <w:rsid w:val="00C56984"/>
    <w:rsid w:val="00C5744A"/>
    <w:rsid w:val="00C57C8B"/>
    <w:rsid w:val="00C619D0"/>
    <w:rsid w:val="00C6226C"/>
    <w:rsid w:val="00C70C68"/>
    <w:rsid w:val="00C8611A"/>
    <w:rsid w:val="00C87280"/>
    <w:rsid w:val="00C93727"/>
    <w:rsid w:val="00C94B78"/>
    <w:rsid w:val="00CB78B8"/>
    <w:rsid w:val="00CC2DBB"/>
    <w:rsid w:val="00CC7F6E"/>
    <w:rsid w:val="00CF1841"/>
    <w:rsid w:val="00CF5E8B"/>
    <w:rsid w:val="00D04ADA"/>
    <w:rsid w:val="00D04BA8"/>
    <w:rsid w:val="00D058B6"/>
    <w:rsid w:val="00D0758A"/>
    <w:rsid w:val="00D13052"/>
    <w:rsid w:val="00D164EC"/>
    <w:rsid w:val="00D2157D"/>
    <w:rsid w:val="00D429B1"/>
    <w:rsid w:val="00D4347C"/>
    <w:rsid w:val="00D43B14"/>
    <w:rsid w:val="00D477BB"/>
    <w:rsid w:val="00D54F6D"/>
    <w:rsid w:val="00D62375"/>
    <w:rsid w:val="00D6571B"/>
    <w:rsid w:val="00D70FFC"/>
    <w:rsid w:val="00D94A41"/>
    <w:rsid w:val="00DA59E6"/>
    <w:rsid w:val="00DB7E68"/>
    <w:rsid w:val="00DC7AD0"/>
    <w:rsid w:val="00DD4A74"/>
    <w:rsid w:val="00DD6326"/>
    <w:rsid w:val="00DD71F4"/>
    <w:rsid w:val="00E0075E"/>
    <w:rsid w:val="00E10D39"/>
    <w:rsid w:val="00E234AB"/>
    <w:rsid w:val="00E3040C"/>
    <w:rsid w:val="00E323F5"/>
    <w:rsid w:val="00E40445"/>
    <w:rsid w:val="00E420AE"/>
    <w:rsid w:val="00E42104"/>
    <w:rsid w:val="00E4654D"/>
    <w:rsid w:val="00E5303C"/>
    <w:rsid w:val="00E554F8"/>
    <w:rsid w:val="00E61B59"/>
    <w:rsid w:val="00E87428"/>
    <w:rsid w:val="00E90195"/>
    <w:rsid w:val="00EB0410"/>
    <w:rsid w:val="00EB3156"/>
    <w:rsid w:val="00EC267F"/>
    <w:rsid w:val="00EC3B91"/>
    <w:rsid w:val="00EC5C6E"/>
    <w:rsid w:val="00ED773B"/>
    <w:rsid w:val="00EE070F"/>
    <w:rsid w:val="00EE0CAC"/>
    <w:rsid w:val="00EF566A"/>
    <w:rsid w:val="00F01E45"/>
    <w:rsid w:val="00F224F3"/>
    <w:rsid w:val="00F22545"/>
    <w:rsid w:val="00F46232"/>
    <w:rsid w:val="00F6306B"/>
    <w:rsid w:val="00F64641"/>
    <w:rsid w:val="00F71929"/>
    <w:rsid w:val="00F721AB"/>
    <w:rsid w:val="00F77A40"/>
    <w:rsid w:val="00F81CC9"/>
    <w:rsid w:val="00F820B6"/>
    <w:rsid w:val="00F84D2B"/>
    <w:rsid w:val="00F923FE"/>
    <w:rsid w:val="00FB22B6"/>
    <w:rsid w:val="00FC19B6"/>
    <w:rsid w:val="00FD071D"/>
    <w:rsid w:val="00FF0E79"/>
    <w:rsid w:val="760A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宋体" w:hAnsi="Cambria Math" w:cs="Segoe U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</w:style>
  <w:style w:type="paragraph" w:styleId="a5">
    <w:name w:val="Balloon Text"/>
    <w:basedOn w:val="a"/>
    <w:link w:val="a6"/>
    <w:uiPriority w:val="99"/>
    <w:unhideWhenUsed/>
    <w:rPr>
      <w:kern w:val="0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egoe UI" w:hAnsi="Segoe UI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rPr>
      <w:b/>
      <w:bCs/>
      <w:kern w:val="0"/>
      <w:sz w:val="20"/>
      <w:szCs w:val="20"/>
    </w:rPr>
  </w:style>
  <w:style w:type="character" w:customStyle="1" w:styleId="ad">
    <w:name w:val="批注主题 字符"/>
    <w:link w:val="ac"/>
    <w:uiPriority w:val="99"/>
    <w:semiHidden/>
    <w:rPr>
      <w:b/>
      <w:bCs/>
    </w:rPr>
  </w:style>
  <w:style w:type="character" w:styleId="ae">
    <w:name w:val="Hyperlink"/>
    <w:uiPriority w:val="99"/>
    <w:unhideWhenUsed/>
    <w:rPr>
      <w:color w:val="0563C1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paragraph" w:styleId="af0">
    <w:name w:val="列表段落"/>
    <w:basedOn w:val="a"/>
    <w:uiPriority w:val="34"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E0075E"/>
    <w:rPr>
      <w:kern w:val="2"/>
      <w:sz w:val="21"/>
      <w:szCs w:val="22"/>
    </w:rPr>
  </w:style>
  <w:style w:type="character" w:customStyle="1" w:styleId="af2">
    <w:name w:val="未处理的提及"/>
    <w:uiPriority w:val="99"/>
    <w:semiHidden/>
    <w:unhideWhenUsed/>
    <w:rsid w:val="00B009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4</DocSecurity>
  <Lines>5</Lines>
  <Paragraphs>1</Paragraphs>
  <ScaleCrop>false</ScaleCrop>
  <Company>hftfund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jyzhong</dc:creator>
  <cp:keywords/>
  <cp:lastModifiedBy>ZHONGM</cp:lastModifiedBy>
  <cp:revision>2</cp:revision>
  <dcterms:created xsi:type="dcterms:W3CDTF">2023-04-30T16:01:00Z</dcterms:created>
  <dcterms:modified xsi:type="dcterms:W3CDTF">2023-04-30T16:01:00Z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5EDA3E0C8DCE4AE2B1DACB17092D034A</vt:lpwstr>
  </property>
</Properties>
</file>