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6"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关于前海开源现金增利货币市场基金</w:t>
      </w:r>
    </w:p>
    <w:p w:rsidR="00434B9E" w:rsidRPr="00434B9E"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调整大额申购、定期定额投资及转换转入业务限制的公告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9D17B1">
        <w:rPr>
          <w:rFonts w:ascii="宋体" w:eastAsia="宋体" w:hAnsi="宋体"/>
          <w:color w:val="000000"/>
          <w:sz w:val="24"/>
        </w:rPr>
        <w:t>3</w:t>
      </w:r>
      <w:r w:rsidR="00B067B1">
        <w:rPr>
          <w:rFonts w:ascii="宋体" w:eastAsia="宋体" w:hAnsi="宋体" w:hint="eastAsia"/>
          <w:color w:val="000000"/>
          <w:sz w:val="24"/>
        </w:rPr>
        <w:t>年</w:t>
      </w:r>
      <w:r w:rsidR="00C575CF">
        <w:rPr>
          <w:rFonts w:ascii="宋体" w:eastAsia="宋体" w:hAnsi="宋体"/>
          <w:color w:val="000000"/>
          <w:sz w:val="24"/>
        </w:rPr>
        <w:t>4</w:t>
      </w:r>
      <w:r w:rsidR="00A31AAD">
        <w:rPr>
          <w:rFonts w:ascii="宋体" w:eastAsia="宋体" w:hAnsi="宋体" w:hint="eastAsia"/>
          <w:color w:val="000000"/>
          <w:sz w:val="24"/>
        </w:rPr>
        <w:t>月</w:t>
      </w:r>
      <w:r w:rsidR="00C575CF">
        <w:rPr>
          <w:rFonts w:ascii="宋体" w:eastAsia="宋体" w:hAnsi="宋体" w:hint="eastAsia"/>
          <w:color w:val="000000"/>
          <w:sz w:val="24"/>
        </w:rPr>
        <w:t>27</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3304"/>
        <w:gridCol w:w="1576"/>
        <w:gridCol w:w="1576"/>
        <w:gridCol w:w="1574"/>
      </w:tblGrid>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523" w:type="pct"/>
            <w:gridSpan w:val="3"/>
            <w:vAlign w:val="center"/>
          </w:tcPr>
          <w:p w:rsidR="00050A93" w:rsidRPr="00DB0AF4" w:rsidRDefault="000E324C" w:rsidP="00750C5D">
            <w:pPr>
              <w:adjustRightInd w:val="0"/>
              <w:spacing w:line="324" w:lineRule="auto"/>
              <w:rPr>
                <w:rFonts w:ascii="宋体" w:eastAsia="宋体" w:hAnsi="宋体"/>
                <w:color w:val="000000"/>
                <w:sz w:val="21"/>
                <w:szCs w:val="21"/>
                <w:highlight w:val="cyan"/>
              </w:rPr>
            </w:pPr>
            <w:r w:rsidRPr="000E324C">
              <w:rPr>
                <w:rFonts w:ascii="宋体" w:eastAsia="宋体" w:hAnsi="宋体" w:hint="eastAsia"/>
                <w:color w:val="000000"/>
                <w:kern w:val="0"/>
                <w:sz w:val="21"/>
                <w:szCs w:val="21"/>
              </w:rPr>
              <w:t>前海开源现金增利货币市场基金</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523" w:type="pct"/>
            <w:gridSpan w:val="3"/>
            <w:vAlign w:val="center"/>
          </w:tcPr>
          <w:p w:rsidR="00050A93" w:rsidRPr="00DB0AF4" w:rsidRDefault="00750C5D" w:rsidP="004609DB">
            <w:pPr>
              <w:adjustRightInd w:val="0"/>
              <w:spacing w:line="324" w:lineRule="auto"/>
              <w:rPr>
                <w:rFonts w:ascii="宋体" w:eastAsia="宋体" w:hAnsi="宋体"/>
                <w:color w:val="000000"/>
                <w:kern w:val="0"/>
                <w:sz w:val="21"/>
                <w:szCs w:val="21"/>
              </w:rPr>
            </w:pPr>
            <w:r w:rsidRPr="00750C5D">
              <w:rPr>
                <w:rFonts w:ascii="宋体" w:eastAsia="宋体" w:hAnsi="宋体" w:cs="宋体" w:hint="eastAsia"/>
                <w:color w:val="000000"/>
                <w:kern w:val="0"/>
                <w:sz w:val="21"/>
                <w:szCs w:val="21"/>
              </w:rPr>
              <w:t>前海开源</w:t>
            </w:r>
            <w:r w:rsidR="000E324C">
              <w:rPr>
                <w:rFonts w:ascii="宋体" w:eastAsia="宋体" w:hAnsi="宋体" w:cs="宋体" w:hint="eastAsia"/>
                <w:color w:val="000000"/>
                <w:kern w:val="0"/>
                <w:sz w:val="21"/>
                <w:szCs w:val="21"/>
              </w:rPr>
              <w:t>货币</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523" w:type="pct"/>
            <w:gridSpan w:val="3"/>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750C5D">
              <w:rPr>
                <w:rFonts w:ascii="宋体" w:eastAsia="宋体" w:hAnsi="宋体" w:hint="eastAsia"/>
                <w:color w:val="000000"/>
                <w:kern w:val="0"/>
                <w:sz w:val="21"/>
                <w:szCs w:val="21"/>
              </w:rPr>
              <w:t>1</w:t>
            </w:r>
            <w:r w:rsidR="000E324C">
              <w:rPr>
                <w:rFonts w:ascii="宋体" w:eastAsia="宋体" w:hAnsi="宋体" w:hint="eastAsia"/>
                <w:color w:val="000000"/>
                <w:kern w:val="0"/>
                <w:sz w:val="21"/>
                <w:szCs w:val="21"/>
              </w:rPr>
              <w:t>870</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523" w:type="pct"/>
            <w:gridSpan w:val="3"/>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523" w:type="pct"/>
            <w:gridSpan w:val="3"/>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354782">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764"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523" w:type="pct"/>
            <w:gridSpan w:val="3"/>
            <w:vAlign w:val="center"/>
          </w:tcPr>
          <w:p w:rsidR="0057212E" w:rsidRPr="00DB0AF4" w:rsidRDefault="00FF6848"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w:t>
            </w:r>
            <w:r w:rsidR="009D17B1">
              <w:rPr>
                <w:rFonts w:ascii="宋体" w:eastAsia="宋体" w:hAnsi="宋体"/>
                <w:color w:val="000000"/>
                <w:kern w:val="0"/>
                <w:sz w:val="21"/>
                <w:szCs w:val="21"/>
              </w:rPr>
              <w:t>3</w:t>
            </w:r>
            <w:r w:rsidR="00C32D3E" w:rsidRPr="00C32D3E">
              <w:rPr>
                <w:rFonts w:ascii="宋体" w:eastAsia="宋体" w:hAnsi="宋体" w:hint="eastAsia"/>
                <w:color w:val="000000"/>
                <w:kern w:val="0"/>
                <w:sz w:val="21"/>
                <w:szCs w:val="21"/>
              </w:rPr>
              <w:t>年</w:t>
            </w:r>
            <w:r w:rsidR="009D17B1">
              <w:rPr>
                <w:rFonts w:ascii="宋体" w:eastAsia="宋体" w:hAnsi="宋体" w:hint="eastAsia"/>
                <w:color w:val="000000"/>
                <w:kern w:val="0"/>
                <w:sz w:val="21"/>
                <w:szCs w:val="21"/>
              </w:rPr>
              <w:t>0</w:t>
            </w:r>
            <w:r w:rsidR="00C575CF">
              <w:rPr>
                <w:rFonts w:ascii="宋体" w:eastAsia="宋体" w:hAnsi="宋体" w:hint="eastAsia"/>
                <w:color w:val="000000"/>
                <w:kern w:val="0"/>
                <w:sz w:val="21"/>
                <w:szCs w:val="21"/>
              </w:rPr>
              <w:t>4</w:t>
            </w:r>
            <w:r w:rsidR="00C32D3E" w:rsidRPr="00C32D3E">
              <w:rPr>
                <w:rFonts w:ascii="宋体" w:eastAsia="宋体" w:hAnsi="宋体" w:hint="eastAsia"/>
                <w:color w:val="000000"/>
                <w:kern w:val="0"/>
                <w:sz w:val="21"/>
                <w:szCs w:val="21"/>
              </w:rPr>
              <w:t>月</w:t>
            </w:r>
            <w:r w:rsidR="00C575CF">
              <w:rPr>
                <w:rFonts w:ascii="宋体" w:eastAsia="宋体" w:hAnsi="宋体" w:hint="eastAsia"/>
                <w:color w:val="000000"/>
                <w:kern w:val="0"/>
                <w:sz w:val="21"/>
                <w:szCs w:val="21"/>
              </w:rPr>
              <w:t>27</w:t>
            </w:r>
            <w:r w:rsidR="00C32D3E" w:rsidRPr="00C32D3E">
              <w:rPr>
                <w:rFonts w:ascii="宋体" w:eastAsia="宋体" w:hAnsi="宋体" w:hint="eastAsia"/>
                <w:color w:val="000000"/>
                <w:kern w:val="0"/>
                <w:sz w:val="21"/>
                <w:szCs w:val="21"/>
              </w:rPr>
              <w:t>日</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DB0AF4" w:rsidRDefault="009D17B1" w:rsidP="009D17B1">
            <w:pPr>
              <w:spacing w:line="324" w:lineRule="auto"/>
              <w:rPr>
                <w:sz w:val="21"/>
                <w:szCs w:val="21"/>
              </w:rPr>
            </w:pPr>
            <w:r>
              <w:rPr>
                <w:rFonts w:ascii="宋体" w:eastAsia="宋体" w:hAnsi="宋体" w:hint="eastAsia"/>
                <w:color w:val="000000"/>
                <w:sz w:val="21"/>
                <w:szCs w:val="21"/>
              </w:rPr>
              <w:t>限制大额定期定额投资起始日</w:t>
            </w:r>
          </w:p>
        </w:tc>
        <w:tc>
          <w:tcPr>
            <w:tcW w:w="2523" w:type="pct"/>
            <w:gridSpan w:val="3"/>
            <w:vAlign w:val="center"/>
          </w:tcPr>
          <w:p w:rsidR="009D17B1" w:rsidRPr="00DB0AF4" w:rsidRDefault="00C575CF" w:rsidP="009D17B1">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w:t>
            </w:r>
            <w:r>
              <w:rPr>
                <w:rFonts w:ascii="宋体" w:eastAsia="宋体" w:hAnsi="宋体"/>
                <w:color w:val="000000"/>
                <w:kern w:val="0"/>
                <w:sz w:val="21"/>
                <w:szCs w:val="21"/>
              </w:rPr>
              <w:t>3</w:t>
            </w:r>
            <w:r w:rsidRPr="00C32D3E">
              <w:rPr>
                <w:rFonts w:ascii="宋体" w:eastAsia="宋体" w:hAnsi="宋体" w:hint="eastAsia"/>
                <w:color w:val="000000"/>
                <w:kern w:val="0"/>
                <w:sz w:val="21"/>
                <w:szCs w:val="21"/>
              </w:rPr>
              <w:t>年</w:t>
            </w:r>
            <w:r>
              <w:rPr>
                <w:rFonts w:ascii="宋体" w:eastAsia="宋体" w:hAnsi="宋体" w:hint="eastAsia"/>
                <w:color w:val="000000"/>
                <w:kern w:val="0"/>
                <w:sz w:val="21"/>
                <w:szCs w:val="21"/>
              </w:rPr>
              <w:t>04</w:t>
            </w:r>
            <w:r w:rsidRPr="00C32D3E">
              <w:rPr>
                <w:rFonts w:ascii="宋体" w:eastAsia="宋体" w:hAnsi="宋体" w:hint="eastAsia"/>
                <w:color w:val="000000"/>
                <w:kern w:val="0"/>
                <w:sz w:val="21"/>
                <w:szCs w:val="21"/>
              </w:rPr>
              <w:t>月</w:t>
            </w:r>
            <w:r>
              <w:rPr>
                <w:rFonts w:ascii="宋体" w:eastAsia="宋体" w:hAnsi="宋体" w:hint="eastAsia"/>
                <w:color w:val="000000"/>
                <w:kern w:val="0"/>
                <w:sz w:val="21"/>
                <w:szCs w:val="21"/>
              </w:rPr>
              <w:t>27</w:t>
            </w:r>
            <w:r w:rsidRPr="00C32D3E">
              <w:rPr>
                <w:rFonts w:ascii="宋体" w:eastAsia="宋体" w:hAnsi="宋体" w:hint="eastAsia"/>
                <w:color w:val="000000"/>
                <w:kern w:val="0"/>
                <w:sz w:val="21"/>
                <w:szCs w:val="21"/>
              </w:rPr>
              <w:t>日</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DB0AF4" w:rsidRDefault="009D17B1" w:rsidP="009D17B1">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523" w:type="pct"/>
            <w:gridSpan w:val="3"/>
            <w:vAlign w:val="center"/>
          </w:tcPr>
          <w:p w:rsidR="009D17B1" w:rsidRPr="00DB0AF4" w:rsidRDefault="00C575CF" w:rsidP="009D17B1">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w:t>
            </w:r>
            <w:r>
              <w:rPr>
                <w:rFonts w:ascii="宋体" w:eastAsia="宋体" w:hAnsi="宋体"/>
                <w:color w:val="000000"/>
                <w:kern w:val="0"/>
                <w:sz w:val="21"/>
                <w:szCs w:val="21"/>
              </w:rPr>
              <w:t>3</w:t>
            </w:r>
            <w:r w:rsidRPr="00C32D3E">
              <w:rPr>
                <w:rFonts w:ascii="宋体" w:eastAsia="宋体" w:hAnsi="宋体" w:hint="eastAsia"/>
                <w:color w:val="000000"/>
                <w:kern w:val="0"/>
                <w:sz w:val="21"/>
                <w:szCs w:val="21"/>
              </w:rPr>
              <w:t>年</w:t>
            </w:r>
            <w:r>
              <w:rPr>
                <w:rFonts w:ascii="宋体" w:eastAsia="宋体" w:hAnsi="宋体" w:hint="eastAsia"/>
                <w:color w:val="000000"/>
                <w:kern w:val="0"/>
                <w:sz w:val="21"/>
                <w:szCs w:val="21"/>
              </w:rPr>
              <w:t>04</w:t>
            </w:r>
            <w:r w:rsidRPr="00C32D3E">
              <w:rPr>
                <w:rFonts w:ascii="宋体" w:eastAsia="宋体" w:hAnsi="宋体" w:hint="eastAsia"/>
                <w:color w:val="000000"/>
                <w:kern w:val="0"/>
                <w:sz w:val="21"/>
                <w:szCs w:val="21"/>
              </w:rPr>
              <w:t>月</w:t>
            </w:r>
            <w:r>
              <w:rPr>
                <w:rFonts w:ascii="宋体" w:eastAsia="宋体" w:hAnsi="宋体" w:hint="eastAsia"/>
                <w:color w:val="000000"/>
                <w:kern w:val="0"/>
                <w:sz w:val="21"/>
                <w:szCs w:val="21"/>
              </w:rPr>
              <w:t>27</w:t>
            </w:r>
            <w:r w:rsidRPr="00C32D3E">
              <w:rPr>
                <w:rFonts w:ascii="宋体" w:eastAsia="宋体" w:hAnsi="宋体" w:hint="eastAsia"/>
                <w:color w:val="000000"/>
                <w:kern w:val="0"/>
                <w:sz w:val="21"/>
                <w:szCs w:val="21"/>
              </w:rPr>
              <w:t>日</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081520" w:rsidRDefault="009D17B1" w:rsidP="009D17B1">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9D17B1" w:rsidRPr="00081520" w:rsidRDefault="00C575CF"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10</w:t>
            </w:r>
            <w:r w:rsidR="009D17B1">
              <w:rPr>
                <w:rFonts w:ascii="宋体" w:eastAsia="宋体" w:hAnsi="宋体"/>
                <w:color w:val="000000"/>
                <w:kern w:val="0"/>
                <w:sz w:val="21"/>
                <w:szCs w:val="21"/>
              </w:rPr>
              <w:t>,</w:t>
            </w:r>
            <w:r w:rsidR="009D17B1">
              <w:rPr>
                <w:rFonts w:ascii="宋体" w:eastAsia="宋体" w:hAnsi="宋体" w:hint="eastAsia"/>
                <w:color w:val="000000"/>
                <w:kern w:val="0"/>
                <w:sz w:val="21"/>
                <w:szCs w:val="21"/>
              </w:rPr>
              <w:t>000</w:t>
            </w:r>
            <w:r w:rsidR="009D17B1">
              <w:rPr>
                <w:rFonts w:ascii="宋体" w:eastAsia="宋体" w:hAnsi="宋体"/>
                <w:color w:val="000000"/>
                <w:kern w:val="0"/>
                <w:sz w:val="21"/>
                <w:szCs w:val="21"/>
              </w:rPr>
              <w:t>,</w:t>
            </w:r>
            <w:r w:rsidR="009D17B1">
              <w:rPr>
                <w:rFonts w:ascii="宋体" w:eastAsia="宋体" w:hAnsi="宋体" w:hint="eastAsia"/>
                <w:color w:val="000000"/>
                <w:kern w:val="0"/>
                <w:sz w:val="21"/>
                <w:szCs w:val="21"/>
              </w:rPr>
              <w:t>000</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081520" w:rsidRDefault="009D17B1" w:rsidP="009D17B1">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9D17B1" w:rsidRPr="00081520" w:rsidRDefault="00C575CF"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10</w:t>
            </w:r>
            <w:r>
              <w:rPr>
                <w:rFonts w:ascii="宋体" w:eastAsia="宋体" w:hAnsi="宋体"/>
                <w:color w:val="000000"/>
                <w:kern w:val="0"/>
                <w:sz w:val="21"/>
                <w:szCs w:val="21"/>
              </w:rPr>
              <w:t>,</w:t>
            </w:r>
            <w:r>
              <w:rPr>
                <w:rFonts w:ascii="宋体" w:eastAsia="宋体" w:hAnsi="宋体" w:hint="eastAsia"/>
                <w:color w:val="000000"/>
                <w:kern w:val="0"/>
                <w:sz w:val="21"/>
                <w:szCs w:val="21"/>
              </w:rPr>
              <w:t>000</w:t>
            </w:r>
            <w:r>
              <w:rPr>
                <w:rFonts w:ascii="宋体" w:eastAsia="宋体" w:hAnsi="宋体"/>
                <w:color w:val="000000"/>
                <w:kern w:val="0"/>
                <w:sz w:val="21"/>
                <w:szCs w:val="21"/>
              </w:rPr>
              <w:t>,</w:t>
            </w:r>
            <w:r>
              <w:rPr>
                <w:rFonts w:ascii="宋体" w:eastAsia="宋体" w:hAnsi="宋体" w:hint="eastAsia"/>
                <w:color w:val="000000"/>
                <w:kern w:val="0"/>
                <w:sz w:val="21"/>
                <w:szCs w:val="21"/>
              </w:rPr>
              <w:t>000</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081520" w:rsidRDefault="009D17B1" w:rsidP="009D17B1">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9D17B1" w:rsidRPr="00081520" w:rsidRDefault="00C575CF"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10</w:t>
            </w:r>
            <w:r>
              <w:rPr>
                <w:rFonts w:ascii="宋体" w:eastAsia="宋体" w:hAnsi="宋体"/>
                <w:color w:val="000000"/>
                <w:kern w:val="0"/>
                <w:sz w:val="21"/>
                <w:szCs w:val="21"/>
              </w:rPr>
              <w:t>,</w:t>
            </w:r>
            <w:r>
              <w:rPr>
                <w:rFonts w:ascii="宋体" w:eastAsia="宋体" w:hAnsi="宋体" w:hint="eastAsia"/>
                <w:color w:val="000000"/>
                <w:kern w:val="0"/>
                <w:sz w:val="21"/>
                <w:szCs w:val="21"/>
              </w:rPr>
              <w:t>000</w:t>
            </w:r>
            <w:r>
              <w:rPr>
                <w:rFonts w:ascii="宋体" w:eastAsia="宋体" w:hAnsi="宋体"/>
                <w:color w:val="000000"/>
                <w:kern w:val="0"/>
                <w:sz w:val="21"/>
                <w:szCs w:val="21"/>
              </w:rPr>
              <w:t>,</w:t>
            </w:r>
            <w:r>
              <w:rPr>
                <w:rFonts w:ascii="宋体" w:eastAsia="宋体" w:hAnsi="宋体" w:hint="eastAsia"/>
                <w:color w:val="000000"/>
                <w:kern w:val="0"/>
                <w:sz w:val="21"/>
                <w:szCs w:val="21"/>
              </w:rPr>
              <w:t>000</w:t>
            </w:r>
          </w:p>
        </w:tc>
      </w:tr>
      <w:tr w:rsidR="009D17B1" w:rsidRPr="00D7302E" w:rsidTr="00354782">
        <w:trPr>
          <w:jc w:val="center"/>
        </w:trPr>
        <w:tc>
          <w:tcPr>
            <w:tcW w:w="714" w:type="pct"/>
            <w:vMerge/>
            <w:vAlign w:val="center"/>
          </w:tcPr>
          <w:p w:rsidR="009D17B1" w:rsidRPr="00DB0AF4" w:rsidRDefault="009D17B1" w:rsidP="009D17B1">
            <w:pPr>
              <w:adjustRightInd w:val="0"/>
              <w:spacing w:line="324" w:lineRule="auto"/>
              <w:rPr>
                <w:rFonts w:ascii="宋体" w:eastAsia="宋体" w:hAnsi="宋体"/>
                <w:color w:val="000000"/>
                <w:kern w:val="0"/>
                <w:sz w:val="21"/>
                <w:szCs w:val="21"/>
              </w:rPr>
            </w:pPr>
          </w:p>
        </w:tc>
        <w:tc>
          <w:tcPr>
            <w:tcW w:w="1764" w:type="pct"/>
            <w:vAlign w:val="center"/>
          </w:tcPr>
          <w:p w:rsidR="009D17B1" w:rsidRPr="0057212E" w:rsidRDefault="009D17B1" w:rsidP="009D17B1">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523" w:type="pct"/>
            <w:gridSpan w:val="3"/>
            <w:vAlign w:val="center"/>
          </w:tcPr>
          <w:p w:rsidR="009D17B1" w:rsidRPr="00DB0AF4" w:rsidRDefault="009D17B1" w:rsidP="009D17B1">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9D17B1" w:rsidRPr="00452AFF" w:rsidTr="00354782">
        <w:trPr>
          <w:trHeight w:val="528"/>
          <w:jc w:val="center"/>
        </w:trPr>
        <w:tc>
          <w:tcPr>
            <w:tcW w:w="2477" w:type="pct"/>
            <w:gridSpan w:val="2"/>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A</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B</w:t>
            </w:r>
          </w:p>
        </w:tc>
        <w:tc>
          <w:tcPr>
            <w:tcW w:w="840" w:type="pct"/>
            <w:vAlign w:val="center"/>
          </w:tcPr>
          <w:p w:rsidR="009D17B1" w:rsidRPr="00780797" w:rsidRDefault="009D17B1" w:rsidP="009D17B1">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E</w:t>
            </w:r>
          </w:p>
        </w:tc>
      </w:tr>
      <w:tr w:rsidR="009D17B1" w:rsidRPr="00452AFF" w:rsidTr="00354782">
        <w:trPr>
          <w:jc w:val="center"/>
        </w:trPr>
        <w:tc>
          <w:tcPr>
            <w:tcW w:w="2477" w:type="pct"/>
            <w:gridSpan w:val="2"/>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780797">
              <w:rPr>
                <w:rFonts w:ascii="宋体" w:eastAsia="宋体" w:hAnsi="宋体"/>
                <w:color w:val="000000"/>
                <w:kern w:val="0"/>
                <w:sz w:val="21"/>
                <w:szCs w:val="21"/>
              </w:rPr>
              <w:t>001870</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01871</w:t>
            </w:r>
          </w:p>
        </w:tc>
        <w:tc>
          <w:tcPr>
            <w:tcW w:w="840"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04210</w:t>
            </w:r>
          </w:p>
        </w:tc>
      </w:tr>
      <w:tr w:rsidR="009D17B1" w:rsidRPr="00452AFF" w:rsidTr="00354782">
        <w:trPr>
          <w:jc w:val="center"/>
        </w:trPr>
        <w:tc>
          <w:tcPr>
            <w:tcW w:w="2477" w:type="pct"/>
            <w:gridSpan w:val="2"/>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1"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0" w:type="pct"/>
            <w:vAlign w:val="center"/>
          </w:tcPr>
          <w:p w:rsidR="009D17B1" w:rsidRPr="00452AFF" w:rsidRDefault="009D17B1" w:rsidP="009D17B1">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040DE3">
      <w:pPr>
        <w:adjustRightInd w:val="0"/>
        <w:snapToGrid w:val="0"/>
        <w:spacing w:line="360" w:lineRule="auto"/>
        <w:ind w:firstLineChars="200" w:firstLine="480"/>
        <w:rPr>
          <w:rFonts w:ascii="宋体" w:eastAsia="宋体" w:hAnsi="宋体" w:hint="eastAsia"/>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9D17B1">
        <w:rPr>
          <w:rFonts w:ascii="宋体" w:eastAsia="宋体" w:hAnsi="宋体"/>
          <w:sz w:val="24"/>
          <w:szCs w:val="21"/>
        </w:rPr>
        <w:t>3</w:t>
      </w:r>
      <w:r w:rsidR="00E913BA" w:rsidRPr="00081520">
        <w:rPr>
          <w:rFonts w:ascii="宋体" w:eastAsia="宋体" w:hAnsi="宋体" w:hint="eastAsia"/>
          <w:sz w:val="24"/>
          <w:szCs w:val="21"/>
        </w:rPr>
        <w:t>年</w:t>
      </w:r>
      <w:r w:rsidR="00C575CF">
        <w:rPr>
          <w:rFonts w:ascii="宋体" w:eastAsia="宋体" w:hAnsi="宋体"/>
          <w:sz w:val="24"/>
          <w:szCs w:val="21"/>
        </w:rPr>
        <w:t>4</w:t>
      </w:r>
      <w:r w:rsidR="00E913BA" w:rsidRPr="00081520">
        <w:rPr>
          <w:rFonts w:ascii="宋体" w:eastAsia="宋体" w:hAnsi="宋体" w:hint="eastAsia"/>
          <w:sz w:val="24"/>
          <w:szCs w:val="21"/>
        </w:rPr>
        <w:t>月</w:t>
      </w:r>
      <w:r w:rsidR="00C575CF">
        <w:rPr>
          <w:rFonts w:ascii="宋体" w:eastAsia="宋体" w:hAnsi="宋体"/>
          <w:sz w:val="24"/>
          <w:szCs w:val="21"/>
        </w:rPr>
        <w:t>27</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FF7AFD">
        <w:rPr>
          <w:rFonts w:ascii="宋体" w:eastAsia="宋体" w:hAnsi="宋体" w:hint="eastAsia"/>
          <w:sz w:val="24"/>
          <w:szCs w:val="21"/>
        </w:rPr>
        <w:t>1亿</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类份额合并计算）调整为</w:t>
      </w:r>
      <w:r w:rsidR="00C575CF">
        <w:rPr>
          <w:rFonts w:ascii="宋体" w:eastAsia="宋体" w:hAnsi="宋体"/>
          <w:sz w:val="24"/>
          <w:szCs w:val="21"/>
        </w:rPr>
        <w:t>1000</w:t>
      </w:r>
      <w:r w:rsidR="00E913BA" w:rsidRPr="00081520">
        <w:rPr>
          <w:rFonts w:ascii="宋体" w:eastAsia="宋体" w:hAnsi="宋体" w:hint="eastAsia"/>
          <w:sz w:val="24"/>
          <w:szCs w:val="21"/>
        </w:rPr>
        <w:t>万元（含）（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w:t>
      </w:r>
      <w:r w:rsidR="00481BCC" w:rsidRPr="00081520">
        <w:rPr>
          <w:rFonts w:ascii="宋体" w:eastAsia="宋体" w:hAnsi="宋体"/>
          <w:sz w:val="24"/>
          <w:szCs w:val="21"/>
        </w:rPr>
        <w:t>、E</w:t>
      </w:r>
      <w:r w:rsidR="00481BCC" w:rsidRPr="00081520">
        <w:rPr>
          <w:rFonts w:ascii="宋体" w:eastAsia="宋体" w:hAnsi="宋体" w:hint="eastAsia"/>
          <w:sz w:val="24"/>
          <w:szCs w:val="21"/>
        </w:rPr>
        <w:t>类份额</w:t>
      </w:r>
      <w:r w:rsidR="00E913BA" w:rsidRPr="00081520">
        <w:rPr>
          <w:rFonts w:ascii="宋体" w:eastAsia="宋体" w:hAnsi="宋体" w:hint="eastAsia"/>
          <w:sz w:val="24"/>
          <w:szCs w:val="21"/>
        </w:rPr>
        <w:t>的合计金额超过</w:t>
      </w:r>
      <w:r w:rsidR="00C575CF">
        <w:rPr>
          <w:rFonts w:ascii="宋体" w:eastAsia="宋体" w:hAnsi="宋体" w:hint="eastAsia"/>
          <w:sz w:val="24"/>
          <w:szCs w:val="21"/>
        </w:rPr>
        <w:t>10</w:t>
      </w:r>
      <w:r w:rsidR="0054558A">
        <w:rPr>
          <w:rFonts w:ascii="宋体" w:eastAsia="宋体" w:hAnsi="宋体" w:hint="eastAsia"/>
          <w:sz w:val="24"/>
          <w:szCs w:val="21"/>
        </w:rPr>
        <w:t>00</w:t>
      </w:r>
      <w:r w:rsidR="00E913BA" w:rsidRPr="00081520">
        <w:rPr>
          <w:rFonts w:ascii="宋体" w:eastAsia="宋体" w:hAnsi="宋体" w:hint="eastAsia"/>
          <w:sz w:val="24"/>
          <w:szCs w:val="21"/>
        </w:rPr>
        <w:t>万元，本基金管理人有权拒绝。</w:t>
      </w:r>
      <w:r w:rsidR="00F30CA5" w:rsidRPr="00081520">
        <w:rPr>
          <w:rFonts w:ascii="宋体" w:eastAsia="宋体" w:hAnsi="宋体" w:hint="eastAsia"/>
          <w:sz w:val="24"/>
          <w:szCs w:val="21"/>
        </w:rPr>
        <w:t>原</w:t>
      </w:r>
      <w:r w:rsidR="00354782" w:rsidRPr="00081520">
        <w:rPr>
          <w:rFonts w:ascii="宋体" w:eastAsia="宋体" w:hAnsi="宋体" w:hint="eastAsia"/>
          <w:sz w:val="24"/>
          <w:szCs w:val="21"/>
        </w:rPr>
        <w:t>202</w:t>
      </w:r>
      <w:r w:rsidR="00C575CF">
        <w:rPr>
          <w:rFonts w:ascii="宋体" w:eastAsia="宋体" w:hAnsi="宋体" w:hint="eastAsia"/>
          <w:sz w:val="24"/>
          <w:szCs w:val="21"/>
        </w:rPr>
        <w:t>3</w:t>
      </w:r>
      <w:r w:rsidR="00F30CA5" w:rsidRPr="00081520">
        <w:rPr>
          <w:rFonts w:ascii="宋体" w:eastAsia="宋体" w:hAnsi="宋体" w:hint="eastAsia"/>
          <w:sz w:val="24"/>
          <w:szCs w:val="21"/>
        </w:rPr>
        <w:t>年</w:t>
      </w:r>
      <w:r w:rsidR="00C575CF">
        <w:rPr>
          <w:rFonts w:ascii="宋体" w:eastAsia="宋体" w:hAnsi="宋体" w:hint="eastAsia"/>
          <w:sz w:val="24"/>
          <w:szCs w:val="21"/>
        </w:rPr>
        <w:t>1</w:t>
      </w:r>
      <w:r w:rsidR="00F30CA5" w:rsidRPr="00081520">
        <w:rPr>
          <w:rFonts w:ascii="宋体" w:eastAsia="宋体" w:hAnsi="宋体" w:hint="eastAsia"/>
          <w:sz w:val="24"/>
          <w:szCs w:val="21"/>
        </w:rPr>
        <w:t>月</w:t>
      </w:r>
      <w:r w:rsidR="00C575CF">
        <w:rPr>
          <w:rFonts w:ascii="宋体" w:eastAsia="宋体" w:hAnsi="宋体" w:hint="eastAsia"/>
          <w:sz w:val="24"/>
          <w:szCs w:val="21"/>
        </w:rPr>
        <w:t>19</w:t>
      </w:r>
      <w:r w:rsidR="00F30CA5" w:rsidRPr="00081520">
        <w:rPr>
          <w:rFonts w:ascii="宋体" w:eastAsia="宋体" w:hAnsi="宋体" w:hint="eastAsia"/>
          <w:sz w:val="24"/>
          <w:szCs w:val="21"/>
        </w:rPr>
        <w:t>日刊登的《</w:t>
      </w:r>
      <w:r w:rsidR="00780797" w:rsidRPr="00081520">
        <w:rPr>
          <w:rFonts w:ascii="宋体" w:eastAsia="宋体" w:hAnsi="宋体" w:hint="eastAsia"/>
          <w:sz w:val="24"/>
          <w:szCs w:val="21"/>
        </w:rPr>
        <w:t>关于前海开源现金增利货币市场基金</w:t>
      </w:r>
      <w:r w:rsidR="00081520" w:rsidRPr="00081520">
        <w:rPr>
          <w:rFonts w:ascii="宋体" w:eastAsia="宋体" w:hAnsi="宋体" w:hint="eastAsia"/>
          <w:sz w:val="24"/>
          <w:szCs w:val="21"/>
        </w:rPr>
        <w:t>调整大额申购、定期定额投资及转换转入业务限制的公告</w:t>
      </w:r>
      <w:r w:rsidR="00F30CA5" w:rsidRPr="00081520">
        <w:rPr>
          <w:rFonts w:ascii="宋体" w:eastAsia="宋体" w:hAnsi="宋体" w:hint="eastAsia"/>
          <w:sz w:val="24"/>
          <w:szCs w:val="21"/>
        </w:rPr>
        <w:t>》自</w:t>
      </w:r>
      <w:r w:rsidR="009D17B1">
        <w:rPr>
          <w:rFonts w:ascii="宋体" w:eastAsia="宋体" w:hAnsi="宋体" w:hint="eastAsia"/>
          <w:sz w:val="24"/>
          <w:szCs w:val="21"/>
        </w:rPr>
        <w:t>202</w:t>
      </w:r>
      <w:r w:rsidR="009D17B1">
        <w:rPr>
          <w:rFonts w:ascii="宋体" w:eastAsia="宋体" w:hAnsi="宋体"/>
          <w:sz w:val="24"/>
          <w:szCs w:val="21"/>
        </w:rPr>
        <w:t>3</w:t>
      </w:r>
      <w:r w:rsidR="00F30CA5" w:rsidRPr="00081520">
        <w:rPr>
          <w:rFonts w:ascii="宋体" w:eastAsia="宋体" w:hAnsi="宋体" w:hint="eastAsia"/>
          <w:sz w:val="24"/>
          <w:szCs w:val="21"/>
        </w:rPr>
        <w:t>年</w:t>
      </w:r>
      <w:r w:rsidR="00C575CF">
        <w:rPr>
          <w:rFonts w:ascii="宋体" w:eastAsia="宋体" w:hAnsi="宋体" w:hint="eastAsia"/>
          <w:sz w:val="24"/>
          <w:szCs w:val="21"/>
        </w:rPr>
        <w:t>4</w:t>
      </w:r>
      <w:r w:rsidR="00F30CA5" w:rsidRPr="00081520">
        <w:rPr>
          <w:rFonts w:ascii="宋体" w:eastAsia="宋体" w:hAnsi="宋体" w:hint="eastAsia"/>
          <w:sz w:val="24"/>
          <w:szCs w:val="21"/>
        </w:rPr>
        <w:t>月</w:t>
      </w:r>
      <w:r w:rsidR="00C575CF">
        <w:rPr>
          <w:rFonts w:ascii="宋体" w:eastAsia="宋体" w:hAnsi="宋体"/>
          <w:sz w:val="24"/>
          <w:szCs w:val="21"/>
        </w:rPr>
        <w:t>27</w:t>
      </w:r>
      <w:r w:rsidR="00481BCC" w:rsidRPr="00081520">
        <w:rPr>
          <w:rFonts w:ascii="宋体" w:eastAsia="宋体" w:hAnsi="宋体" w:hint="eastAsia"/>
          <w:sz w:val="24"/>
          <w:szCs w:val="21"/>
        </w:rPr>
        <w:t>日起不再执行。</w:t>
      </w:r>
    </w:p>
    <w:p w:rsidR="00F30CA5" w:rsidRDefault="00566F8E" w:rsidP="00566F8E">
      <w:pPr>
        <w:adjustRightInd w:val="0"/>
        <w:snapToGrid w:val="0"/>
        <w:spacing w:line="360" w:lineRule="auto"/>
        <w:ind w:firstLineChars="200" w:firstLine="480"/>
        <w:rPr>
          <w:rFonts w:ascii="宋体" w:eastAsia="宋体" w:hAnsi="宋体"/>
          <w:sz w:val="24"/>
          <w:szCs w:val="21"/>
        </w:rPr>
      </w:pPr>
      <w:r w:rsidRPr="00566F8E">
        <w:rPr>
          <w:rFonts w:ascii="宋体" w:eastAsia="宋体" w:hAnsi="宋体" w:hint="eastAsia"/>
          <w:sz w:val="24"/>
          <w:szCs w:val="21"/>
        </w:rPr>
        <w:t>（</w:t>
      </w:r>
      <w:r w:rsidR="00040DE3">
        <w:rPr>
          <w:rFonts w:ascii="宋体" w:eastAsia="宋体" w:hAnsi="宋体" w:hint="eastAsia"/>
          <w:sz w:val="24"/>
          <w:szCs w:val="21"/>
        </w:rPr>
        <w:t>2</w:t>
      </w:r>
      <w:r w:rsidRPr="00566F8E">
        <w:rPr>
          <w:rFonts w:ascii="宋体" w:eastAsia="宋体" w:hAnsi="宋体" w:hint="eastAsia"/>
          <w:sz w:val="24"/>
          <w:szCs w:val="21"/>
        </w:rPr>
        <w:t>）</w:t>
      </w:r>
      <w:r w:rsidR="009D17B1">
        <w:rPr>
          <w:rFonts w:ascii="宋体" w:eastAsia="宋体" w:hAnsi="宋体" w:hint="eastAsia"/>
          <w:sz w:val="24"/>
          <w:szCs w:val="21"/>
        </w:rPr>
        <w:t>202</w:t>
      </w:r>
      <w:r w:rsidR="009D17B1">
        <w:rPr>
          <w:rFonts w:ascii="宋体" w:eastAsia="宋体" w:hAnsi="宋体"/>
          <w:sz w:val="24"/>
          <w:szCs w:val="21"/>
        </w:rPr>
        <w:t>3</w:t>
      </w:r>
      <w:r w:rsidR="00F30CA5">
        <w:rPr>
          <w:rFonts w:ascii="宋体" w:eastAsia="宋体" w:hAnsi="宋体" w:hint="eastAsia"/>
          <w:sz w:val="24"/>
          <w:szCs w:val="21"/>
        </w:rPr>
        <w:t>年</w:t>
      </w:r>
      <w:r w:rsidR="00C575CF">
        <w:rPr>
          <w:rFonts w:ascii="宋体" w:eastAsia="宋体" w:hAnsi="宋体" w:hint="eastAsia"/>
          <w:sz w:val="24"/>
          <w:szCs w:val="21"/>
        </w:rPr>
        <w:t>5</w:t>
      </w:r>
      <w:r w:rsidR="00F30CA5">
        <w:rPr>
          <w:rFonts w:ascii="宋体" w:eastAsia="宋体" w:hAnsi="宋体" w:hint="eastAsia"/>
          <w:sz w:val="24"/>
          <w:szCs w:val="21"/>
        </w:rPr>
        <w:t>月</w:t>
      </w:r>
      <w:r w:rsidR="00C575CF">
        <w:rPr>
          <w:rFonts w:ascii="宋体" w:eastAsia="宋体" w:hAnsi="宋体"/>
          <w:sz w:val="24"/>
          <w:szCs w:val="21"/>
        </w:rPr>
        <w:t>4</w:t>
      </w:r>
      <w:r w:rsidR="00F30CA5">
        <w:rPr>
          <w:rFonts w:ascii="宋体" w:eastAsia="宋体" w:hAnsi="宋体" w:hint="eastAsia"/>
          <w:sz w:val="24"/>
          <w:szCs w:val="21"/>
        </w:rPr>
        <w:t>日起，</w:t>
      </w:r>
      <w:r w:rsidR="00F30CA5" w:rsidRPr="00F30CA5">
        <w:rPr>
          <w:rFonts w:ascii="宋体" w:eastAsia="宋体" w:hAnsi="宋体" w:hint="eastAsia"/>
          <w:sz w:val="24"/>
          <w:szCs w:val="21"/>
        </w:rPr>
        <w:t>本基金管理人将</w:t>
      </w:r>
      <w:r w:rsidR="00AD48B5">
        <w:rPr>
          <w:rFonts w:ascii="宋体" w:eastAsia="宋体" w:hAnsi="宋体" w:hint="eastAsia"/>
          <w:sz w:val="24"/>
          <w:szCs w:val="21"/>
        </w:rPr>
        <w:t>调整</w:t>
      </w:r>
      <w:r w:rsidR="00481BCC">
        <w:rPr>
          <w:rFonts w:ascii="宋体" w:eastAsia="宋体" w:hAnsi="宋体" w:hint="eastAsia"/>
          <w:sz w:val="24"/>
          <w:szCs w:val="21"/>
        </w:rPr>
        <w:t>本基金</w:t>
      </w:r>
      <w:r w:rsidR="00070F43">
        <w:rPr>
          <w:rFonts w:ascii="宋体" w:eastAsia="宋体" w:hAnsi="宋体" w:hint="eastAsia"/>
          <w:sz w:val="24"/>
          <w:szCs w:val="21"/>
        </w:rPr>
        <w:t>上述业务限额至1</w:t>
      </w:r>
      <w:r w:rsidR="00780797">
        <w:rPr>
          <w:rFonts w:ascii="宋体" w:eastAsia="宋体" w:hAnsi="宋体" w:hint="eastAsia"/>
          <w:sz w:val="24"/>
          <w:szCs w:val="21"/>
        </w:rPr>
        <w:t>亿</w:t>
      </w:r>
      <w:r w:rsidR="00070F43">
        <w:rPr>
          <w:rFonts w:ascii="宋体" w:eastAsia="宋体" w:hAnsi="宋体" w:hint="eastAsia"/>
          <w:sz w:val="24"/>
          <w:szCs w:val="21"/>
        </w:rPr>
        <w:t>元</w:t>
      </w:r>
      <w:r w:rsidR="000500E6">
        <w:rPr>
          <w:rFonts w:ascii="宋体" w:eastAsia="宋体" w:hAnsi="宋体" w:hint="eastAsia"/>
          <w:sz w:val="24"/>
          <w:szCs w:val="21"/>
        </w:rPr>
        <w:t>（含）</w:t>
      </w:r>
      <w:r w:rsidR="00070F43">
        <w:rPr>
          <w:rFonts w:ascii="宋体" w:eastAsia="宋体" w:hAnsi="宋体" w:hint="eastAsia"/>
          <w:sz w:val="24"/>
          <w:szCs w:val="21"/>
        </w:rPr>
        <w:t>，</w:t>
      </w:r>
      <w:r w:rsidR="00F30CA5" w:rsidRPr="00F30CA5">
        <w:rPr>
          <w:rFonts w:ascii="宋体" w:eastAsia="宋体" w:hAnsi="宋体" w:hint="eastAsia"/>
          <w:sz w:val="24"/>
          <w:szCs w:val="21"/>
        </w:rPr>
        <w:t>即如单日每个基金账户累计申购（含定期定额投资和转换转入）本基金</w:t>
      </w:r>
      <w:r w:rsidR="00481BCC">
        <w:rPr>
          <w:rFonts w:ascii="宋体" w:eastAsia="宋体" w:hAnsi="宋体"/>
          <w:sz w:val="24"/>
          <w:szCs w:val="21"/>
        </w:rPr>
        <w:t>A、</w:t>
      </w:r>
      <w:r w:rsidR="00481BCC">
        <w:rPr>
          <w:rFonts w:ascii="宋体" w:eastAsia="宋体" w:hAnsi="宋体" w:hint="eastAsia"/>
          <w:sz w:val="24"/>
          <w:szCs w:val="21"/>
        </w:rPr>
        <w:t>B</w:t>
      </w:r>
      <w:r w:rsidR="00481BCC">
        <w:rPr>
          <w:rFonts w:ascii="宋体" w:eastAsia="宋体" w:hAnsi="宋体"/>
          <w:sz w:val="24"/>
          <w:szCs w:val="21"/>
        </w:rPr>
        <w:t>、E</w:t>
      </w:r>
      <w:r w:rsidR="00481BCC" w:rsidRPr="00F30CA5">
        <w:rPr>
          <w:rFonts w:ascii="宋体" w:eastAsia="宋体" w:hAnsi="宋体" w:hint="eastAsia"/>
          <w:sz w:val="24"/>
          <w:szCs w:val="21"/>
        </w:rPr>
        <w:t>类份额的</w:t>
      </w:r>
      <w:r w:rsidR="00F30CA5" w:rsidRPr="00F30CA5">
        <w:rPr>
          <w:rFonts w:ascii="宋体" w:eastAsia="宋体" w:hAnsi="宋体" w:hint="eastAsia"/>
          <w:sz w:val="24"/>
          <w:szCs w:val="21"/>
        </w:rPr>
        <w:t>合计金额超过</w:t>
      </w:r>
      <w:r w:rsidR="00780797">
        <w:rPr>
          <w:rFonts w:ascii="宋体" w:eastAsia="宋体" w:hAnsi="宋体" w:hint="eastAsia"/>
          <w:sz w:val="24"/>
          <w:szCs w:val="21"/>
        </w:rPr>
        <w:t>1亿</w:t>
      </w:r>
      <w:r w:rsidR="00F30CA5" w:rsidRPr="00F30CA5">
        <w:rPr>
          <w:rFonts w:ascii="宋体" w:eastAsia="宋体" w:hAnsi="宋体" w:hint="eastAsia"/>
          <w:sz w:val="24"/>
          <w:szCs w:val="21"/>
        </w:rPr>
        <w:t>元，本基金管理人有权拒绝。</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hint="eastAsia"/>
          <w:sz w:val="24"/>
          <w:szCs w:val="21"/>
        </w:rPr>
        <w:t>3</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sz w:val="24"/>
          <w:szCs w:val="21"/>
        </w:rPr>
        <w:t>4</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投资者投资于货币市场基金并不等于将资金作为存款存放在银行或存款类金融机构，基金的过往业绩并不预示其未来表现，基金管理人管理的其他基金的</w:t>
      </w:r>
      <w:r>
        <w:rPr>
          <w:rFonts w:ascii="宋体" w:eastAsia="宋体" w:hAnsi="宋体" w:hint="eastAsia"/>
          <w:sz w:val="24"/>
          <w:szCs w:val="21"/>
        </w:rPr>
        <w:lastRenderedPageBreak/>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9D17B1">
        <w:rPr>
          <w:rFonts w:ascii="宋体" w:eastAsia="宋体" w:hAnsi="宋体" w:hint="eastAsia"/>
          <w:sz w:val="24"/>
          <w:szCs w:val="21"/>
        </w:rPr>
        <w:t>2</w:t>
      </w:r>
      <w:r w:rsidR="009D17B1">
        <w:rPr>
          <w:rFonts w:ascii="宋体" w:eastAsia="宋体" w:hAnsi="宋体"/>
          <w:sz w:val="24"/>
          <w:szCs w:val="21"/>
        </w:rPr>
        <w:t>3</w:t>
      </w:r>
      <w:r>
        <w:rPr>
          <w:rFonts w:ascii="宋体" w:eastAsia="宋体" w:hAnsi="宋体" w:hint="eastAsia"/>
          <w:sz w:val="24"/>
          <w:szCs w:val="21"/>
        </w:rPr>
        <w:t>年</w:t>
      </w:r>
      <w:r w:rsidR="00C575CF">
        <w:rPr>
          <w:rFonts w:ascii="宋体" w:eastAsia="宋体" w:hAnsi="宋体"/>
          <w:sz w:val="24"/>
          <w:szCs w:val="21"/>
        </w:rPr>
        <w:t>4</w:t>
      </w:r>
      <w:r>
        <w:rPr>
          <w:rFonts w:ascii="宋体" w:eastAsia="宋体" w:hAnsi="宋体" w:hint="eastAsia"/>
          <w:sz w:val="24"/>
          <w:szCs w:val="21"/>
        </w:rPr>
        <w:t>月</w:t>
      </w:r>
      <w:r w:rsidR="00C575CF">
        <w:rPr>
          <w:rFonts w:ascii="宋体" w:eastAsia="宋体" w:hAnsi="宋体"/>
          <w:sz w:val="24"/>
          <w:szCs w:val="21"/>
        </w:rPr>
        <w:t>27</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1B" w:rsidRDefault="00824A1B" w:rsidP="00050A93">
      <w:r>
        <w:separator/>
      </w:r>
    </w:p>
  </w:endnote>
  <w:endnote w:type="continuationSeparator" w:id="0">
    <w:p w:rsidR="00824A1B" w:rsidRDefault="00824A1B"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1B" w:rsidRDefault="00824A1B" w:rsidP="00050A93">
      <w:r>
        <w:separator/>
      </w:r>
    </w:p>
  </w:footnote>
  <w:footnote w:type="continuationSeparator" w:id="0">
    <w:p w:rsidR="00824A1B" w:rsidRDefault="00824A1B"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15pt;height:25.05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55693"/>
    <w:rsid w:val="000614E8"/>
    <w:rsid w:val="00070F43"/>
    <w:rsid w:val="00077344"/>
    <w:rsid w:val="00081520"/>
    <w:rsid w:val="00095362"/>
    <w:rsid w:val="00096A61"/>
    <w:rsid w:val="000A72B8"/>
    <w:rsid w:val="000D5F58"/>
    <w:rsid w:val="000E2172"/>
    <w:rsid w:val="000E228F"/>
    <w:rsid w:val="000E324C"/>
    <w:rsid w:val="0010134F"/>
    <w:rsid w:val="0010317D"/>
    <w:rsid w:val="0010785B"/>
    <w:rsid w:val="00134FE6"/>
    <w:rsid w:val="00142F45"/>
    <w:rsid w:val="00146278"/>
    <w:rsid w:val="0015236D"/>
    <w:rsid w:val="001A5DF2"/>
    <w:rsid w:val="001A62AB"/>
    <w:rsid w:val="00204D25"/>
    <w:rsid w:val="00206B0A"/>
    <w:rsid w:val="0020780E"/>
    <w:rsid w:val="00221582"/>
    <w:rsid w:val="002279D0"/>
    <w:rsid w:val="0025702D"/>
    <w:rsid w:val="00262922"/>
    <w:rsid w:val="002653C3"/>
    <w:rsid w:val="00267D83"/>
    <w:rsid w:val="00277AA1"/>
    <w:rsid w:val="002B43B4"/>
    <w:rsid w:val="002D48E0"/>
    <w:rsid w:val="002D69DD"/>
    <w:rsid w:val="002D713A"/>
    <w:rsid w:val="002F0CFD"/>
    <w:rsid w:val="002F601E"/>
    <w:rsid w:val="00302806"/>
    <w:rsid w:val="00303040"/>
    <w:rsid w:val="003102C1"/>
    <w:rsid w:val="003328E8"/>
    <w:rsid w:val="00340153"/>
    <w:rsid w:val="00344593"/>
    <w:rsid w:val="00354782"/>
    <w:rsid w:val="003568C4"/>
    <w:rsid w:val="00371601"/>
    <w:rsid w:val="00376B92"/>
    <w:rsid w:val="00383E0A"/>
    <w:rsid w:val="003A11EC"/>
    <w:rsid w:val="003C65DD"/>
    <w:rsid w:val="003D5A38"/>
    <w:rsid w:val="003E480A"/>
    <w:rsid w:val="004230F0"/>
    <w:rsid w:val="00426AA4"/>
    <w:rsid w:val="004270BD"/>
    <w:rsid w:val="00434B9E"/>
    <w:rsid w:val="004609DB"/>
    <w:rsid w:val="00461A5B"/>
    <w:rsid w:val="00467543"/>
    <w:rsid w:val="00481BCC"/>
    <w:rsid w:val="00486522"/>
    <w:rsid w:val="0049281F"/>
    <w:rsid w:val="004A3F2E"/>
    <w:rsid w:val="004A4EDA"/>
    <w:rsid w:val="004B0B2C"/>
    <w:rsid w:val="004C19D8"/>
    <w:rsid w:val="004C4648"/>
    <w:rsid w:val="004C4AA8"/>
    <w:rsid w:val="004E094F"/>
    <w:rsid w:val="004E2817"/>
    <w:rsid w:val="004E5AFC"/>
    <w:rsid w:val="004E6908"/>
    <w:rsid w:val="004E7289"/>
    <w:rsid w:val="004F4A0B"/>
    <w:rsid w:val="00501B85"/>
    <w:rsid w:val="005064E2"/>
    <w:rsid w:val="00506DEA"/>
    <w:rsid w:val="005374AE"/>
    <w:rsid w:val="0054558A"/>
    <w:rsid w:val="00566F8E"/>
    <w:rsid w:val="005673D4"/>
    <w:rsid w:val="0057132C"/>
    <w:rsid w:val="0057212E"/>
    <w:rsid w:val="00575F94"/>
    <w:rsid w:val="00597F96"/>
    <w:rsid w:val="005A16B7"/>
    <w:rsid w:val="005B6660"/>
    <w:rsid w:val="005D12A3"/>
    <w:rsid w:val="005F2324"/>
    <w:rsid w:val="006136FB"/>
    <w:rsid w:val="00630995"/>
    <w:rsid w:val="00631B78"/>
    <w:rsid w:val="00644923"/>
    <w:rsid w:val="00655E33"/>
    <w:rsid w:val="00656556"/>
    <w:rsid w:val="006636B8"/>
    <w:rsid w:val="006724A9"/>
    <w:rsid w:val="006A7CEB"/>
    <w:rsid w:val="006B4670"/>
    <w:rsid w:val="006C394F"/>
    <w:rsid w:val="006C4B34"/>
    <w:rsid w:val="006D5C5A"/>
    <w:rsid w:val="006E37A9"/>
    <w:rsid w:val="00717873"/>
    <w:rsid w:val="007240A1"/>
    <w:rsid w:val="007343D2"/>
    <w:rsid w:val="0074515A"/>
    <w:rsid w:val="00750C5D"/>
    <w:rsid w:val="007529FA"/>
    <w:rsid w:val="007553C7"/>
    <w:rsid w:val="00775221"/>
    <w:rsid w:val="00780797"/>
    <w:rsid w:val="00785D6D"/>
    <w:rsid w:val="00787BF1"/>
    <w:rsid w:val="00791FBD"/>
    <w:rsid w:val="007C3F5C"/>
    <w:rsid w:val="007D0151"/>
    <w:rsid w:val="007E1FC7"/>
    <w:rsid w:val="007E2F56"/>
    <w:rsid w:val="007F28D9"/>
    <w:rsid w:val="007F660F"/>
    <w:rsid w:val="007F732D"/>
    <w:rsid w:val="008021FC"/>
    <w:rsid w:val="00810B13"/>
    <w:rsid w:val="00810C01"/>
    <w:rsid w:val="00814728"/>
    <w:rsid w:val="00816035"/>
    <w:rsid w:val="00820159"/>
    <w:rsid w:val="00824A1B"/>
    <w:rsid w:val="0083276A"/>
    <w:rsid w:val="008329F0"/>
    <w:rsid w:val="008351C1"/>
    <w:rsid w:val="008744B0"/>
    <w:rsid w:val="008B17D4"/>
    <w:rsid w:val="008C683C"/>
    <w:rsid w:val="00913A22"/>
    <w:rsid w:val="009203A7"/>
    <w:rsid w:val="0092121F"/>
    <w:rsid w:val="00943827"/>
    <w:rsid w:val="00944B4A"/>
    <w:rsid w:val="00947D55"/>
    <w:rsid w:val="00955863"/>
    <w:rsid w:val="009615ED"/>
    <w:rsid w:val="009618F6"/>
    <w:rsid w:val="009637BC"/>
    <w:rsid w:val="00977E57"/>
    <w:rsid w:val="009B14E2"/>
    <w:rsid w:val="009C1E7E"/>
    <w:rsid w:val="009D011A"/>
    <w:rsid w:val="009D17B1"/>
    <w:rsid w:val="009D7981"/>
    <w:rsid w:val="009E533E"/>
    <w:rsid w:val="009E7C88"/>
    <w:rsid w:val="00A01771"/>
    <w:rsid w:val="00A13253"/>
    <w:rsid w:val="00A24B1C"/>
    <w:rsid w:val="00A30656"/>
    <w:rsid w:val="00A31AAD"/>
    <w:rsid w:val="00A36AB0"/>
    <w:rsid w:val="00A458FF"/>
    <w:rsid w:val="00A46F4F"/>
    <w:rsid w:val="00A524F4"/>
    <w:rsid w:val="00A5797F"/>
    <w:rsid w:val="00A73C69"/>
    <w:rsid w:val="00AD48B5"/>
    <w:rsid w:val="00AD68FC"/>
    <w:rsid w:val="00AF090A"/>
    <w:rsid w:val="00AF26FF"/>
    <w:rsid w:val="00B067B1"/>
    <w:rsid w:val="00B17F77"/>
    <w:rsid w:val="00B26523"/>
    <w:rsid w:val="00B372C1"/>
    <w:rsid w:val="00B6587F"/>
    <w:rsid w:val="00B8413A"/>
    <w:rsid w:val="00B93F36"/>
    <w:rsid w:val="00BB14DA"/>
    <w:rsid w:val="00BB5C80"/>
    <w:rsid w:val="00BE30F1"/>
    <w:rsid w:val="00BF0AAF"/>
    <w:rsid w:val="00BF1F31"/>
    <w:rsid w:val="00C003D2"/>
    <w:rsid w:val="00C04797"/>
    <w:rsid w:val="00C06066"/>
    <w:rsid w:val="00C25F42"/>
    <w:rsid w:val="00C3205D"/>
    <w:rsid w:val="00C32D3E"/>
    <w:rsid w:val="00C36F9B"/>
    <w:rsid w:val="00C554CF"/>
    <w:rsid w:val="00C575CF"/>
    <w:rsid w:val="00C6044A"/>
    <w:rsid w:val="00C759E6"/>
    <w:rsid w:val="00C778E0"/>
    <w:rsid w:val="00C804F4"/>
    <w:rsid w:val="00C83EB4"/>
    <w:rsid w:val="00CE7726"/>
    <w:rsid w:val="00D00C7B"/>
    <w:rsid w:val="00D05892"/>
    <w:rsid w:val="00D35823"/>
    <w:rsid w:val="00D36170"/>
    <w:rsid w:val="00D42CCF"/>
    <w:rsid w:val="00D53093"/>
    <w:rsid w:val="00D62A16"/>
    <w:rsid w:val="00D64766"/>
    <w:rsid w:val="00D65347"/>
    <w:rsid w:val="00D7302E"/>
    <w:rsid w:val="00D935FF"/>
    <w:rsid w:val="00D97F72"/>
    <w:rsid w:val="00DB0AF4"/>
    <w:rsid w:val="00DB2E3A"/>
    <w:rsid w:val="00DB590E"/>
    <w:rsid w:val="00DC4751"/>
    <w:rsid w:val="00DD0886"/>
    <w:rsid w:val="00DF5222"/>
    <w:rsid w:val="00E01DE6"/>
    <w:rsid w:val="00E30407"/>
    <w:rsid w:val="00E31373"/>
    <w:rsid w:val="00E321F9"/>
    <w:rsid w:val="00E44189"/>
    <w:rsid w:val="00E463CA"/>
    <w:rsid w:val="00E50DAF"/>
    <w:rsid w:val="00E539D5"/>
    <w:rsid w:val="00E913BA"/>
    <w:rsid w:val="00EE2967"/>
    <w:rsid w:val="00EE2FE5"/>
    <w:rsid w:val="00EE34BC"/>
    <w:rsid w:val="00EE5989"/>
    <w:rsid w:val="00EE671C"/>
    <w:rsid w:val="00F014A1"/>
    <w:rsid w:val="00F102C8"/>
    <w:rsid w:val="00F12332"/>
    <w:rsid w:val="00F15B94"/>
    <w:rsid w:val="00F255FD"/>
    <w:rsid w:val="00F27923"/>
    <w:rsid w:val="00F30CA5"/>
    <w:rsid w:val="00F50310"/>
    <w:rsid w:val="00F6197E"/>
    <w:rsid w:val="00F70BA2"/>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F798-C7FD-49CE-A7BC-9D273736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4</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2023-04-26T16:02:00Z</dcterms:created>
  <dcterms:modified xsi:type="dcterms:W3CDTF">2023-04-26T16:02:00Z</dcterms:modified>
</cp:coreProperties>
</file>