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AF" w:rsidRDefault="00F26D6D">
      <w:pPr>
        <w:widowControl/>
        <w:shd w:val="clear" w:color="auto" w:fill="FFFFFF"/>
        <w:spacing w:line="500" w:lineRule="exact"/>
        <w:jc w:val="center"/>
        <w:rPr>
          <w:rFonts w:ascii="黑体" w:eastAsia="黑体" w:hAnsi="黑体" w:cs="黑体"/>
          <w:kern w:val="0"/>
          <w:sz w:val="30"/>
          <w:szCs w:val="30"/>
        </w:rPr>
      </w:pPr>
      <w:bookmarkStart w:id="0" w:name="_GoBack"/>
      <w:bookmarkEnd w:id="0"/>
      <w:r>
        <w:rPr>
          <w:rFonts w:ascii="黑体" w:eastAsia="黑体" w:hAnsi="黑体" w:cs="黑体" w:hint="eastAsia"/>
          <w:kern w:val="0"/>
          <w:sz w:val="30"/>
          <w:szCs w:val="30"/>
        </w:rPr>
        <w:t>申万菱信基金管理有限公司</w:t>
      </w:r>
    </w:p>
    <w:p w:rsidR="00A263AF" w:rsidRDefault="00F26D6D">
      <w:pPr>
        <w:snapToGrid w:val="0"/>
        <w:spacing w:line="500" w:lineRule="exact"/>
        <w:jc w:val="center"/>
        <w:rPr>
          <w:rFonts w:ascii="黑体" w:eastAsia="黑体" w:hAnsi="黑体" w:cs="黑体"/>
          <w:kern w:val="0"/>
          <w:sz w:val="30"/>
          <w:szCs w:val="30"/>
        </w:rPr>
      </w:pPr>
      <w:r>
        <w:rPr>
          <w:rFonts w:ascii="黑体" w:eastAsia="黑体" w:hAnsi="黑体" w:cs="黑体" w:hint="eastAsia"/>
          <w:kern w:val="0"/>
          <w:sz w:val="30"/>
          <w:szCs w:val="30"/>
        </w:rPr>
        <w:t>申万菱信安鑫慧选混合型证券投资基金基金份额持有人大会表决结果暨决议生效的公告</w:t>
      </w:r>
    </w:p>
    <w:p w:rsidR="00A263AF" w:rsidRDefault="00F26D6D">
      <w:pPr>
        <w:widowControl/>
        <w:shd w:val="clear" w:color="auto" w:fill="FFFFFF"/>
        <w:spacing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根据《中华人民共和国证券投资基金法》《公开募集证券投资基金运作管理办法》等法律法规的规定以及《申万菱信安鑫慧选混合型证券投资基金基金合同》（以下简称“《基金合同》”）的有关规定，现将申万菱信安鑫慧选混合型证券投资基金（以下简称“本基金”</w:t>
      </w:r>
      <w:r>
        <w:rPr>
          <w:rFonts w:ascii="仿宋" w:eastAsia="仿宋" w:hAnsi="仿宋" w:cs="仿宋" w:hint="eastAsia"/>
          <w:color w:val="333333"/>
          <w:kern w:val="0"/>
          <w:sz w:val="24"/>
          <w:szCs w:val="24"/>
        </w:rPr>
        <w:t>）</w:t>
      </w:r>
      <w:r>
        <w:rPr>
          <w:rFonts w:ascii="仿宋" w:eastAsia="仿宋" w:hAnsi="仿宋" w:cs="仿宋" w:hint="eastAsia"/>
          <w:sz w:val="24"/>
          <w:szCs w:val="24"/>
        </w:rPr>
        <w:t>基金份额持有人大会的决议及相关事项公告如下：</w:t>
      </w:r>
    </w:p>
    <w:p w:rsidR="00A263AF" w:rsidRDefault="00F26D6D">
      <w:pPr>
        <w:pStyle w:val="ab"/>
        <w:widowControl/>
        <w:numPr>
          <w:ilvl w:val="0"/>
          <w:numId w:val="1"/>
        </w:numPr>
        <w:shd w:val="clear" w:color="auto" w:fill="FFFFFF"/>
        <w:spacing w:line="500" w:lineRule="exact"/>
        <w:ind w:firstLine="480"/>
        <w:jc w:val="left"/>
        <w:rPr>
          <w:rFonts w:ascii="仿宋" w:eastAsia="仿宋" w:hAnsi="仿宋" w:cs="仿宋"/>
          <w:sz w:val="24"/>
          <w:szCs w:val="24"/>
        </w:rPr>
      </w:pPr>
      <w:r>
        <w:rPr>
          <w:rFonts w:ascii="仿宋" w:eastAsia="仿宋" w:hAnsi="仿宋" w:cs="仿宋" w:hint="eastAsia"/>
          <w:sz w:val="24"/>
          <w:szCs w:val="24"/>
        </w:rPr>
        <w:t>本次基金份额持有人大会会议情况</w:t>
      </w:r>
    </w:p>
    <w:p w:rsidR="00A263AF" w:rsidRDefault="00F26D6D">
      <w:pPr>
        <w:widowControl/>
        <w:shd w:val="clear" w:color="auto" w:fill="FFFFFF"/>
        <w:spacing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本基金以通讯方式召开了基金份额持有人大会，大会表决投票时间自2023年3月25日至2023年4月21日17:00止（以基金管理人收到表决票时间为准），本次基金份额持有人大会审议了《关于终止申万菱信安鑫慧选混合型证券投资基金基金合同有关事项的议案》（以下简称“《议案》”），并由参加大会的基金份额持有人对《议案》进行表决。</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rPr>
      </w:pPr>
      <w:r>
        <w:rPr>
          <w:rFonts w:ascii="仿宋" w:eastAsia="仿宋" w:hAnsi="仿宋" w:cs="仿宋" w:hint="eastAsia"/>
          <w:kern w:val="2"/>
        </w:rPr>
        <w:t>本次基金份额持有人大会权益登记日为2023年3月24日，参加本次基金份额持有人大会表决的基金份额持有人及其代理人所持有的基金份额</w:t>
      </w:r>
      <w:r>
        <w:rPr>
          <w:rFonts w:ascii="仿宋" w:eastAsia="仿宋" w:hAnsi="仿宋" w:cs="仿宋" w:hint="eastAsia"/>
        </w:rPr>
        <w:t>共计</w:t>
      </w:r>
      <w:r>
        <w:rPr>
          <w:rFonts w:ascii="仿宋" w:eastAsia="仿宋" w:hAnsi="仿宋" w:cs="仿宋" w:hint="eastAsia"/>
          <w:kern w:val="2"/>
        </w:rPr>
        <w:t>86,321,367.38</w:t>
      </w:r>
      <w:r>
        <w:rPr>
          <w:rFonts w:ascii="仿宋" w:eastAsia="仿宋" w:hAnsi="仿宋" w:cs="仿宋" w:hint="eastAsia"/>
        </w:rPr>
        <w:t>份，占权益登记日基金总份额</w:t>
      </w:r>
      <w:r>
        <w:rPr>
          <w:rFonts w:ascii="仿宋" w:eastAsia="仿宋" w:hAnsi="仿宋" w:cs="仿宋" w:hint="eastAsia"/>
          <w:kern w:val="2"/>
        </w:rPr>
        <w:t>129,543,235.57</w:t>
      </w:r>
      <w:r>
        <w:rPr>
          <w:rFonts w:ascii="仿宋" w:eastAsia="仿宋" w:hAnsi="仿宋" w:cs="仿宋" w:hint="eastAsia"/>
        </w:rPr>
        <w:t>份的</w:t>
      </w:r>
      <w:r>
        <w:rPr>
          <w:rFonts w:ascii="仿宋" w:eastAsia="仿宋" w:hAnsi="仿宋" w:cs="仿宋" w:hint="eastAsia"/>
          <w:kern w:val="2"/>
        </w:rPr>
        <w:t>66.635179</w:t>
      </w:r>
      <w:r>
        <w:rPr>
          <w:rFonts w:ascii="仿宋" w:eastAsia="仿宋" w:hAnsi="仿宋" w:cs="仿宋" w:hint="eastAsia"/>
        </w:rPr>
        <w:t>%。上述参加本次大会的基金份额持有人或其代理人所代表的本基金基金份额占权益登记日基金总份额的二分之一以上，满足法定会议召开条件，符合《中华人民共和国证券投资基金法》《公开募集证券投资基金运作管理办法》和《基金合同》的有关规定。</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本次持有人大会计票由本基金的托管人宁波银行股份有限公司授权代表监督、上海市通力律师事务所见证，并由上海市东方公证处对计票过程及结果进行公证。表决结果如下：</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本次持有人大会有效表决票所代表的基金份额为86,321,367.38份，</w:t>
      </w:r>
      <w:r>
        <w:rPr>
          <w:rFonts w:ascii="仿宋" w:eastAsia="仿宋" w:hAnsi="仿宋" w:cs="仿宋" w:hint="eastAsia"/>
        </w:rPr>
        <w:t>其中同</w:t>
      </w:r>
      <w:r>
        <w:rPr>
          <w:rFonts w:ascii="仿宋" w:eastAsia="仿宋" w:hAnsi="仿宋" w:cs="仿宋" w:hint="eastAsia"/>
          <w:kern w:val="2"/>
        </w:rPr>
        <w:t>意票所代表的基金份额为86,321,357.38份，反对票所代表的基金份额为10.00份，弃权票所代表的基金份额为0.00份，同意《议案》所代表的基金份额占参加会议的基金份额持有人及代理人所代表的本基金基金份额总数的99.999988%。同意《议案》所代表的基金份额占参加会议的基金份额持有人及代理人所代表的本基</w:t>
      </w:r>
      <w:r>
        <w:rPr>
          <w:rFonts w:ascii="仿宋" w:eastAsia="仿宋" w:hAnsi="仿宋" w:cs="仿宋" w:hint="eastAsia"/>
        </w:rPr>
        <w:lastRenderedPageBreak/>
        <w:t>金基金份额总数</w:t>
      </w:r>
      <w:r>
        <w:rPr>
          <w:rFonts w:ascii="仿宋" w:eastAsia="仿宋" w:hAnsi="仿宋" w:cs="仿宋" w:hint="eastAsia"/>
          <w:kern w:val="2"/>
        </w:rPr>
        <w:t>的三分之二以上（含三分之二），满足法定生效条件，符合《中华人民共和国证券投资基金法》《公开募集证券投资基金运作管理办法》和《基金合同》的有关规定，《议案》获得通过。</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本次基金份额持有人大会费用包括公证费10,000元，律师费15,000元，合计25,000元，由本基金管理人承担。</w:t>
      </w:r>
    </w:p>
    <w:p w:rsidR="00A263AF" w:rsidRDefault="00F26D6D">
      <w:pPr>
        <w:pStyle w:val="ab"/>
        <w:widowControl/>
        <w:numPr>
          <w:ilvl w:val="0"/>
          <w:numId w:val="1"/>
        </w:numPr>
        <w:shd w:val="clear" w:color="auto" w:fill="FFFFFF"/>
        <w:spacing w:line="500" w:lineRule="exact"/>
        <w:ind w:firstLine="480"/>
        <w:jc w:val="left"/>
        <w:rPr>
          <w:rFonts w:ascii="仿宋" w:eastAsia="仿宋" w:hAnsi="仿宋" w:cs="仿宋"/>
          <w:color w:val="333333"/>
          <w:sz w:val="24"/>
          <w:szCs w:val="24"/>
        </w:rPr>
      </w:pPr>
      <w:r>
        <w:rPr>
          <w:rFonts w:ascii="仿宋" w:eastAsia="仿宋" w:hAnsi="仿宋" w:cs="仿宋" w:hint="eastAsia"/>
          <w:color w:val="333333"/>
          <w:sz w:val="24"/>
          <w:szCs w:val="24"/>
        </w:rPr>
        <w:t>基金份额持有人大会决议的生效</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根据《公开募集证券投资基金运作管理办法》的规定，基金份额持有人大会决定的事项自表决通过之日起生效。本次基金份额持有人大会于2023年4月24日表决通过了《议案》，本次大会决议自该日起生效。基金管理人将自该日起5日内将本次大会决议报中国证券监督管理委员会备案。</w:t>
      </w:r>
    </w:p>
    <w:p w:rsidR="00A263AF" w:rsidRDefault="00F26D6D">
      <w:pPr>
        <w:pStyle w:val="ab"/>
        <w:widowControl/>
        <w:numPr>
          <w:ilvl w:val="0"/>
          <w:numId w:val="1"/>
        </w:numPr>
        <w:shd w:val="clear" w:color="auto" w:fill="FFFFFF"/>
        <w:spacing w:line="500" w:lineRule="exact"/>
        <w:ind w:firstLine="480"/>
        <w:jc w:val="left"/>
        <w:rPr>
          <w:rFonts w:ascii="仿宋" w:eastAsia="仿宋" w:hAnsi="仿宋" w:cs="仿宋"/>
          <w:color w:val="333333"/>
          <w:sz w:val="24"/>
          <w:szCs w:val="24"/>
        </w:rPr>
      </w:pPr>
      <w:r>
        <w:rPr>
          <w:rFonts w:ascii="仿宋" w:eastAsia="仿宋" w:hAnsi="仿宋" w:cs="仿宋" w:hint="eastAsia"/>
          <w:color w:val="333333"/>
          <w:sz w:val="24"/>
          <w:szCs w:val="24"/>
        </w:rPr>
        <w:t>基金份额持有人大会决议实施情况</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1、《基金合同》终止的后续安排</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本次基金份额持有人大会决议生效后，根据基金份额持有人大会通过的《议案》及《</w:t>
      </w:r>
      <w:r>
        <w:rPr>
          <w:rFonts w:ascii="仿宋" w:eastAsia="仿宋" w:hAnsi="仿宋" w:cs="仿宋" w:hint="eastAsia"/>
        </w:rPr>
        <w:t>关于终止申万菱信安鑫慧选混合型证券投资基金基金合同有关事项的说明</w:t>
      </w:r>
      <w:r>
        <w:rPr>
          <w:rFonts w:ascii="仿宋" w:eastAsia="仿宋" w:hAnsi="仿宋" w:cs="仿宋" w:hint="eastAsia"/>
          <w:kern w:val="2"/>
        </w:rPr>
        <w:t>》，本基金将自2023年4月26日起不再接受赎回、转换转出申请，本基金的申购、转换转入、定期定额投资业务亦不再恢复。自本次持有人大会决议生效公告的次日（即2023年4月27日）起，本基金进入清算程序，不再收取基金管理费、基金托管费及销售服务费。</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2、基金财产的清算</w:t>
      </w:r>
    </w:p>
    <w:p w:rsidR="00A263AF" w:rsidRDefault="00F26D6D">
      <w:pPr>
        <w:pStyle w:val="a7"/>
        <w:shd w:val="clear" w:color="auto" w:fill="FFFFFF"/>
        <w:spacing w:before="0" w:beforeAutospacing="0" w:after="0" w:afterAutospacing="0" w:line="500" w:lineRule="exact"/>
        <w:ind w:firstLineChars="250" w:firstLine="600"/>
        <w:rPr>
          <w:rFonts w:ascii="仿宋" w:eastAsia="仿宋" w:hAnsi="仿宋" w:cs="仿宋"/>
          <w:kern w:val="2"/>
        </w:rPr>
      </w:pPr>
      <w:r>
        <w:rPr>
          <w:rFonts w:ascii="仿宋" w:eastAsia="仿宋" w:hAnsi="仿宋" w:cs="仿宋" w:hint="eastAsia"/>
          <w:kern w:val="2"/>
        </w:rPr>
        <w:t>基金管理人组织基金财产清算小组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（1）基金财产清算程序：</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1）基金合同终止情形出现时，由基金财产清算小组统一接管基金财产；</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2）对基金财产和债权债务进行清理和确认；</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3）对基金财产进行估值和变现；</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4）制作清算报告；</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lastRenderedPageBreak/>
        <w:t>5）聘请会计师事务所对清算报告进行外部审计，聘请律师事务所对清算报告出具法律意见书；</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6）将清算报告报中国证监会备案并公告；</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7）对基金剩余财产进行分配。</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（2）基金财产清算的期限为6个月，但因本基金所持证券的流动性受到限制而不能及时变现的，清算期限相应顺延。</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（3）清算费用</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清算费用是指基金财产清算小组在进行基金财产清算过程中发生的所有合理费用，清算费用由基金财产清算小组优先从基金剩余财产中支付。</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（4）基金财产清算剩余资产的分配</w:t>
      </w:r>
    </w:p>
    <w:p w:rsidR="00A263AF" w:rsidRDefault="00F26D6D">
      <w:pPr>
        <w:pStyle w:val="a7"/>
        <w:shd w:val="clear" w:color="auto" w:fill="FFFFFF"/>
        <w:spacing w:before="0" w:beforeAutospacing="0" w:after="0" w:afterAutospacing="0" w:line="500" w:lineRule="exact"/>
        <w:ind w:firstLineChars="200" w:firstLine="480"/>
        <w:jc w:val="both"/>
        <w:rPr>
          <w:rFonts w:ascii="仿宋" w:eastAsia="仿宋" w:hAnsi="仿宋" w:cs="仿宋"/>
          <w:color w:val="333333"/>
        </w:rPr>
      </w:pPr>
      <w:r>
        <w:rPr>
          <w:rFonts w:ascii="仿宋" w:eastAsia="仿宋" w:hAnsi="仿宋" w:cs="仿宋" w:hint="eastAsia"/>
          <w:color w:val="333333"/>
        </w:rPr>
        <w:t>依据基金财产清算的分配方案，将基金财产清算后的全部剩余资产扣除基金财产清算费用、交纳所欠税款并清偿基金债务后，按基金份额持有人持有的基金份额比例进行分配。</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color w:val="333333"/>
        </w:rPr>
      </w:pPr>
      <w:r>
        <w:rPr>
          <w:rFonts w:ascii="仿宋" w:eastAsia="仿宋" w:hAnsi="仿宋" w:cs="仿宋" w:hint="eastAsia"/>
          <w:color w:val="333333"/>
        </w:rPr>
        <w:t>基金财产清算完毕，基金财产清算报告经符合《中华人民共和国证券法》规定的会计师事务所审计并由律师事务所出具法律意见书后报中国证监会备案并公告。</w:t>
      </w:r>
    </w:p>
    <w:p w:rsidR="00A263AF" w:rsidRDefault="00F26D6D">
      <w:pPr>
        <w:pStyle w:val="ab"/>
        <w:widowControl/>
        <w:numPr>
          <w:ilvl w:val="0"/>
          <w:numId w:val="1"/>
        </w:numPr>
        <w:shd w:val="clear" w:color="auto" w:fill="FFFFFF"/>
        <w:spacing w:line="500" w:lineRule="exact"/>
        <w:ind w:firstLine="480"/>
        <w:jc w:val="left"/>
        <w:rPr>
          <w:rFonts w:ascii="仿宋" w:eastAsia="仿宋" w:hAnsi="仿宋" w:cs="仿宋"/>
          <w:color w:val="333333"/>
          <w:sz w:val="24"/>
          <w:szCs w:val="24"/>
        </w:rPr>
      </w:pPr>
      <w:r>
        <w:rPr>
          <w:rFonts w:ascii="仿宋" w:eastAsia="仿宋" w:hAnsi="仿宋" w:cs="仿宋" w:hint="eastAsia"/>
          <w:color w:val="333333"/>
          <w:sz w:val="24"/>
          <w:szCs w:val="24"/>
        </w:rPr>
        <w:t>备查文件</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1、《申万菱信基金管理有限公司关于以通讯方式召开申万菱信安鑫慧选混合型证券投资基金基金份额持有人大会的公告》</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2、《申万菱信基金管理有限公司关于以通讯方式召开申万菱信安鑫慧选混合型证券投资基金基金份额持有人大会的第一次提示性公告》</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3、《申万菱信基金管理有限公司关于以通讯方式召开申万菱信安鑫慧选混合型证券投资基金基金份额持有人大会的第二次提示性公告》</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4、上海市东方公证处出具的公证书</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5、上海市通力律师事务所出具的法律意见书</w:t>
      </w:r>
    </w:p>
    <w:p w:rsidR="00A263AF" w:rsidRDefault="00F26D6D">
      <w:pPr>
        <w:pStyle w:val="a7"/>
        <w:shd w:val="clear" w:color="auto" w:fill="FFFFFF"/>
        <w:spacing w:before="0" w:beforeAutospacing="0" w:after="0" w:afterAutospacing="0" w:line="500" w:lineRule="exact"/>
        <w:ind w:firstLineChars="200" w:firstLine="480"/>
        <w:rPr>
          <w:rFonts w:ascii="仿宋" w:eastAsia="仿宋" w:hAnsi="仿宋" w:cs="仿宋"/>
          <w:kern w:val="2"/>
        </w:rPr>
      </w:pPr>
      <w:r>
        <w:rPr>
          <w:rFonts w:ascii="仿宋" w:eastAsia="仿宋" w:hAnsi="仿宋" w:cs="仿宋" w:hint="eastAsia"/>
          <w:kern w:val="2"/>
        </w:rPr>
        <w:t>特此公告。</w:t>
      </w:r>
    </w:p>
    <w:p w:rsidR="00A263AF" w:rsidRDefault="00F26D6D">
      <w:pPr>
        <w:pStyle w:val="a7"/>
        <w:shd w:val="clear" w:color="auto" w:fill="FFFFFF"/>
        <w:spacing w:before="0" w:beforeAutospacing="0" w:after="0" w:afterAutospacing="0" w:line="500" w:lineRule="exact"/>
        <w:ind w:firstLineChars="200" w:firstLine="480"/>
        <w:jc w:val="right"/>
        <w:rPr>
          <w:rFonts w:ascii="仿宋" w:eastAsia="仿宋" w:hAnsi="仿宋" w:cs="仿宋"/>
          <w:kern w:val="2"/>
        </w:rPr>
      </w:pPr>
      <w:r>
        <w:rPr>
          <w:rFonts w:ascii="仿宋" w:eastAsia="仿宋" w:hAnsi="仿宋" w:cs="仿宋" w:hint="eastAsia"/>
          <w:kern w:val="2"/>
        </w:rPr>
        <w:t>申万菱信基金管理有限公司</w:t>
      </w:r>
    </w:p>
    <w:p w:rsidR="00A263AF" w:rsidRDefault="00F26D6D" w:rsidP="00BE1511">
      <w:pPr>
        <w:pStyle w:val="a7"/>
        <w:shd w:val="clear" w:color="auto" w:fill="FFFFFF"/>
        <w:spacing w:before="0" w:beforeAutospacing="0" w:afterLines="50" w:afterAutospacing="0" w:line="500" w:lineRule="exact"/>
        <w:ind w:left="6300" w:firstLine="420"/>
        <w:jc w:val="right"/>
        <w:rPr>
          <w:rFonts w:ascii="仿宋" w:eastAsia="仿宋" w:hAnsi="仿宋" w:cs="仿宋"/>
          <w:kern w:val="2"/>
        </w:rPr>
      </w:pPr>
      <w:r>
        <w:rPr>
          <w:rFonts w:ascii="仿宋" w:eastAsia="仿宋" w:hAnsi="仿宋" w:cs="仿宋" w:hint="eastAsia"/>
          <w:kern w:val="2"/>
        </w:rPr>
        <w:t>2023年4月26日</w:t>
      </w:r>
    </w:p>
    <w:p w:rsidR="00A263AF" w:rsidRDefault="00F26D6D" w:rsidP="00BE1511">
      <w:pPr>
        <w:pStyle w:val="a7"/>
        <w:shd w:val="clear" w:color="auto" w:fill="FFFFFF"/>
        <w:spacing w:before="0" w:beforeAutospacing="0" w:afterLines="50" w:afterAutospacing="0" w:line="500" w:lineRule="exact"/>
        <w:ind w:left="6300" w:firstLine="420"/>
        <w:jc w:val="right"/>
        <w:rPr>
          <w:rFonts w:ascii="仿宋" w:eastAsia="仿宋" w:hAnsi="仿宋" w:cs="仿宋"/>
          <w:kern w:val="2"/>
        </w:rPr>
      </w:pPr>
      <w:r>
        <w:rPr>
          <w:rFonts w:ascii="仿宋" w:eastAsia="仿宋" w:hAnsi="仿宋" w:cs="仿宋" w:hint="eastAsia"/>
          <w:noProof/>
          <w:kern w:val="2"/>
        </w:rPr>
        <w:drawing>
          <wp:anchor distT="0" distB="0" distL="114935" distR="114935" simplePos="0" relativeHeight="251659264" behindDoc="1" locked="0" layoutInCell="1" allowOverlap="1">
            <wp:simplePos x="0" y="0"/>
            <wp:positionH relativeFrom="column">
              <wp:posOffset>-149860</wp:posOffset>
            </wp:positionH>
            <wp:positionV relativeFrom="paragraph">
              <wp:posOffset>99060</wp:posOffset>
            </wp:positionV>
            <wp:extent cx="5395595" cy="7655560"/>
            <wp:effectExtent l="0" t="0" r="14605" b="40640"/>
            <wp:wrapTight wrapText="bothSides">
              <wp:wrapPolygon edited="0">
                <wp:start x="0" y="0"/>
                <wp:lineTo x="0" y="21553"/>
                <wp:lineTo x="21506" y="21553"/>
                <wp:lineTo x="21506" y="0"/>
                <wp:lineTo x="0" y="0"/>
              </wp:wrapPolygon>
            </wp:wrapTight>
            <wp:docPr id="3" name="图片 3" descr="03-申万菱信安鑫慧选混合型证券投资基金基金份额持有人大会-公证书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3-申万菱信安鑫慧选混合型证券投资基金基金份额持有人大会-公证书_页面_1"/>
                    <pic:cNvPicPr>
                      <a:picLocks noChangeAspect="1"/>
                    </pic:cNvPicPr>
                  </pic:nvPicPr>
                  <pic:blipFill>
                    <a:blip r:embed="rId6" cstate="print"/>
                    <a:stretch>
                      <a:fillRect/>
                    </a:stretch>
                  </pic:blipFill>
                  <pic:spPr>
                    <a:xfrm>
                      <a:off x="0" y="0"/>
                      <a:ext cx="5395595" cy="7655560"/>
                    </a:xfrm>
                    <a:prstGeom prst="rect">
                      <a:avLst/>
                    </a:prstGeom>
                  </pic:spPr>
                </pic:pic>
              </a:graphicData>
            </a:graphic>
          </wp:anchor>
        </w:drawing>
      </w:r>
    </w:p>
    <w:p w:rsidR="00A263AF" w:rsidRDefault="00A263AF">
      <w:pPr>
        <w:pStyle w:val="a7"/>
        <w:shd w:val="clear" w:color="auto" w:fill="FFFFFF"/>
        <w:spacing w:before="0" w:beforeAutospacing="0" w:after="0" w:afterAutospacing="0" w:line="500" w:lineRule="exact"/>
        <w:ind w:firstLineChars="250" w:firstLine="600"/>
        <w:jc w:val="right"/>
        <w:rPr>
          <w:rFonts w:ascii="仿宋" w:eastAsia="仿宋" w:hAnsi="仿宋" w:cs="仿宋"/>
          <w:kern w:val="2"/>
        </w:rPr>
      </w:pPr>
    </w:p>
    <w:p w:rsidR="00A263AF" w:rsidRDefault="00A263AF">
      <w:pPr>
        <w:pStyle w:val="a7"/>
        <w:shd w:val="clear" w:color="auto" w:fill="FFFFFF"/>
        <w:spacing w:before="0" w:beforeAutospacing="0" w:after="0" w:afterAutospacing="0" w:line="500" w:lineRule="exact"/>
        <w:ind w:firstLineChars="250" w:firstLine="600"/>
        <w:jc w:val="right"/>
        <w:rPr>
          <w:rFonts w:ascii="仿宋" w:eastAsia="仿宋" w:hAnsi="仿宋" w:cs="仿宋"/>
          <w:kern w:val="2"/>
        </w:rPr>
      </w:pPr>
    </w:p>
    <w:p w:rsidR="00A263AF" w:rsidRDefault="00A263AF">
      <w:pPr>
        <w:pStyle w:val="a7"/>
        <w:shd w:val="clear" w:color="auto" w:fill="FFFFFF"/>
        <w:spacing w:before="0" w:beforeAutospacing="0" w:after="0" w:afterAutospacing="0" w:line="500" w:lineRule="exact"/>
        <w:ind w:firstLineChars="250" w:firstLine="600"/>
        <w:jc w:val="right"/>
        <w:rPr>
          <w:rFonts w:ascii="仿宋" w:eastAsia="仿宋" w:hAnsi="仿宋" w:cs="仿宋"/>
          <w:kern w:val="2"/>
        </w:rPr>
      </w:pPr>
    </w:p>
    <w:p w:rsidR="00A263AF" w:rsidRDefault="00F26D6D" w:rsidP="00B74DC1">
      <w:pPr>
        <w:pStyle w:val="a7"/>
        <w:shd w:val="clear" w:color="auto" w:fill="FFFFFF"/>
        <w:spacing w:before="0" w:beforeAutospacing="0" w:afterLines="50" w:afterAutospacing="0" w:line="500" w:lineRule="exact"/>
        <w:jc w:val="right"/>
      </w:pPr>
      <w:r>
        <w:rPr>
          <w:rFonts w:ascii="仿宋" w:eastAsia="仿宋" w:hAnsi="仿宋" w:cs="仿宋" w:hint="eastAsia"/>
          <w:noProof/>
          <w:kern w:val="2"/>
        </w:rPr>
        <w:drawing>
          <wp:anchor distT="0" distB="0" distL="114935" distR="114935" simplePos="0" relativeHeight="251660288" behindDoc="0" locked="0" layoutInCell="1" allowOverlap="1">
            <wp:simplePos x="0" y="0"/>
            <wp:positionH relativeFrom="column">
              <wp:posOffset>-33655</wp:posOffset>
            </wp:positionH>
            <wp:positionV relativeFrom="paragraph">
              <wp:posOffset>121285</wp:posOffset>
            </wp:positionV>
            <wp:extent cx="5395595" cy="7640955"/>
            <wp:effectExtent l="0" t="0" r="14605" b="17145"/>
            <wp:wrapTopAndBottom/>
            <wp:docPr id="4" name="图片 4" descr="03-申万菱信安鑫慧选混合型证券投资基金基金份额持有人大会-公证书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3-申万菱信安鑫慧选混合型证券投资基金基金份额持有人大会-公证书_页面_2"/>
                    <pic:cNvPicPr>
                      <a:picLocks noChangeAspect="1"/>
                    </pic:cNvPicPr>
                  </pic:nvPicPr>
                  <pic:blipFill>
                    <a:blip r:embed="rId7" cstate="print"/>
                    <a:stretch>
                      <a:fillRect/>
                    </a:stretch>
                  </pic:blipFill>
                  <pic:spPr>
                    <a:xfrm>
                      <a:off x="0" y="0"/>
                      <a:ext cx="5395595" cy="7640955"/>
                    </a:xfrm>
                    <a:prstGeom prst="rect">
                      <a:avLst/>
                    </a:prstGeom>
                  </pic:spPr>
                </pic:pic>
              </a:graphicData>
            </a:graphic>
          </wp:anchor>
        </w:drawing>
      </w:r>
    </w:p>
    <w:sectPr w:rsidR="00A263AF" w:rsidSect="00B74DC1">
      <w:pgSz w:w="11906" w:h="16838"/>
      <w:pgMar w:top="1020" w:right="1701"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53E776"/>
    <w:multiLevelType w:val="singleLevel"/>
    <w:tmpl w:val="EF53E776"/>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0E78"/>
    <w:rsid w:val="00001435"/>
    <w:rsid w:val="00033E95"/>
    <w:rsid w:val="000445D0"/>
    <w:rsid w:val="000624B5"/>
    <w:rsid w:val="00070171"/>
    <w:rsid w:val="000D7A92"/>
    <w:rsid w:val="000E2CF0"/>
    <w:rsid w:val="00127096"/>
    <w:rsid w:val="001306A1"/>
    <w:rsid w:val="0013242F"/>
    <w:rsid w:val="00175550"/>
    <w:rsid w:val="001A0DD9"/>
    <w:rsid w:val="00205428"/>
    <w:rsid w:val="00231215"/>
    <w:rsid w:val="00271043"/>
    <w:rsid w:val="00312F8F"/>
    <w:rsid w:val="003A06CE"/>
    <w:rsid w:val="003A7CBD"/>
    <w:rsid w:val="003C3ED3"/>
    <w:rsid w:val="003E53CA"/>
    <w:rsid w:val="004854E9"/>
    <w:rsid w:val="004930A8"/>
    <w:rsid w:val="004A3C7A"/>
    <w:rsid w:val="004A585D"/>
    <w:rsid w:val="004B296E"/>
    <w:rsid w:val="004E2E3C"/>
    <w:rsid w:val="004E356D"/>
    <w:rsid w:val="00511AB5"/>
    <w:rsid w:val="00524472"/>
    <w:rsid w:val="005A000B"/>
    <w:rsid w:val="005A14F8"/>
    <w:rsid w:val="005C31E8"/>
    <w:rsid w:val="005D6777"/>
    <w:rsid w:val="005E3E88"/>
    <w:rsid w:val="00630E78"/>
    <w:rsid w:val="00671AF5"/>
    <w:rsid w:val="00687A16"/>
    <w:rsid w:val="006F014C"/>
    <w:rsid w:val="007031C0"/>
    <w:rsid w:val="00704A00"/>
    <w:rsid w:val="00765FF5"/>
    <w:rsid w:val="00813BE8"/>
    <w:rsid w:val="00833593"/>
    <w:rsid w:val="008466B8"/>
    <w:rsid w:val="00877D6A"/>
    <w:rsid w:val="00895179"/>
    <w:rsid w:val="008A2897"/>
    <w:rsid w:val="008B1E3C"/>
    <w:rsid w:val="008B5868"/>
    <w:rsid w:val="008C442F"/>
    <w:rsid w:val="008E4DBC"/>
    <w:rsid w:val="008F104C"/>
    <w:rsid w:val="008F76C6"/>
    <w:rsid w:val="00903F63"/>
    <w:rsid w:val="00986919"/>
    <w:rsid w:val="009A25B4"/>
    <w:rsid w:val="009F0B54"/>
    <w:rsid w:val="00A1337E"/>
    <w:rsid w:val="00A263AF"/>
    <w:rsid w:val="00A55EF1"/>
    <w:rsid w:val="00A90D75"/>
    <w:rsid w:val="00AC5CC4"/>
    <w:rsid w:val="00AE4B17"/>
    <w:rsid w:val="00AE6DFD"/>
    <w:rsid w:val="00AF6362"/>
    <w:rsid w:val="00AF743F"/>
    <w:rsid w:val="00B35E59"/>
    <w:rsid w:val="00B57327"/>
    <w:rsid w:val="00B61617"/>
    <w:rsid w:val="00B74DC1"/>
    <w:rsid w:val="00BA1B2E"/>
    <w:rsid w:val="00BC6FD3"/>
    <w:rsid w:val="00BE1511"/>
    <w:rsid w:val="00BF0BA1"/>
    <w:rsid w:val="00BF0BBE"/>
    <w:rsid w:val="00C1138F"/>
    <w:rsid w:val="00C36037"/>
    <w:rsid w:val="00C87281"/>
    <w:rsid w:val="00CD755C"/>
    <w:rsid w:val="00CF7D1A"/>
    <w:rsid w:val="00D05C32"/>
    <w:rsid w:val="00DE3576"/>
    <w:rsid w:val="00E32BEE"/>
    <w:rsid w:val="00EB7844"/>
    <w:rsid w:val="00ED6B2D"/>
    <w:rsid w:val="00F22689"/>
    <w:rsid w:val="00F26D6D"/>
    <w:rsid w:val="00F460E3"/>
    <w:rsid w:val="00F563E2"/>
    <w:rsid w:val="00FD57AE"/>
    <w:rsid w:val="0ED8607D"/>
    <w:rsid w:val="0F3E4E74"/>
    <w:rsid w:val="28203C32"/>
    <w:rsid w:val="2A1326A3"/>
    <w:rsid w:val="3E6D0954"/>
    <w:rsid w:val="429B5AEE"/>
    <w:rsid w:val="45635A88"/>
    <w:rsid w:val="76133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C1"/>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74DC1"/>
    <w:pPr>
      <w:jc w:val="left"/>
    </w:pPr>
  </w:style>
  <w:style w:type="paragraph" w:styleId="a4">
    <w:name w:val="Balloon Text"/>
    <w:basedOn w:val="a"/>
    <w:link w:val="Char0"/>
    <w:uiPriority w:val="99"/>
    <w:semiHidden/>
    <w:unhideWhenUsed/>
    <w:qFormat/>
    <w:rsid w:val="00B74DC1"/>
    <w:rPr>
      <w:sz w:val="18"/>
      <w:szCs w:val="18"/>
    </w:rPr>
  </w:style>
  <w:style w:type="paragraph" w:styleId="a5">
    <w:name w:val="footer"/>
    <w:basedOn w:val="a"/>
    <w:link w:val="Char1"/>
    <w:uiPriority w:val="99"/>
    <w:unhideWhenUsed/>
    <w:qFormat/>
    <w:rsid w:val="00B74DC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74DC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74DC1"/>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B74DC1"/>
    <w:rPr>
      <w:b/>
      <w:bCs/>
    </w:rPr>
  </w:style>
  <w:style w:type="table" w:styleId="a9">
    <w:name w:val="Table Grid"/>
    <w:basedOn w:val="a1"/>
    <w:uiPriority w:val="59"/>
    <w:qFormat/>
    <w:rsid w:val="00B74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B74DC1"/>
    <w:rPr>
      <w:sz w:val="21"/>
      <w:szCs w:val="21"/>
    </w:rPr>
  </w:style>
  <w:style w:type="character" w:customStyle="1" w:styleId="Char2">
    <w:name w:val="页眉 Char"/>
    <w:basedOn w:val="a0"/>
    <w:link w:val="a6"/>
    <w:uiPriority w:val="99"/>
    <w:qFormat/>
    <w:rsid w:val="00B74DC1"/>
    <w:rPr>
      <w:rFonts w:ascii="Calibri" w:eastAsia="宋体" w:hAnsi="Calibri" w:cs="Calibri"/>
      <w:sz w:val="18"/>
      <w:szCs w:val="18"/>
    </w:rPr>
  </w:style>
  <w:style w:type="character" w:customStyle="1" w:styleId="Char1">
    <w:name w:val="页脚 Char"/>
    <w:basedOn w:val="a0"/>
    <w:link w:val="a5"/>
    <w:uiPriority w:val="99"/>
    <w:qFormat/>
    <w:rsid w:val="00B74DC1"/>
    <w:rPr>
      <w:rFonts w:ascii="Calibri" w:eastAsia="宋体" w:hAnsi="Calibri" w:cs="Calibri"/>
      <w:sz w:val="18"/>
      <w:szCs w:val="18"/>
    </w:rPr>
  </w:style>
  <w:style w:type="character" w:customStyle="1" w:styleId="Char">
    <w:name w:val="批注文字 Char"/>
    <w:basedOn w:val="a0"/>
    <w:link w:val="a3"/>
    <w:uiPriority w:val="99"/>
    <w:semiHidden/>
    <w:qFormat/>
    <w:rsid w:val="00B74DC1"/>
    <w:rPr>
      <w:rFonts w:ascii="Calibri" w:eastAsia="宋体" w:hAnsi="Calibri" w:cs="Calibri"/>
      <w:szCs w:val="21"/>
    </w:rPr>
  </w:style>
  <w:style w:type="character" w:customStyle="1" w:styleId="Char3">
    <w:name w:val="批注主题 Char"/>
    <w:basedOn w:val="Char"/>
    <w:link w:val="a8"/>
    <w:uiPriority w:val="99"/>
    <w:semiHidden/>
    <w:qFormat/>
    <w:rsid w:val="00B74DC1"/>
    <w:rPr>
      <w:rFonts w:ascii="Calibri" w:eastAsia="宋体" w:hAnsi="Calibri" w:cs="Calibri"/>
      <w:b/>
      <w:bCs/>
      <w:szCs w:val="21"/>
    </w:rPr>
  </w:style>
  <w:style w:type="character" w:customStyle="1" w:styleId="Char0">
    <w:name w:val="批注框文本 Char"/>
    <w:basedOn w:val="a0"/>
    <w:link w:val="a4"/>
    <w:uiPriority w:val="99"/>
    <w:semiHidden/>
    <w:qFormat/>
    <w:rsid w:val="00B74DC1"/>
    <w:rPr>
      <w:rFonts w:ascii="Calibri" w:eastAsia="宋体" w:hAnsi="Calibri" w:cs="Calibri"/>
      <w:sz w:val="18"/>
      <w:szCs w:val="18"/>
    </w:rPr>
  </w:style>
  <w:style w:type="paragraph" w:styleId="ab">
    <w:name w:val="List Paragraph"/>
    <w:basedOn w:val="a"/>
    <w:uiPriority w:val="34"/>
    <w:qFormat/>
    <w:rsid w:val="00B74DC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F749-01E3-4D87-987F-B40EEF7D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1903</Characters>
  <Application>Microsoft Office Word</Application>
  <DocSecurity>4</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cp:lastPrinted>2023-03-03T02:09:00Z</cp:lastPrinted>
  <dcterms:created xsi:type="dcterms:W3CDTF">2023-04-25T16:02:00Z</dcterms:created>
  <dcterms:modified xsi:type="dcterms:W3CDTF">2023-04-25T16:02:00Z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EB94BD11A84F46F6A2423E89252623AA</vt:lpwstr>
  </property>
</Properties>
</file>