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1D5" w:rsidRDefault="006422B9">
      <w:pPr>
        <w:spacing w:line="480" w:lineRule="auto"/>
        <w:jc w:val="center"/>
        <w:rPr>
          <w:rFonts w:asciiTheme="minorEastAsia" w:eastAsiaTheme="minorEastAsia" w:hAnsiTheme="minorEastAsia" w:cs="宋体"/>
          <w:b/>
          <w:bCs/>
          <w:color w:val="014E9E"/>
          <w:kern w:val="0"/>
          <w:sz w:val="28"/>
          <w:szCs w:val="28"/>
        </w:rPr>
      </w:pPr>
      <w:r>
        <w:rPr>
          <w:rFonts w:asciiTheme="minorEastAsia" w:eastAsiaTheme="minorEastAsia" w:hAnsiTheme="minorEastAsia" w:cs="宋体" w:hint="eastAsia"/>
          <w:b/>
          <w:bCs/>
          <w:color w:val="014E9E"/>
          <w:kern w:val="0"/>
          <w:sz w:val="28"/>
          <w:szCs w:val="28"/>
        </w:rPr>
        <w:t>海富通基金管理有限公司关于旗下部分基金新增南京证券股份有限公司为销售机构并参加其申购费率优惠活动的公告</w:t>
      </w:r>
    </w:p>
    <w:p w:rsidR="005A31D5" w:rsidRDefault="005A31D5">
      <w:pPr>
        <w:widowControl/>
        <w:spacing w:line="480" w:lineRule="auto"/>
        <w:jc w:val="center"/>
        <w:rPr>
          <w:rFonts w:asciiTheme="minorEastAsia" w:eastAsiaTheme="minorEastAsia" w:hAnsiTheme="minorEastAsia" w:cs="宋体"/>
          <w:b/>
          <w:bCs/>
          <w:color w:val="014E9E"/>
          <w:kern w:val="0"/>
          <w:sz w:val="24"/>
          <w:szCs w:val="24"/>
        </w:rPr>
      </w:pPr>
    </w:p>
    <w:p w:rsidR="005A31D5" w:rsidRDefault="006422B9">
      <w:pPr>
        <w:spacing w:line="48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南京证券股份有限公司（以下简称“南京证券”）</w:t>
      </w:r>
      <w:r>
        <w:rPr>
          <w:rFonts w:asciiTheme="minorEastAsia" w:eastAsiaTheme="minorEastAsia" w:hAnsiTheme="minorEastAsia" w:cs="宋体" w:hint="eastAsia"/>
          <w:color w:val="333333"/>
          <w:kern w:val="0"/>
          <w:sz w:val="24"/>
          <w:szCs w:val="24"/>
        </w:rPr>
        <w:t>的</w:t>
      </w:r>
      <w:r>
        <w:rPr>
          <w:rFonts w:asciiTheme="minorEastAsia" w:eastAsiaTheme="minorEastAsia" w:hAnsiTheme="minorEastAsia" w:cs="宋体"/>
          <w:kern w:val="0"/>
          <w:sz w:val="24"/>
          <w:szCs w:val="24"/>
        </w:rPr>
        <w:t>开放式基金</w:t>
      </w:r>
      <w:r>
        <w:rPr>
          <w:rFonts w:asciiTheme="minorEastAsia" w:eastAsiaTheme="minorEastAsia" w:hAnsiTheme="minorEastAsia" w:cs="宋体" w:hint="eastAsia"/>
          <w:kern w:val="0"/>
          <w:sz w:val="24"/>
          <w:szCs w:val="24"/>
        </w:rPr>
        <w:t>销售</w:t>
      </w:r>
      <w:r>
        <w:rPr>
          <w:rFonts w:asciiTheme="minorEastAsia" w:eastAsiaTheme="minorEastAsia" w:hAnsiTheme="minorEastAsia" w:cs="宋体"/>
          <w:kern w:val="0"/>
          <w:sz w:val="24"/>
          <w:szCs w:val="24"/>
        </w:rPr>
        <w:t>资格已获中国证券监督管理委员会批准。</w:t>
      </w:r>
      <w:r>
        <w:rPr>
          <w:rFonts w:asciiTheme="minorEastAsia" w:eastAsiaTheme="minorEastAsia" w:hAnsiTheme="minorEastAsia" w:cs="宋体" w:hint="eastAsia"/>
          <w:kern w:val="0"/>
          <w:sz w:val="24"/>
          <w:szCs w:val="24"/>
        </w:rPr>
        <w:t>根据</w:t>
      </w:r>
      <w:r>
        <w:rPr>
          <w:rFonts w:asciiTheme="minorEastAsia" w:eastAsiaTheme="minorEastAsia" w:hAnsiTheme="minorEastAsia" w:cs="宋体"/>
          <w:kern w:val="0"/>
          <w:sz w:val="24"/>
          <w:szCs w:val="24"/>
        </w:rPr>
        <w:t>海富通基金管理有限公司（以下简称“本公司”）与</w:t>
      </w:r>
      <w:r>
        <w:rPr>
          <w:rFonts w:asciiTheme="minorEastAsia" w:eastAsiaTheme="minorEastAsia" w:hAnsiTheme="minorEastAsia" w:hint="eastAsia"/>
          <w:sz w:val="24"/>
          <w:szCs w:val="24"/>
        </w:rPr>
        <w:t>南京证券</w:t>
      </w:r>
      <w:r>
        <w:rPr>
          <w:rFonts w:asciiTheme="minorEastAsia" w:eastAsiaTheme="minorEastAsia" w:hAnsiTheme="minorEastAsia" w:cs="宋体"/>
          <w:kern w:val="0"/>
          <w:sz w:val="24"/>
          <w:szCs w:val="24"/>
        </w:rPr>
        <w:t>签订的开放式证券投资基金销售协议，</w:t>
      </w:r>
      <w:r>
        <w:rPr>
          <w:rFonts w:asciiTheme="minorEastAsia" w:eastAsiaTheme="minorEastAsia" w:hAnsiTheme="minorEastAsia" w:cs="宋体" w:hint="eastAsia"/>
          <w:kern w:val="0"/>
          <w:sz w:val="24"/>
          <w:szCs w:val="24"/>
        </w:rPr>
        <w:t>现增加</w:t>
      </w:r>
      <w:r>
        <w:rPr>
          <w:rFonts w:asciiTheme="minorEastAsia" w:eastAsiaTheme="minorEastAsia" w:hAnsiTheme="minorEastAsia" w:hint="eastAsia"/>
          <w:sz w:val="24"/>
          <w:szCs w:val="24"/>
        </w:rPr>
        <w:t>南京证券</w:t>
      </w:r>
      <w:r>
        <w:rPr>
          <w:rFonts w:asciiTheme="minorEastAsia" w:eastAsiaTheme="minorEastAsia" w:hAnsiTheme="minorEastAsia" w:cs="宋体" w:hint="eastAsia"/>
          <w:kern w:val="0"/>
          <w:sz w:val="24"/>
          <w:szCs w:val="24"/>
        </w:rPr>
        <w:t>为本公司旗下部分基金的销售机构，并</w:t>
      </w:r>
      <w:r>
        <w:rPr>
          <w:rFonts w:asciiTheme="minorEastAsia" w:eastAsiaTheme="minorEastAsia" w:hAnsiTheme="minorEastAsia" w:cs="宋体"/>
          <w:kern w:val="0"/>
          <w:sz w:val="24"/>
          <w:szCs w:val="24"/>
        </w:rPr>
        <w:t>于2023年4月</w:t>
      </w:r>
      <w:r>
        <w:rPr>
          <w:rFonts w:asciiTheme="minorEastAsia" w:eastAsiaTheme="minorEastAsia" w:hAnsiTheme="minorEastAsia" w:cs="宋体" w:hint="eastAsia"/>
          <w:kern w:val="0"/>
          <w:sz w:val="24"/>
          <w:szCs w:val="24"/>
        </w:rPr>
        <w:t>27</w:t>
      </w:r>
      <w:r>
        <w:rPr>
          <w:rFonts w:asciiTheme="minorEastAsia" w:eastAsiaTheme="minorEastAsia" w:hAnsiTheme="minorEastAsia" w:cs="宋体"/>
          <w:kern w:val="0"/>
          <w:sz w:val="24"/>
          <w:szCs w:val="24"/>
        </w:rPr>
        <w:t>日起</w:t>
      </w:r>
      <w:r>
        <w:rPr>
          <w:rFonts w:asciiTheme="minorEastAsia" w:eastAsiaTheme="minorEastAsia" w:hAnsiTheme="minorEastAsia"/>
          <w:sz w:val="24"/>
          <w:szCs w:val="24"/>
        </w:rPr>
        <w:t>参加</w:t>
      </w:r>
      <w:r>
        <w:rPr>
          <w:rFonts w:asciiTheme="minorEastAsia" w:eastAsiaTheme="minorEastAsia" w:hAnsiTheme="minorEastAsia" w:hint="eastAsia"/>
          <w:sz w:val="24"/>
          <w:szCs w:val="24"/>
        </w:rPr>
        <w:t>南京证券的申购费率优惠活动</w:t>
      </w:r>
      <w:r>
        <w:rPr>
          <w:rFonts w:asciiTheme="minorEastAsia" w:eastAsiaTheme="minorEastAsia" w:hAnsiTheme="minorEastAsia" w:cs="宋体"/>
          <w:kern w:val="0"/>
          <w:sz w:val="24"/>
          <w:szCs w:val="24"/>
        </w:rPr>
        <w:t>。现将有关事项公告如下：</w:t>
      </w:r>
    </w:p>
    <w:p w:rsidR="005A31D5" w:rsidRDefault="005A31D5">
      <w:pPr>
        <w:spacing w:line="480" w:lineRule="auto"/>
        <w:rPr>
          <w:rFonts w:asciiTheme="minorEastAsia" w:eastAsiaTheme="minorEastAsia" w:hAnsiTheme="minorEastAsia" w:cs="宋体"/>
          <w:kern w:val="0"/>
          <w:sz w:val="24"/>
          <w:szCs w:val="24"/>
        </w:rPr>
      </w:pPr>
    </w:p>
    <w:p w:rsidR="005A31D5" w:rsidRDefault="006422B9">
      <w:pPr>
        <w:pStyle w:val="aa"/>
        <w:numPr>
          <w:ilvl w:val="0"/>
          <w:numId w:val="1"/>
        </w:numPr>
        <w:spacing w:line="480" w:lineRule="auto"/>
        <w:ind w:firstLineChars="0"/>
        <w:rPr>
          <w:rFonts w:asciiTheme="minorEastAsia" w:eastAsiaTheme="minorEastAsia" w:hAnsiTheme="minorEastAsia"/>
          <w:b/>
          <w:sz w:val="24"/>
          <w:szCs w:val="24"/>
        </w:rPr>
      </w:pPr>
      <w:r>
        <w:rPr>
          <w:rFonts w:asciiTheme="minorEastAsia" w:eastAsiaTheme="minorEastAsia" w:hAnsiTheme="minorEastAsia" w:hint="eastAsia"/>
          <w:b/>
          <w:sz w:val="24"/>
          <w:szCs w:val="24"/>
        </w:rPr>
        <w:t>适用基金</w:t>
      </w:r>
    </w:p>
    <w:tbl>
      <w:tblPr>
        <w:tblW w:w="9270" w:type="dxa"/>
        <w:tblInd w:w="98" w:type="dxa"/>
        <w:tblLook w:val="04A0"/>
      </w:tblPr>
      <w:tblGrid>
        <w:gridCol w:w="487"/>
        <w:gridCol w:w="1481"/>
        <w:gridCol w:w="7302"/>
      </w:tblGrid>
      <w:tr w:rsidR="005A31D5">
        <w:trPr>
          <w:trHeight w:val="280"/>
        </w:trPr>
        <w:tc>
          <w:tcPr>
            <w:tcW w:w="49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A31D5" w:rsidRDefault="006422B9">
            <w:pPr>
              <w:widowControl/>
              <w:spacing w:line="36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序号</w:t>
            </w:r>
          </w:p>
        </w:tc>
        <w:tc>
          <w:tcPr>
            <w:tcW w:w="142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A31D5" w:rsidRDefault="006422B9">
            <w:pPr>
              <w:widowControl/>
              <w:spacing w:line="36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基金代码</w:t>
            </w:r>
          </w:p>
        </w:tc>
        <w:tc>
          <w:tcPr>
            <w:tcW w:w="736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A31D5" w:rsidRDefault="006422B9">
            <w:pPr>
              <w:widowControl/>
              <w:spacing w:line="36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基金名称</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501300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海富通全球美元收益债券型证券投资基金（LOF）人民币份额</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519136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海富通瑞丰债券型证券投资基金</w:t>
            </w:r>
          </w:p>
        </w:tc>
      </w:tr>
      <w:tr w:rsidR="005A31D5">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A类：519137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海富通瑞福债券型证券投资基金</w:t>
            </w:r>
          </w:p>
        </w:tc>
      </w:tr>
      <w:tr w:rsidR="005A31D5">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C类：017109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left"/>
              <w:rPr>
                <w:rFonts w:ascii="宋体" w:hAnsi="宋体" w:cs="宋体"/>
                <w:color w:val="000000"/>
                <w:sz w:val="22"/>
              </w:rPr>
            </w:pP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519138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海富通瑞祥一年定期开放债券型证券投资基金</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519139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海富通沪港深灵活配置混合型证券投资基金</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519220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海富通聚利纯债债券型证券投资基金</w:t>
            </w:r>
          </w:p>
        </w:tc>
      </w:tr>
      <w:tr w:rsidR="005A31D5">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A类：519222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海富通欣益灵活配置混合型证券投资基金</w:t>
            </w:r>
          </w:p>
        </w:tc>
      </w:tr>
      <w:tr w:rsidR="005A31D5">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C类：519221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left"/>
              <w:rPr>
                <w:rFonts w:ascii="宋体" w:hAnsi="宋体" w:cs="宋体"/>
                <w:color w:val="000000"/>
                <w:sz w:val="22"/>
              </w:rPr>
            </w:pPr>
          </w:p>
        </w:tc>
      </w:tr>
      <w:tr w:rsidR="005A31D5">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A类：519224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海富通欣荣灵活配置混合型证券投资基金</w:t>
            </w:r>
          </w:p>
        </w:tc>
      </w:tr>
      <w:tr w:rsidR="005A31D5">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C类：519223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left"/>
              <w:rPr>
                <w:rFonts w:ascii="宋体" w:hAnsi="宋体" w:cs="宋体"/>
                <w:color w:val="000000"/>
                <w:sz w:val="22"/>
              </w:rPr>
            </w:pP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519225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海富通集利纯债债券型证券投资基金</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519226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海富通瑞利纯债债券型证券投资基金</w:t>
            </w:r>
          </w:p>
        </w:tc>
      </w:tr>
      <w:tr w:rsidR="005A31D5">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A类：519229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海富通欣享灵活配置混合型证券投资基金</w:t>
            </w:r>
          </w:p>
        </w:tc>
      </w:tr>
      <w:tr w:rsidR="005A31D5">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C类：519228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left"/>
              <w:rPr>
                <w:rFonts w:ascii="宋体" w:hAnsi="宋体" w:cs="宋体"/>
                <w:color w:val="000000"/>
                <w:sz w:val="22"/>
              </w:rPr>
            </w:pP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004264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海富通瑞合纯债债券型证券投资基金</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004771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海富通添益货币市场基金B类份额</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005277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海富通融丰定期开放债券型发起式证券投资基金</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005485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海富通恒丰定期开放债券型发起式证券投资基金</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005842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海富通弘丰定期开放债券型发起式证券投资基金</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006219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海富通鼎丰定期开放债券型发起式证券投资基金</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007037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海富通聚合纯债债券型证券投资基金</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008032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海富通裕昇三年定期开放债券型证券投资基金</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008231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海富通裕通30个月定期开放债券型证券投资基金</w:t>
            </w: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008803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海富通瑞弘6个月定期开放债券型证券投资基金</w:t>
            </w:r>
          </w:p>
        </w:tc>
      </w:tr>
      <w:tr w:rsidR="005A31D5">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A类：010130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海富通惠增多策略一年定期开放灵活配置混合型证券投资基金</w:t>
            </w:r>
          </w:p>
        </w:tc>
      </w:tr>
      <w:tr w:rsidR="005A31D5">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C类：010131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left"/>
              <w:rPr>
                <w:rFonts w:ascii="宋体" w:hAnsi="宋体" w:cs="宋体"/>
                <w:color w:val="000000"/>
                <w:sz w:val="22"/>
              </w:rPr>
            </w:pPr>
          </w:p>
        </w:tc>
      </w:tr>
      <w:tr w:rsidR="005A31D5">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A类：010260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海富通策略收益债券型证券投资基金</w:t>
            </w:r>
          </w:p>
        </w:tc>
      </w:tr>
      <w:tr w:rsidR="005A31D5">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C类：010261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left"/>
              <w:rPr>
                <w:rFonts w:ascii="宋体" w:hAnsi="宋体" w:cs="宋体"/>
                <w:color w:val="000000"/>
                <w:sz w:val="22"/>
              </w:rPr>
            </w:pPr>
          </w:p>
        </w:tc>
      </w:tr>
      <w:tr w:rsidR="005A31D5">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A类：010262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海富通中债1-3年农发行债券指数证券投资基金</w:t>
            </w:r>
          </w:p>
        </w:tc>
      </w:tr>
      <w:tr w:rsidR="005A31D5">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C类：010263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left"/>
              <w:rPr>
                <w:rFonts w:ascii="宋体" w:hAnsi="宋体" w:cs="宋体"/>
                <w:color w:val="000000"/>
                <w:sz w:val="22"/>
              </w:rPr>
            </w:pPr>
          </w:p>
        </w:tc>
      </w:tr>
      <w:tr w:rsidR="005A31D5">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A类：011115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海富通利率债债券型证券投资基金</w:t>
            </w:r>
          </w:p>
        </w:tc>
      </w:tr>
      <w:tr w:rsidR="005A31D5">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C类：011116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left"/>
              <w:rPr>
                <w:rFonts w:ascii="宋体" w:hAnsi="宋体" w:cs="宋体"/>
                <w:color w:val="000000"/>
                <w:sz w:val="22"/>
              </w:rPr>
            </w:pPr>
          </w:p>
        </w:tc>
      </w:tr>
      <w:tr w:rsidR="005A31D5">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A类：011554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海富通欣利混合型证券投资基金</w:t>
            </w:r>
          </w:p>
        </w:tc>
      </w:tr>
      <w:tr w:rsidR="005A31D5">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C类：011555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left"/>
              <w:rPr>
                <w:rFonts w:ascii="宋体" w:hAnsi="宋体" w:cs="宋体"/>
                <w:color w:val="000000"/>
                <w:sz w:val="22"/>
              </w:rPr>
            </w:pPr>
          </w:p>
        </w:tc>
      </w:tr>
      <w:tr w:rsidR="005A31D5">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A类：012012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海富通瑞兴3个月定期开放债券型证券投资基金</w:t>
            </w:r>
          </w:p>
        </w:tc>
      </w:tr>
      <w:tr w:rsidR="005A31D5">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C类：012013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5A31D5">
            <w:pPr>
              <w:spacing w:line="360" w:lineRule="auto"/>
              <w:jc w:val="left"/>
              <w:rPr>
                <w:rFonts w:ascii="宋体" w:hAnsi="宋体" w:cs="宋体"/>
                <w:color w:val="000000"/>
                <w:sz w:val="22"/>
              </w:rPr>
            </w:pPr>
          </w:p>
        </w:tc>
      </w:tr>
      <w:tr w:rsidR="005A31D5">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lang/>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012843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1D5" w:rsidRDefault="006422B9">
            <w:pPr>
              <w:widowControl/>
              <w:spacing w:line="360" w:lineRule="auto"/>
              <w:jc w:val="left"/>
              <w:textAlignment w:val="center"/>
              <w:rPr>
                <w:rFonts w:ascii="宋体" w:hAnsi="宋体" w:cs="宋体"/>
                <w:color w:val="000000"/>
                <w:sz w:val="22"/>
              </w:rPr>
            </w:pPr>
            <w:r>
              <w:rPr>
                <w:rFonts w:ascii="宋体" w:hAnsi="宋体" w:cs="宋体" w:hint="eastAsia"/>
                <w:color w:val="000000"/>
                <w:kern w:val="0"/>
                <w:sz w:val="22"/>
                <w:lang/>
              </w:rPr>
              <w:t>海富通恒益金融债一年定期开放债券型发起式证券投资基金</w:t>
            </w:r>
          </w:p>
        </w:tc>
      </w:tr>
    </w:tbl>
    <w:p w:rsidR="005A31D5" w:rsidRDefault="006422B9">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二、业务开通时间</w:t>
      </w:r>
    </w:p>
    <w:p w:rsidR="005A31D5" w:rsidRDefault="006422B9">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sz w:val="24"/>
          <w:szCs w:val="24"/>
        </w:rPr>
        <w:t>自2023年4月</w:t>
      </w:r>
      <w:r>
        <w:rPr>
          <w:rFonts w:asciiTheme="minorEastAsia" w:eastAsiaTheme="minorEastAsia" w:hAnsiTheme="minorEastAsia" w:hint="eastAsia"/>
          <w:sz w:val="24"/>
          <w:szCs w:val="24"/>
        </w:rPr>
        <w:t>27</w:t>
      </w:r>
      <w:r>
        <w:rPr>
          <w:rFonts w:asciiTheme="minorEastAsia" w:eastAsiaTheme="minorEastAsia" w:hAnsiTheme="minorEastAsia"/>
          <w:sz w:val="24"/>
          <w:szCs w:val="24"/>
        </w:rPr>
        <w:t>日起，投资者可在</w:t>
      </w:r>
      <w:r>
        <w:rPr>
          <w:rFonts w:asciiTheme="minorEastAsia" w:eastAsiaTheme="minorEastAsia" w:hAnsiTheme="minorEastAsia" w:hint="eastAsia"/>
          <w:sz w:val="24"/>
          <w:szCs w:val="24"/>
        </w:rPr>
        <w:t>南京证券</w:t>
      </w:r>
      <w:r>
        <w:rPr>
          <w:rFonts w:asciiTheme="minorEastAsia" w:eastAsiaTheme="minorEastAsia" w:hAnsiTheme="minorEastAsia"/>
          <w:sz w:val="24"/>
          <w:szCs w:val="24"/>
        </w:rPr>
        <w:t>办理</w:t>
      </w:r>
      <w:r>
        <w:rPr>
          <w:rFonts w:asciiTheme="minorEastAsia" w:eastAsiaTheme="minorEastAsia" w:hAnsiTheme="minorEastAsia" w:hint="eastAsia"/>
          <w:sz w:val="24"/>
          <w:szCs w:val="24"/>
        </w:rPr>
        <w:t>上述开放式基金的开户、申购、赎回</w:t>
      </w:r>
      <w:r>
        <w:rPr>
          <w:rFonts w:asciiTheme="minorEastAsia" w:eastAsiaTheme="minorEastAsia" w:hAnsiTheme="minorEastAsia"/>
          <w:sz w:val="24"/>
          <w:szCs w:val="24"/>
        </w:rPr>
        <w:t>等业务。具体的业务流程、办理方式和办理时间等以</w:t>
      </w:r>
      <w:r>
        <w:rPr>
          <w:rFonts w:asciiTheme="minorEastAsia" w:eastAsiaTheme="minorEastAsia" w:hAnsiTheme="minorEastAsia" w:hint="eastAsia"/>
          <w:sz w:val="24"/>
          <w:szCs w:val="24"/>
        </w:rPr>
        <w:t>南京证券</w:t>
      </w:r>
      <w:r>
        <w:rPr>
          <w:rFonts w:asciiTheme="minorEastAsia" w:eastAsiaTheme="minorEastAsia" w:hAnsiTheme="minorEastAsia"/>
          <w:sz w:val="24"/>
          <w:szCs w:val="24"/>
        </w:rPr>
        <w:t>的规定为准。</w:t>
      </w:r>
    </w:p>
    <w:p w:rsidR="005A31D5" w:rsidRDefault="006422B9">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三、适用投资者范围</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符合法律法规及基金合同规定的投资者。</w:t>
      </w:r>
    </w:p>
    <w:p w:rsidR="005A31D5" w:rsidRDefault="006422B9">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四、费率优惠活动</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1、费率优惠内容</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自2023年4月27日起，投资者通过南京证券申购本公司上述开放式基金，在不违反法律法规和基金合同的相关要求下，申购（含定期定额申购业务）费率不设折扣限制(执行固定申购费用的除外)，具体折扣费率以南京证券</w:t>
      </w:r>
      <w:r>
        <w:rPr>
          <w:rFonts w:asciiTheme="minorEastAsia" w:eastAsiaTheme="minorEastAsia" w:hAnsiTheme="minorEastAsia" w:cs="宋体" w:hint="eastAsia"/>
          <w:kern w:val="0"/>
          <w:sz w:val="24"/>
          <w:szCs w:val="24"/>
        </w:rPr>
        <w:t>的</w:t>
      </w:r>
      <w:r>
        <w:rPr>
          <w:rFonts w:asciiTheme="minorEastAsia" w:eastAsiaTheme="minorEastAsia" w:hAnsiTheme="minorEastAsia" w:hint="eastAsia"/>
          <w:sz w:val="24"/>
          <w:szCs w:val="24"/>
        </w:rPr>
        <w:t>活动为准。</w:t>
      </w:r>
      <w:r>
        <w:rPr>
          <w:rFonts w:asciiTheme="minorEastAsia" w:eastAsiaTheme="minorEastAsia" w:hAnsiTheme="minorEastAsia"/>
          <w:sz w:val="24"/>
          <w:szCs w:val="24"/>
        </w:rPr>
        <w:t>基金</w:t>
      </w:r>
      <w:r>
        <w:rPr>
          <w:rFonts w:asciiTheme="minorEastAsia" w:eastAsiaTheme="minorEastAsia" w:hAnsiTheme="minorEastAsia" w:hint="eastAsia"/>
          <w:sz w:val="24"/>
          <w:szCs w:val="24"/>
        </w:rPr>
        <w:t>原</w:t>
      </w:r>
      <w:r>
        <w:rPr>
          <w:rFonts w:asciiTheme="minorEastAsia" w:eastAsiaTheme="minorEastAsia" w:hAnsiTheme="minorEastAsia"/>
          <w:sz w:val="24"/>
          <w:szCs w:val="24"/>
        </w:rPr>
        <w:t>费率请详见基金合同、招募说明书</w:t>
      </w:r>
      <w:r>
        <w:rPr>
          <w:rFonts w:asciiTheme="minorEastAsia" w:eastAsiaTheme="minorEastAsia" w:hAnsiTheme="minorEastAsia" w:hint="eastAsia"/>
          <w:sz w:val="24"/>
          <w:szCs w:val="24"/>
        </w:rPr>
        <w:t>（</w:t>
      </w:r>
      <w:r>
        <w:rPr>
          <w:rFonts w:asciiTheme="minorEastAsia" w:eastAsiaTheme="minorEastAsia" w:hAnsiTheme="minorEastAsia"/>
          <w:sz w:val="24"/>
          <w:szCs w:val="24"/>
        </w:rPr>
        <w:t>更新</w:t>
      </w:r>
      <w:r>
        <w:rPr>
          <w:rFonts w:asciiTheme="minorEastAsia" w:eastAsiaTheme="minorEastAsia" w:hAnsiTheme="minorEastAsia" w:hint="eastAsia"/>
          <w:sz w:val="24"/>
          <w:szCs w:val="24"/>
        </w:rPr>
        <w:t>）</w:t>
      </w:r>
      <w:r>
        <w:rPr>
          <w:rFonts w:asciiTheme="minorEastAsia" w:eastAsiaTheme="minorEastAsia" w:hAnsiTheme="minorEastAsia"/>
          <w:sz w:val="24"/>
          <w:szCs w:val="24"/>
        </w:rPr>
        <w:t>等法律文件，以及本公司发布的最新业务公告。</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费率优惠期限内，如本公司新增通过南京证券销售的基金产品，其申购业务将同时享有上述费率优惠,本公司不再另行公告。</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2、费率</w:t>
      </w:r>
      <w:r>
        <w:rPr>
          <w:rFonts w:asciiTheme="minorEastAsia" w:eastAsiaTheme="minorEastAsia" w:hAnsiTheme="minorEastAsia"/>
          <w:sz w:val="24"/>
          <w:szCs w:val="24"/>
        </w:rPr>
        <w:t xml:space="preserve">优惠期限 </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以南京证券官方网站所示公告为准。</w:t>
      </w:r>
    </w:p>
    <w:p w:rsidR="005A31D5" w:rsidRDefault="006422B9">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五、重要提示</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w:t>
      </w:r>
      <w:r>
        <w:rPr>
          <w:rFonts w:asciiTheme="minorEastAsia" w:eastAsiaTheme="minorEastAsia" w:hAnsiTheme="minorEastAsia" w:hint="eastAsia"/>
          <w:sz w:val="24"/>
          <w:szCs w:val="24"/>
        </w:rPr>
        <w:t>投资者欲了解基金的详细信息，请仔细阅读上述开放式基金的基金合同、招募说明书、基金产品资料概要及相关法律文件。</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本</w:t>
      </w:r>
      <w:r>
        <w:rPr>
          <w:rFonts w:asciiTheme="minorEastAsia" w:eastAsiaTheme="minorEastAsia" w:hAnsiTheme="minorEastAsia" w:hint="eastAsia"/>
          <w:sz w:val="24"/>
          <w:szCs w:val="24"/>
        </w:rPr>
        <w:t>次费率</w:t>
      </w:r>
      <w:r>
        <w:rPr>
          <w:rFonts w:asciiTheme="minorEastAsia" w:eastAsiaTheme="minorEastAsia" w:hAnsiTheme="minorEastAsia"/>
          <w:sz w:val="24"/>
          <w:szCs w:val="24"/>
        </w:rPr>
        <w:t>优惠活动仅适用于</w:t>
      </w:r>
      <w:r>
        <w:rPr>
          <w:rFonts w:asciiTheme="minorEastAsia" w:eastAsiaTheme="minorEastAsia" w:hAnsiTheme="minorEastAsia" w:hint="eastAsia"/>
          <w:sz w:val="24"/>
          <w:szCs w:val="24"/>
        </w:rPr>
        <w:t>本公司在南京证券</w:t>
      </w:r>
      <w:r>
        <w:rPr>
          <w:rFonts w:asciiTheme="minorEastAsia" w:eastAsiaTheme="minorEastAsia" w:hAnsiTheme="minorEastAsia"/>
          <w:sz w:val="24"/>
          <w:szCs w:val="24"/>
        </w:rPr>
        <w:t>处于正常申购期的基金产品的前端收费模式。</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w:t>
      </w:r>
      <w:r>
        <w:rPr>
          <w:rFonts w:asciiTheme="minorEastAsia" w:eastAsiaTheme="minorEastAsia" w:hAnsiTheme="minorEastAsia" w:hint="eastAsia"/>
          <w:sz w:val="24"/>
          <w:szCs w:val="24"/>
        </w:rPr>
        <w:t>本优惠活动仅适用于本公司产品在南京证券申购业务的手续费（含定期定额申购业务手续费），不包括基金赎回等其他业务的手续费。</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4、基金定投费率优惠活动参与基金产品需已在南京证券开通了基金定投业务。</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费率优惠活动解释权</w:t>
      </w:r>
      <w:r>
        <w:rPr>
          <w:rFonts w:asciiTheme="minorEastAsia" w:eastAsiaTheme="minorEastAsia" w:hAnsiTheme="minorEastAsia" w:hint="eastAsia"/>
          <w:sz w:val="24"/>
          <w:szCs w:val="24"/>
        </w:rPr>
        <w:t>归南京证券</w:t>
      </w:r>
      <w:r>
        <w:rPr>
          <w:rFonts w:asciiTheme="minorEastAsia" w:eastAsiaTheme="minorEastAsia" w:hAnsiTheme="minorEastAsia"/>
          <w:sz w:val="24"/>
          <w:szCs w:val="24"/>
        </w:rPr>
        <w:t>所有，有关优惠活动的具体规定如有变化，敬请投资者留意</w:t>
      </w:r>
      <w:r>
        <w:rPr>
          <w:rFonts w:asciiTheme="minorEastAsia" w:eastAsiaTheme="minorEastAsia" w:hAnsiTheme="minorEastAsia" w:hint="eastAsia"/>
          <w:sz w:val="24"/>
          <w:szCs w:val="24"/>
        </w:rPr>
        <w:t>前述销售机构</w:t>
      </w:r>
      <w:r>
        <w:rPr>
          <w:rFonts w:asciiTheme="minorEastAsia" w:eastAsiaTheme="minorEastAsia" w:hAnsiTheme="minorEastAsia"/>
          <w:sz w:val="24"/>
          <w:szCs w:val="24"/>
        </w:rPr>
        <w:t>的有关公告。</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6、海富通瑞祥一年定期开放债券型证券投资基金、海富通融丰定期开放债券型发起式证券投资基金、海富通恒丰定期开放债券型发起式证券投资基金、海富通弘丰定期开放债券型发起式证券投资基金、海富通鼎丰定期开放债券型发起式证券投资基金、海富通裕昇三年定期开放债券型证券投资基金、海富通裕通30个月定期开放债券型证券投资基金、海富通瑞弘6个月定期开放债券型证券投资基金、海富通惠增多策略一年定期开放灵活配置混合型证券投资基金、海富通瑞兴3个月定期开放债券型证券投资基金、海富通恒益金融债一年定期开放债券型发起式证券投资基金</w:t>
      </w:r>
      <w:r>
        <w:rPr>
          <w:rFonts w:asciiTheme="minorEastAsia" w:eastAsiaTheme="minorEastAsia" w:hAnsiTheme="minorEastAsia"/>
          <w:sz w:val="24"/>
          <w:szCs w:val="24"/>
        </w:rPr>
        <w:t>的开放申购赎回安排请见本公司最新业务公告。</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7、特别提示投资人关注上述基金产品的基金合同、招募说明书等法律文件及基金管理人的风险提示。</w:t>
      </w:r>
    </w:p>
    <w:p w:rsidR="005A31D5" w:rsidRDefault="006422B9">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六、投资者可通过以下途径咨询有关详情：</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、南京证券股份有限公司</w:t>
      </w:r>
    </w:p>
    <w:p w:rsidR="005A31D5" w:rsidRDefault="006422B9">
      <w:pPr>
        <w:spacing w:line="480" w:lineRule="auto"/>
        <w:ind w:firstLine="420"/>
        <w:rPr>
          <w:rFonts w:ascii="宋体" w:hAnsi="宋体"/>
          <w:sz w:val="24"/>
          <w:szCs w:val="24"/>
        </w:rPr>
      </w:pPr>
      <w:r>
        <w:rPr>
          <w:rFonts w:asciiTheme="minorEastAsia" w:eastAsiaTheme="minorEastAsia" w:hAnsiTheme="minorEastAsia" w:hint="eastAsia"/>
          <w:sz w:val="24"/>
          <w:szCs w:val="24"/>
        </w:rPr>
        <w:t>网站：</w:t>
      </w:r>
      <w:r>
        <w:rPr>
          <w:rFonts w:asciiTheme="minorEastAsia" w:eastAsiaTheme="minorEastAsia" w:hAnsiTheme="minorEastAsia"/>
          <w:sz w:val="24"/>
          <w:szCs w:val="24"/>
        </w:rPr>
        <w:t>www.njzq.com.cn</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客户服务电话：95386</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、海富通基金管理有限公司</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网站：</w:t>
      </w:r>
      <w:r>
        <w:rPr>
          <w:rFonts w:asciiTheme="minorEastAsia" w:eastAsiaTheme="minorEastAsia" w:hAnsiTheme="minorEastAsia"/>
          <w:sz w:val="24"/>
          <w:szCs w:val="24"/>
        </w:rPr>
        <w:t>www.hftfund.com</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客户服务电话：</w:t>
      </w:r>
      <w:r>
        <w:rPr>
          <w:rFonts w:asciiTheme="minorEastAsia" w:eastAsiaTheme="minorEastAsia" w:hAnsiTheme="minorEastAsia"/>
          <w:sz w:val="24"/>
          <w:szCs w:val="24"/>
        </w:rPr>
        <w:t>40088-40099</w:t>
      </w:r>
      <w:r>
        <w:rPr>
          <w:rFonts w:asciiTheme="minorEastAsia" w:eastAsiaTheme="minorEastAsia" w:hAnsiTheme="minorEastAsia" w:hint="eastAsia"/>
          <w:sz w:val="24"/>
          <w:szCs w:val="24"/>
        </w:rPr>
        <w:t>（免长途话费）</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官方微信服务号：</w:t>
      </w:r>
      <w:r>
        <w:rPr>
          <w:rFonts w:asciiTheme="minorEastAsia" w:eastAsiaTheme="minorEastAsia" w:hAnsiTheme="minorEastAsia"/>
          <w:sz w:val="24"/>
          <w:szCs w:val="24"/>
        </w:rPr>
        <w:t>fund_hft</w:t>
      </w: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本公告的解释权归海富通基金管理有限公司。</w:t>
      </w:r>
    </w:p>
    <w:p w:rsidR="005A31D5" w:rsidRDefault="005A31D5">
      <w:pPr>
        <w:spacing w:line="480" w:lineRule="auto"/>
        <w:ind w:firstLine="420"/>
        <w:rPr>
          <w:rFonts w:asciiTheme="minorEastAsia" w:eastAsiaTheme="minorEastAsia" w:hAnsiTheme="minorEastAsia"/>
          <w:sz w:val="24"/>
          <w:szCs w:val="24"/>
        </w:rPr>
      </w:pPr>
    </w:p>
    <w:p w:rsidR="005A31D5" w:rsidRDefault="005A31D5">
      <w:pPr>
        <w:spacing w:line="480" w:lineRule="auto"/>
        <w:ind w:firstLine="420"/>
        <w:rPr>
          <w:rFonts w:asciiTheme="minorEastAsia" w:eastAsiaTheme="minorEastAsia" w:hAnsiTheme="minorEastAsia"/>
          <w:sz w:val="24"/>
          <w:szCs w:val="24"/>
        </w:rPr>
      </w:pP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风险提示：本公司承诺以诚实信用、勤勉尽责的原则管理和运用基金资产，但不保证基金一定盈利，也不保证最低收益。敬请投资者注意投资风险。投资者投资基金前应认真阅读该基金的基金合同和招募说明书等法律文件。</w:t>
      </w:r>
    </w:p>
    <w:p w:rsidR="005A31D5" w:rsidRDefault="005A31D5">
      <w:pPr>
        <w:spacing w:line="480" w:lineRule="auto"/>
        <w:ind w:firstLine="420"/>
        <w:rPr>
          <w:rFonts w:asciiTheme="minorEastAsia" w:eastAsiaTheme="minorEastAsia" w:hAnsiTheme="minorEastAsia"/>
          <w:sz w:val="24"/>
          <w:szCs w:val="24"/>
        </w:rPr>
      </w:pPr>
    </w:p>
    <w:p w:rsidR="005A31D5" w:rsidRDefault="006422B9">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特此公告。</w:t>
      </w:r>
    </w:p>
    <w:p w:rsidR="005A31D5" w:rsidRDefault="005A31D5">
      <w:pPr>
        <w:spacing w:line="480" w:lineRule="auto"/>
        <w:ind w:firstLine="420"/>
        <w:rPr>
          <w:rFonts w:asciiTheme="minorEastAsia" w:eastAsiaTheme="minorEastAsia" w:hAnsiTheme="minorEastAsia"/>
          <w:sz w:val="24"/>
          <w:szCs w:val="24"/>
        </w:rPr>
      </w:pPr>
    </w:p>
    <w:p w:rsidR="0093691C" w:rsidRDefault="0093691C">
      <w:pPr>
        <w:spacing w:line="480" w:lineRule="auto"/>
        <w:ind w:firstLine="420"/>
        <w:rPr>
          <w:rFonts w:asciiTheme="minorEastAsia" w:eastAsiaTheme="minorEastAsia" w:hAnsiTheme="minorEastAsia"/>
          <w:sz w:val="24"/>
          <w:szCs w:val="24"/>
        </w:rPr>
      </w:pPr>
      <w:bookmarkStart w:id="0" w:name="_GoBack"/>
      <w:bookmarkEnd w:id="0"/>
    </w:p>
    <w:p w:rsidR="0093691C" w:rsidRDefault="006422B9" w:rsidP="0093691C">
      <w:pPr>
        <w:widowControl/>
        <w:spacing w:line="480" w:lineRule="auto"/>
        <w:ind w:firstLine="960"/>
        <w:jc w:val="righ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海</w:t>
      </w:r>
      <w:r>
        <w:rPr>
          <w:rFonts w:asciiTheme="minorEastAsia" w:eastAsiaTheme="minorEastAsia" w:hAnsiTheme="minorEastAsia"/>
          <w:sz w:val="24"/>
          <w:szCs w:val="24"/>
        </w:rPr>
        <w:t>富通基金管理有限公</w:t>
      </w:r>
      <w:r>
        <w:rPr>
          <w:rFonts w:asciiTheme="minorEastAsia" w:eastAsiaTheme="minorEastAsia" w:hAnsiTheme="minorEastAsia" w:cs="宋体"/>
          <w:kern w:val="0"/>
          <w:sz w:val="24"/>
          <w:szCs w:val="24"/>
        </w:rPr>
        <w:t>司</w:t>
      </w:r>
    </w:p>
    <w:p w:rsidR="005A31D5" w:rsidRDefault="006422B9" w:rsidP="0093691C">
      <w:pPr>
        <w:widowControl/>
        <w:spacing w:line="480" w:lineRule="auto"/>
        <w:ind w:firstLine="960"/>
        <w:jc w:val="right"/>
        <w:rPr>
          <w:rFonts w:asciiTheme="minorEastAsia" w:eastAsiaTheme="minorEastAsia" w:hAnsiTheme="minorEastAsia"/>
          <w:sz w:val="24"/>
          <w:szCs w:val="24"/>
        </w:rPr>
      </w:pPr>
      <w:r>
        <w:rPr>
          <w:rFonts w:asciiTheme="minorEastAsia" w:eastAsiaTheme="minorEastAsia" w:hAnsiTheme="minorEastAsia" w:cs="宋体"/>
          <w:kern w:val="0"/>
          <w:sz w:val="24"/>
          <w:szCs w:val="24"/>
        </w:rPr>
        <w:t>    20</w:t>
      </w:r>
      <w:r>
        <w:rPr>
          <w:rFonts w:asciiTheme="minorEastAsia" w:eastAsiaTheme="minorEastAsia" w:hAnsiTheme="minorEastAsia" w:cs="宋体" w:hint="eastAsia"/>
          <w:kern w:val="0"/>
          <w:sz w:val="24"/>
          <w:szCs w:val="24"/>
        </w:rPr>
        <w:t>2</w:t>
      </w:r>
      <w:r>
        <w:rPr>
          <w:rFonts w:asciiTheme="minorEastAsia" w:eastAsiaTheme="minorEastAsia" w:hAnsiTheme="minorEastAsia" w:cs="宋体"/>
          <w:kern w:val="0"/>
          <w:sz w:val="24"/>
          <w:szCs w:val="24"/>
        </w:rPr>
        <w:t>3年4月</w:t>
      </w:r>
      <w:r>
        <w:rPr>
          <w:rFonts w:asciiTheme="minorEastAsia" w:eastAsiaTheme="minorEastAsia" w:hAnsiTheme="minorEastAsia" w:cs="宋体" w:hint="eastAsia"/>
          <w:kern w:val="0"/>
          <w:sz w:val="24"/>
          <w:szCs w:val="24"/>
        </w:rPr>
        <w:t>25</w:t>
      </w:r>
      <w:r>
        <w:rPr>
          <w:rFonts w:asciiTheme="minorEastAsia" w:eastAsiaTheme="minorEastAsia" w:hAnsiTheme="minorEastAsia" w:cs="宋体"/>
          <w:kern w:val="0"/>
          <w:sz w:val="24"/>
          <w:szCs w:val="24"/>
        </w:rPr>
        <w:t xml:space="preserve">日 </w:t>
      </w:r>
    </w:p>
    <w:p w:rsidR="005A31D5" w:rsidRDefault="005A31D5">
      <w:pPr>
        <w:spacing w:line="480" w:lineRule="auto"/>
        <w:rPr>
          <w:rFonts w:asciiTheme="minorEastAsia" w:eastAsiaTheme="minorEastAsia" w:hAnsiTheme="minorEastAsia"/>
          <w:sz w:val="24"/>
          <w:szCs w:val="24"/>
        </w:rPr>
      </w:pPr>
    </w:p>
    <w:sectPr w:rsidR="005A31D5" w:rsidSect="00881E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multilevel"/>
    <w:tmpl w:val="222D430A"/>
    <w:lvl w:ilvl="0">
      <w:start w:val="1"/>
      <w:numFmt w:val="japaneseCounting"/>
      <w:lvlText w:val="%1、"/>
      <w:lvlJc w:val="left"/>
      <w:pPr>
        <w:ind w:left="800" w:hanging="3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86218"/>
    <w:rsid w:val="000219BD"/>
    <w:rsid w:val="000317F6"/>
    <w:rsid w:val="00040F40"/>
    <w:rsid w:val="000A377F"/>
    <w:rsid w:val="000E202F"/>
    <w:rsid w:val="000F406E"/>
    <w:rsid w:val="001901F0"/>
    <w:rsid w:val="001D15E6"/>
    <w:rsid w:val="00274A7C"/>
    <w:rsid w:val="00280CB2"/>
    <w:rsid w:val="002A6A61"/>
    <w:rsid w:val="002B1F54"/>
    <w:rsid w:val="002C1797"/>
    <w:rsid w:val="00316576"/>
    <w:rsid w:val="00317B96"/>
    <w:rsid w:val="00327B91"/>
    <w:rsid w:val="003614B1"/>
    <w:rsid w:val="00361BF3"/>
    <w:rsid w:val="0036777F"/>
    <w:rsid w:val="00395664"/>
    <w:rsid w:val="003B5C3D"/>
    <w:rsid w:val="004327A5"/>
    <w:rsid w:val="00444C2A"/>
    <w:rsid w:val="00445C82"/>
    <w:rsid w:val="00456236"/>
    <w:rsid w:val="00485A5C"/>
    <w:rsid w:val="00492E37"/>
    <w:rsid w:val="00496DAC"/>
    <w:rsid w:val="004D508D"/>
    <w:rsid w:val="005566F6"/>
    <w:rsid w:val="005750D4"/>
    <w:rsid w:val="00582957"/>
    <w:rsid w:val="005A31D5"/>
    <w:rsid w:val="005C4CDA"/>
    <w:rsid w:val="005E38E5"/>
    <w:rsid w:val="0061763F"/>
    <w:rsid w:val="006422B9"/>
    <w:rsid w:val="0064500F"/>
    <w:rsid w:val="006A3ADA"/>
    <w:rsid w:val="00764D24"/>
    <w:rsid w:val="007A65BB"/>
    <w:rsid w:val="0080724A"/>
    <w:rsid w:val="00817507"/>
    <w:rsid w:val="00876336"/>
    <w:rsid w:val="00881E68"/>
    <w:rsid w:val="00892CAB"/>
    <w:rsid w:val="008B4112"/>
    <w:rsid w:val="009144FB"/>
    <w:rsid w:val="0093691C"/>
    <w:rsid w:val="00953FBE"/>
    <w:rsid w:val="009858DA"/>
    <w:rsid w:val="00A518C1"/>
    <w:rsid w:val="00A81078"/>
    <w:rsid w:val="00A81F45"/>
    <w:rsid w:val="00A86218"/>
    <w:rsid w:val="00B40011"/>
    <w:rsid w:val="00B66234"/>
    <w:rsid w:val="00BC3BDB"/>
    <w:rsid w:val="00BE65CE"/>
    <w:rsid w:val="00BF1D9B"/>
    <w:rsid w:val="00C03DD3"/>
    <w:rsid w:val="00C0685A"/>
    <w:rsid w:val="00C20C2C"/>
    <w:rsid w:val="00C42CE9"/>
    <w:rsid w:val="00C55191"/>
    <w:rsid w:val="00C60CC2"/>
    <w:rsid w:val="00C84E2B"/>
    <w:rsid w:val="00CB421B"/>
    <w:rsid w:val="00CB5CC4"/>
    <w:rsid w:val="00CF2069"/>
    <w:rsid w:val="00D15080"/>
    <w:rsid w:val="00D27D5C"/>
    <w:rsid w:val="00D42D00"/>
    <w:rsid w:val="00D87E47"/>
    <w:rsid w:val="00E33E69"/>
    <w:rsid w:val="00E81E3F"/>
    <w:rsid w:val="00E91B12"/>
    <w:rsid w:val="00EF337C"/>
    <w:rsid w:val="00EF623B"/>
    <w:rsid w:val="00FE6D77"/>
    <w:rsid w:val="09234FBC"/>
    <w:rsid w:val="36F877B0"/>
    <w:rsid w:val="60AB5478"/>
    <w:rsid w:val="64BC50A8"/>
    <w:rsid w:val="74DF14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68"/>
    <w:pPr>
      <w:widowControl w:val="0"/>
      <w:jc w:val="both"/>
    </w:pPr>
    <w:rPr>
      <w:rFonts w:ascii="Calibri" w:hAnsi="Calibri"/>
      <w:kern w:val="2"/>
      <w:sz w:val="21"/>
      <w:szCs w:val="22"/>
    </w:rPr>
  </w:style>
  <w:style w:type="paragraph" w:styleId="1">
    <w:name w:val="heading 1"/>
    <w:basedOn w:val="a"/>
    <w:next w:val="a"/>
    <w:link w:val="1Char"/>
    <w:uiPriority w:val="9"/>
    <w:qFormat/>
    <w:rsid w:val="00881E6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1E68"/>
    <w:rPr>
      <w:sz w:val="18"/>
      <w:szCs w:val="18"/>
    </w:rPr>
  </w:style>
  <w:style w:type="paragraph" w:styleId="a4">
    <w:name w:val="footer"/>
    <w:basedOn w:val="a"/>
    <w:link w:val="Char0"/>
    <w:uiPriority w:val="99"/>
    <w:unhideWhenUsed/>
    <w:qFormat/>
    <w:rsid w:val="00881E68"/>
    <w:pPr>
      <w:tabs>
        <w:tab w:val="center" w:pos="4153"/>
        <w:tab w:val="right" w:pos="8306"/>
      </w:tabs>
      <w:snapToGrid w:val="0"/>
      <w:jc w:val="left"/>
    </w:pPr>
    <w:rPr>
      <w:sz w:val="18"/>
      <w:szCs w:val="18"/>
    </w:rPr>
  </w:style>
  <w:style w:type="paragraph" w:styleId="a5">
    <w:name w:val="header"/>
    <w:basedOn w:val="a"/>
    <w:link w:val="Char1"/>
    <w:uiPriority w:val="99"/>
    <w:unhideWhenUsed/>
    <w:rsid w:val="00881E6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81E68"/>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rsid w:val="00881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81E68"/>
    <w:rPr>
      <w:color w:val="0563C1" w:themeColor="hyperlink"/>
      <w:u w:val="single"/>
    </w:rPr>
  </w:style>
  <w:style w:type="character" w:styleId="a9">
    <w:name w:val="Placeholder Text"/>
    <w:basedOn w:val="a0"/>
    <w:uiPriority w:val="99"/>
    <w:semiHidden/>
    <w:qFormat/>
    <w:rsid w:val="00881E68"/>
    <w:rPr>
      <w:color w:val="808080"/>
    </w:rPr>
  </w:style>
  <w:style w:type="character" w:customStyle="1" w:styleId="1Char">
    <w:name w:val="标题 1 Char"/>
    <w:basedOn w:val="a0"/>
    <w:link w:val="1"/>
    <w:uiPriority w:val="9"/>
    <w:qFormat/>
    <w:rsid w:val="00881E68"/>
    <w:rPr>
      <w:rFonts w:ascii="宋体" w:eastAsia="宋体" w:hAnsi="宋体" w:cs="宋体"/>
      <w:b/>
      <w:bCs/>
      <w:kern w:val="36"/>
      <w:sz w:val="48"/>
      <w:szCs w:val="48"/>
    </w:rPr>
  </w:style>
  <w:style w:type="character" w:customStyle="1" w:styleId="Char1">
    <w:name w:val="页眉 Char"/>
    <w:basedOn w:val="a0"/>
    <w:link w:val="a5"/>
    <w:uiPriority w:val="99"/>
    <w:rsid w:val="00881E68"/>
    <w:rPr>
      <w:rFonts w:ascii="Calibri" w:eastAsia="宋体" w:hAnsi="Calibri" w:cs="Times New Roman"/>
      <w:sz w:val="18"/>
      <w:szCs w:val="18"/>
    </w:rPr>
  </w:style>
  <w:style w:type="character" w:customStyle="1" w:styleId="Char0">
    <w:name w:val="页脚 Char"/>
    <w:basedOn w:val="a0"/>
    <w:link w:val="a4"/>
    <w:uiPriority w:val="99"/>
    <w:rsid w:val="00881E68"/>
    <w:rPr>
      <w:rFonts w:ascii="Calibri" w:eastAsia="宋体" w:hAnsi="Calibri" w:cs="Times New Roman"/>
      <w:sz w:val="18"/>
      <w:szCs w:val="18"/>
    </w:rPr>
  </w:style>
  <w:style w:type="character" w:customStyle="1" w:styleId="Char">
    <w:name w:val="批注框文本 Char"/>
    <w:basedOn w:val="a0"/>
    <w:link w:val="a3"/>
    <w:uiPriority w:val="99"/>
    <w:semiHidden/>
    <w:qFormat/>
    <w:rsid w:val="00881E68"/>
    <w:rPr>
      <w:rFonts w:ascii="Calibri" w:eastAsia="宋体" w:hAnsi="Calibri" w:cs="Times New Roman"/>
      <w:sz w:val="18"/>
      <w:szCs w:val="18"/>
    </w:rPr>
  </w:style>
  <w:style w:type="paragraph" w:styleId="aa">
    <w:name w:val="List Paragraph"/>
    <w:basedOn w:val="a"/>
    <w:uiPriority w:val="34"/>
    <w:qFormat/>
    <w:rsid w:val="00881E68"/>
    <w:pPr>
      <w:ind w:firstLineChars="200" w:firstLine="420"/>
    </w:pPr>
  </w:style>
  <w:style w:type="table" w:customStyle="1" w:styleId="10">
    <w:name w:val="网格型1"/>
    <w:basedOn w:val="a1"/>
    <w:uiPriority w:val="39"/>
    <w:qFormat/>
    <w:rsid w:val="00881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Pr>
      <w:color w:val="0563C1" w:themeColor="hyperlink"/>
      <w:u w:val="single"/>
    </w:rPr>
  </w:style>
  <w:style w:type="character" w:styleId="a9">
    <w:name w:val="Placeholder Text"/>
    <w:basedOn w:val="a0"/>
    <w:uiPriority w:val="99"/>
    <w:semiHidden/>
    <w:qFormat/>
    <w:rPr>
      <w:color w:val="808080"/>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styleId="aa">
    <w:name w:val="List Paragraph"/>
    <w:basedOn w:val="a"/>
    <w:uiPriority w:val="34"/>
    <w:qFormat/>
    <w:pPr>
      <w:ind w:firstLineChars="200" w:firstLine="420"/>
    </w:pPr>
  </w:style>
  <w:style w:type="table" w:customStyle="1" w:styleId="10">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2124</Characters>
  <Application>Microsoft Office Word</Application>
  <DocSecurity>4</DocSecurity>
  <Lines>17</Lines>
  <Paragraphs>4</Paragraphs>
  <ScaleCrop>false</ScaleCrop>
  <Company>Microsoft</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2023-04-24T16:03:00Z</dcterms:created>
  <dcterms:modified xsi:type="dcterms:W3CDTF">2023-04-24T16:03:00Z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EA1AA70BD0E6469C8963894D21C2FD3B</vt:lpwstr>
  </property>
</Properties>
</file>