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37A4F" w:rsidP="0024665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3C0022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3C0022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AB0499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EF2B9A" w:rsidRDefault="00B16987" w:rsidP="0024665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937D0F" w:rsidRDefault="00937D0F" w:rsidP="00937D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富荣富恒两年定期开放债券型证券投资基金</w:t>
      </w:r>
    </w:p>
    <w:p w:rsidR="00EA0C78" w:rsidRDefault="00EA0C78" w:rsidP="00EA0C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富荣福银混合型证券投资基金</w:t>
      </w:r>
    </w:p>
    <w:p w:rsidR="000A4829" w:rsidRDefault="000A4829" w:rsidP="000A482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A4829">
        <w:rPr>
          <w:rFonts w:ascii="仿宋" w:eastAsia="仿宋" w:hAnsi="仿宋" w:hint="eastAsia"/>
          <w:color w:val="000000" w:themeColor="text1"/>
          <w:sz w:val="32"/>
          <w:szCs w:val="32"/>
        </w:rPr>
        <w:t>富荣信息技术混合型证券投资基金</w:t>
      </w:r>
    </w:p>
    <w:p w:rsidR="0088419D" w:rsidRP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富荣福耀混合型证券投资基金</w:t>
      </w:r>
    </w:p>
    <w:p w:rsid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富荣中短债债券型证券投资基金</w:t>
      </w:r>
    </w:p>
    <w:p w:rsidR="00817983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t>富荣量化精选混合型发起式证券投资基金</w:t>
      </w:r>
    </w:p>
    <w:p w:rsidR="00817983" w:rsidRPr="0088419D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富荣医药健</w:t>
      </w:r>
      <w:bookmarkStart w:id="0" w:name="_GoBack"/>
      <w:bookmarkEnd w:id="0"/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t>康混合型发起式证券投资基金</w:t>
      </w:r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7691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C002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002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0A482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C002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002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05BE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4665A" w:rsidRPr="0024665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05BE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4665A" w:rsidRPr="0024665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829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5B40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665A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022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58C7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BEC"/>
    <w:rsid w:val="0080773A"/>
    <w:rsid w:val="0081788D"/>
    <w:rsid w:val="0081798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19D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049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691E"/>
    <w:rsid w:val="00E81A0A"/>
    <w:rsid w:val="00E964F7"/>
    <w:rsid w:val="00EA0C78"/>
    <w:rsid w:val="00EA3BA1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C857-CB41-48D4-8AD1-2767CDED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4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2023-04-23T16:00:00Z</dcterms:created>
  <dcterms:modified xsi:type="dcterms:W3CDTF">2023-04-23T16:00:00Z</dcterms:modified>
</cp:coreProperties>
</file>