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BA0BD2">
        <w:rPr>
          <w:rFonts w:hint="eastAsia"/>
          <w:b/>
          <w:sz w:val="24"/>
        </w:rPr>
        <w:t>旗下部分基金</w:t>
      </w:r>
      <w:r w:rsidRPr="00AA46C6">
        <w:rPr>
          <w:b/>
          <w:sz w:val="24"/>
        </w:rPr>
        <w:t>增加</w:t>
      </w:r>
      <w:r w:rsidR="00BD4BAE">
        <w:rPr>
          <w:rFonts w:hint="eastAsia"/>
          <w:b/>
          <w:sz w:val="24"/>
        </w:rPr>
        <w:t>东北证券</w:t>
      </w:r>
      <w:r w:rsidRPr="00AA46C6">
        <w:rPr>
          <w:b/>
          <w:sz w:val="24"/>
        </w:rPr>
        <w:t>为代销机构</w:t>
      </w:r>
      <w:r w:rsidRPr="00AA46C6">
        <w:rPr>
          <w:rFonts w:hint="eastAsia"/>
          <w:b/>
          <w:sz w:val="24"/>
        </w:rPr>
        <w:t>并开通定投、转换业务及参加基金费率优惠活动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BD4BAE">
        <w:rPr>
          <w:rFonts w:ascii="宋体" w:hAnsi="宋体"/>
          <w:szCs w:val="21"/>
        </w:rPr>
        <w:t>东北证券</w:t>
      </w:r>
      <w:r w:rsidR="00BA0BD2">
        <w:rPr>
          <w:rFonts w:ascii="宋体" w:hAnsi="宋体"/>
          <w:szCs w:val="21"/>
        </w:rPr>
        <w:t>股份有限公司</w:t>
      </w:r>
      <w:r w:rsidRPr="00AA46C6">
        <w:rPr>
          <w:rFonts w:ascii="宋体" w:hAnsi="宋体"/>
          <w:szCs w:val="21"/>
        </w:rPr>
        <w:t>（以下简称“</w:t>
      </w:r>
      <w:r w:rsidR="00BD4BAE">
        <w:rPr>
          <w:rFonts w:ascii="宋体" w:hAnsi="宋体" w:hint="eastAsia"/>
          <w:szCs w:val="21"/>
        </w:rPr>
        <w:t>东北证券</w:t>
      </w:r>
      <w:r w:rsidRPr="00AA46C6">
        <w:rPr>
          <w:rFonts w:ascii="宋体" w:hAnsi="宋体"/>
          <w:szCs w:val="21"/>
        </w:rPr>
        <w:t>”）签署的基金销售代理</w:t>
      </w:r>
      <w:r w:rsidRPr="00AA46C6">
        <w:rPr>
          <w:szCs w:val="21"/>
        </w:rPr>
        <w:t>协议，自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szCs w:val="21"/>
        </w:rPr>
        <w:t>起，</w:t>
      </w:r>
      <w:r w:rsidRPr="00AA46C6">
        <w:rPr>
          <w:rFonts w:ascii="宋体" w:hAnsi="宋体"/>
          <w:szCs w:val="21"/>
        </w:rPr>
        <w:t>本公司旗下部分基金增加</w:t>
      </w:r>
      <w:r w:rsidR="00BD4BAE">
        <w:rPr>
          <w:rFonts w:ascii="宋体" w:hAnsi="宋体" w:hint="eastAsia"/>
          <w:szCs w:val="21"/>
        </w:rPr>
        <w:t>东北证券</w:t>
      </w:r>
      <w:r w:rsidRPr="00AA46C6">
        <w:rPr>
          <w:rFonts w:ascii="宋体" w:hAnsi="宋体"/>
          <w:szCs w:val="21"/>
        </w:rPr>
        <w:t>为代销机构，适用基金具体如下：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724121" w:rsidTr="0013093F">
        <w:trPr>
          <w:tblHeader/>
          <w:jc w:val="center"/>
        </w:trPr>
        <w:tc>
          <w:tcPr>
            <w:tcW w:w="888" w:type="dxa"/>
          </w:tcPr>
          <w:p w:rsidR="00C24875" w:rsidRPr="00724121" w:rsidRDefault="00E66B35">
            <w:pPr>
              <w:jc w:val="center"/>
              <w:rPr>
                <w:b/>
                <w:szCs w:val="21"/>
              </w:rPr>
            </w:pPr>
            <w:r w:rsidRPr="00724121">
              <w:rPr>
                <w:b/>
                <w:szCs w:val="21"/>
              </w:rPr>
              <w:t>序号</w:t>
            </w:r>
          </w:p>
        </w:tc>
        <w:tc>
          <w:tcPr>
            <w:tcW w:w="4820" w:type="dxa"/>
          </w:tcPr>
          <w:p w:rsidR="00C24875" w:rsidRPr="00724121" w:rsidRDefault="00E66B35">
            <w:pPr>
              <w:jc w:val="center"/>
              <w:rPr>
                <w:b/>
                <w:szCs w:val="21"/>
              </w:rPr>
            </w:pPr>
            <w:r w:rsidRPr="00724121">
              <w:rPr>
                <w:b/>
                <w:szCs w:val="21"/>
              </w:rPr>
              <w:t>基金名称</w:t>
            </w:r>
          </w:p>
        </w:tc>
        <w:tc>
          <w:tcPr>
            <w:tcW w:w="1476" w:type="dxa"/>
          </w:tcPr>
          <w:p w:rsidR="00C24875" w:rsidRPr="00724121" w:rsidRDefault="00E66B35">
            <w:pPr>
              <w:jc w:val="center"/>
              <w:rPr>
                <w:b/>
                <w:szCs w:val="21"/>
              </w:rPr>
            </w:pPr>
            <w:r w:rsidRPr="00724121">
              <w:rPr>
                <w:b/>
                <w:szCs w:val="21"/>
              </w:rPr>
              <w:t>基金代码</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诺安创新驱动灵活配置混合型证券投资基金</w:t>
            </w:r>
            <w:r w:rsidRPr="00F11942">
              <w:rPr>
                <w:szCs w:val="21"/>
              </w:rPr>
              <w:t>C</w:t>
            </w:r>
          </w:p>
        </w:tc>
        <w:tc>
          <w:tcPr>
            <w:tcW w:w="1476" w:type="dxa"/>
            <w:vAlign w:val="center"/>
          </w:tcPr>
          <w:p w:rsidR="00724121" w:rsidRPr="00724121" w:rsidRDefault="00724121" w:rsidP="00724121">
            <w:pPr>
              <w:jc w:val="center"/>
              <w:rPr>
                <w:szCs w:val="21"/>
              </w:rPr>
            </w:pPr>
            <w:r w:rsidRPr="00F11942">
              <w:rPr>
                <w:szCs w:val="21"/>
              </w:rPr>
              <w:t>002051</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诺安积极回报灵活配置混合型证券投资基金</w:t>
            </w:r>
            <w:r w:rsidRPr="00F11942">
              <w:rPr>
                <w:szCs w:val="21"/>
              </w:rPr>
              <w:t>A</w:t>
            </w:r>
          </w:p>
        </w:tc>
        <w:tc>
          <w:tcPr>
            <w:tcW w:w="1476" w:type="dxa"/>
            <w:vAlign w:val="center"/>
          </w:tcPr>
          <w:p w:rsidR="00724121" w:rsidRPr="00724121" w:rsidRDefault="00724121" w:rsidP="00724121">
            <w:pPr>
              <w:jc w:val="center"/>
              <w:rPr>
                <w:color w:val="000000"/>
                <w:szCs w:val="21"/>
              </w:rPr>
            </w:pPr>
            <w:r w:rsidRPr="00F11942">
              <w:rPr>
                <w:szCs w:val="21"/>
              </w:rPr>
              <w:t>001706</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诺安优选回报灵活配置混合型证券投资基金</w:t>
            </w:r>
          </w:p>
        </w:tc>
        <w:tc>
          <w:tcPr>
            <w:tcW w:w="1476" w:type="dxa"/>
            <w:vAlign w:val="center"/>
          </w:tcPr>
          <w:p w:rsidR="00724121" w:rsidRPr="00724121" w:rsidRDefault="00724121" w:rsidP="00724121">
            <w:pPr>
              <w:jc w:val="center"/>
              <w:rPr>
                <w:color w:val="000000"/>
                <w:szCs w:val="21"/>
              </w:rPr>
            </w:pPr>
            <w:r w:rsidRPr="00F11942">
              <w:rPr>
                <w:szCs w:val="21"/>
              </w:rPr>
              <w:t>001743</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诺安进取回报灵活配置混合型证券投资基金</w:t>
            </w:r>
          </w:p>
        </w:tc>
        <w:tc>
          <w:tcPr>
            <w:tcW w:w="1476" w:type="dxa"/>
            <w:vAlign w:val="center"/>
          </w:tcPr>
          <w:p w:rsidR="00724121" w:rsidRPr="00724121" w:rsidRDefault="00724121" w:rsidP="00724121">
            <w:pPr>
              <w:jc w:val="center"/>
              <w:rPr>
                <w:color w:val="000000"/>
                <w:szCs w:val="21"/>
              </w:rPr>
            </w:pPr>
            <w:r w:rsidRPr="00F11942">
              <w:rPr>
                <w:szCs w:val="21"/>
              </w:rPr>
              <w:t>001744</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诺安优势行业灵活配置混合型证券投资基金</w:t>
            </w:r>
            <w:r w:rsidRPr="00F11942">
              <w:rPr>
                <w:szCs w:val="21"/>
              </w:rPr>
              <w:t>C</w:t>
            </w:r>
          </w:p>
        </w:tc>
        <w:tc>
          <w:tcPr>
            <w:tcW w:w="1476" w:type="dxa"/>
            <w:vAlign w:val="center"/>
          </w:tcPr>
          <w:p w:rsidR="00724121" w:rsidRPr="00724121" w:rsidRDefault="00724121" w:rsidP="00724121">
            <w:pPr>
              <w:jc w:val="center"/>
              <w:rPr>
                <w:color w:val="000000"/>
                <w:szCs w:val="21"/>
              </w:rPr>
            </w:pPr>
            <w:r w:rsidRPr="00F11942">
              <w:rPr>
                <w:szCs w:val="21"/>
              </w:rPr>
              <w:t>002053</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诺安精选回报灵活配置混合型证券投资基金</w:t>
            </w:r>
          </w:p>
        </w:tc>
        <w:tc>
          <w:tcPr>
            <w:tcW w:w="1476" w:type="dxa"/>
            <w:vAlign w:val="center"/>
          </w:tcPr>
          <w:p w:rsidR="00724121" w:rsidRPr="00724121" w:rsidRDefault="00724121" w:rsidP="00724121">
            <w:pPr>
              <w:jc w:val="center"/>
              <w:rPr>
                <w:color w:val="000000"/>
                <w:szCs w:val="21"/>
              </w:rPr>
            </w:pPr>
            <w:r w:rsidRPr="00F11942">
              <w:rPr>
                <w:szCs w:val="21"/>
              </w:rPr>
              <w:t>002067</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诺安先锋混合型证券投资基金</w:t>
            </w:r>
            <w:r w:rsidRPr="00F11942">
              <w:rPr>
                <w:szCs w:val="21"/>
              </w:rPr>
              <w:t>C</w:t>
            </w:r>
          </w:p>
        </w:tc>
        <w:tc>
          <w:tcPr>
            <w:tcW w:w="1476" w:type="dxa"/>
            <w:vAlign w:val="center"/>
          </w:tcPr>
          <w:p w:rsidR="00724121" w:rsidRPr="00724121" w:rsidRDefault="00724121" w:rsidP="00724121">
            <w:pPr>
              <w:jc w:val="center"/>
              <w:rPr>
                <w:color w:val="000000"/>
                <w:szCs w:val="21"/>
              </w:rPr>
            </w:pPr>
            <w:r w:rsidRPr="00F11942">
              <w:rPr>
                <w:szCs w:val="21"/>
              </w:rPr>
              <w:t>012621</w:t>
            </w:r>
          </w:p>
        </w:tc>
      </w:tr>
      <w:tr w:rsidR="00724121" w:rsidRPr="00724121" w:rsidTr="003B7A7A">
        <w:trPr>
          <w:jc w:val="center"/>
        </w:trPr>
        <w:tc>
          <w:tcPr>
            <w:tcW w:w="888" w:type="dxa"/>
          </w:tcPr>
          <w:p w:rsidR="00724121" w:rsidRPr="00724121" w:rsidRDefault="00724121" w:rsidP="00724121">
            <w:pPr>
              <w:pStyle w:val="1"/>
              <w:numPr>
                <w:ilvl w:val="0"/>
                <w:numId w:val="1"/>
              </w:numPr>
              <w:ind w:firstLineChars="0"/>
              <w:jc w:val="center"/>
              <w:rPr>
                <w:rFonts w:ascii="Times New Roman" w:hAnsi="Times New Roman"/>
                <w:szCs w:val="21"/>
              </w:rPr>
            </w:pPr>
          </w:p>
        </w:tc>
        <w:tc>
          <w:tcPr>
            <w:tcW w:w="4820" w:type="dxa"/>
            <w:vAlign w:val="center"/>
          </w:tcPr>
          <w:p w:rsidR="00724121" w:rsidRPr="00724121" w:rsidRDefault="00724121" w:rsidP="00724121">
            <w:pPr>
              <w:rPr>
                <w:szCs w:val="21"/>
              </w:rPr>
            </w:pPr>
            <w:r w:rsidRPr="00F11942">
              <w:rPr>
                <w:szCs w:val="21"/>
              </w:rPr>
              <w:t>诺安积极回报灵活配置混合型证券投资基金</w:t>
            </w:r>
            <w:r w:rsidRPr="00F11942">
              <w:rPr>
                <w:szCs w:val="21"/>
              </w:rPr>
              <w:t>C</w:t>
            </w:r>
          </w:p>
        </w:tc>
        <w:tc>
          <w:tcPr>
            <w:tcW w:w="1476" w:type="dxa"/>
            <w:vAlign w:val="center"/>
          </w:tcPr>
          <w:p w:rsidR="00724121" w:rsidRPr="00724121" w:rsidRDefault="00724121" w:rsidP="00724121">
            <w:pPr>
              <w:jc w:val="center"/>
              <w:rPr>
                <w:color w:val="000000"/>
                <w:szCs w:val="21"/>
              </w:rPr>
            </w:pPr>
            <w:r w:rsidRPr="00F11942">
              <w:rPr>
                <w:szCs w:val="21"/>
              </w:rPr>
              <w:t>012847</w:t>
            </w:r>
          </w:p>
        </w:tc>
      </w:tr>
    </w:tbl>
    <w:p w:rsidR="00C24875" w:rsidRPr="00AA46C6" w:rsidRDefault="00E66B35">
      <w:pPr>
        <w:ind w:firstLineChars="200" w:firstLine="420"/>
        <w:rPr>
          <w:szCs w:val="21"/>
        </w:rPr>
      </w:pPr>
      <w:r w:rsidRPr="00AA46C6">
        <w:rPr>
          <w:rFonts w:hint="eastAsia"/>
          <w:szCs w:val="21"/>
        </w:rPr>
        <w:t>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rFonts w:hint="eastAsia"/>
          <w:szCs w:val="21"/>
        </w:rPr>
        <w:t>起，投资者可在</w:t>
      </w:r>
      <w:r w:rsidR="00BD4BAE">
        <w:rPr>
          <w:rFonts w:ascii="宋体" w:hAnsi="宋体" w:hint="eastAsia"/>
          <w:szCs w:val="21"/>
        </w:rPr>
        <w:t>东北证券</w:t>
      </w:r>
      <w:r w:rsidRPr="00AA46C6">
        <w:rPr>
          <w:rFonts w:hint="eastAsia"/>
          <w:szCs w:val="21"/>
        </w:rPr>
        <w:t>办理上述基金的申购、赎回等业务，进行相关信息查询并享受相应的售后服务，具体办理程序及业务规则请遵循</w:t>
      </w:r>
      <w:r w:rsidR="00BD4BAE">
        <w:rPr>
          <w:rFonts w:ascii="宋体" w:hAnsi="宋体" w:hint="eastAsia"/>
          <w:szCs w:val="21"/>
        </w:rPr>
        <w:t>东北证券</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BD4BAE">
        <w:rPr>
          <w:rFonts w:ascii="宋体" w:hAnsi="宋体" w:hint="eastAsia"/>
          <w:szCs w:val="21"/>
        </w:rPr>
        <w:t>东北证券</w:t>
      </w:r>
      <w:r w:rsidRPr="00AA46C6">
        <w:rPr>
          <w:rFonts w:hint="eastAsia"/>
          <w:szCs w:val="21"/>
        </w:rPr>
        <w:t>开通</w:t>
      </w:r>
      <w:r w:rsidR="00086B6E" w:rsidRPr="00AA46C6">
        <w:rPr>
          <w:rFonts w:hint="eastAsia"/>
          <w:szCs w:val="21"/>
        </w:rPr>
        <w:t>上述</w:t>
      </w:r>
      <w:r w:rsidRPr="00AA46C6">
        <w:rPr>
          <w:rFonts w:hint="eastAsia"/>
          <w:szCs w:val="21"/>
        </w:rPr>
        <w:t>基金的定投、转换业务并参加</w:t>
      </w:r>
      <w:r w:rsidR="00BD4BAE">
        <w:rPr>
          <w:rFonts w:ascii="宋体" w:hAnsi="宋体" w:hint="eastAsia"/>
          <w:szCs w:val="21"/>
        </w:rPr>
        <w:t>东北证券</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rFonts w:hint="eastAsia"/>
          <w:szCs w:val="21"/>
        </w:rPr>
        <w:t>起，投资者可通过</w:t>
      </w:r>
      <w:r w:rsidR="00BD4BAE">
        <w:rPr>
          <w:rFonts w:ascii="宋体" w:hAnsi="宋体" w:hint="eastAsia"/>
          <w:szCs w:val="21"/>
        </w:rPr>
        <w:t>东北证券</w:t>
      </w:r>
      <w:r w:rsidRPr="00AA46C6">
        <w:rPr>
          <w:rFonts w:hint="eastAsia"/>
          <w:szCs w:val="21"/>
        </w:rPr>
        <w:t>办理上述基金的定投业务。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rFonts w:hint="eastAsia"/>
          <w:szCs w:val="21"/>
        </w:rPr>
        <w:t>起，投资者可通过</w:t>
      </w:r>
      <w:r w:rsidR="00BD4BAE">
        <w:rPr>
          <w:rFonts w:ascii="宋体" w:hAnsi="宋体" w:hint="eastAsia"/>
          <w:szCs w:val="21"/>
        </w:rPr>
        <w:t>东北证券</w:t>
      </w:r>
      <w:r w:rsidRPr="00AA46C6">
        <w:rPr>
          <w:rFonts w:hint="eastAsia"/>
          <w:szCs w:val="21"/>
        </w:rPr>
        <w:t>办理上述基金与本公司旗下在</w:t>
      </w:r>
      <w:r w:rsidR="00BD4BAE">
        <w:rPr>
          <w:rFonts w:ascii="宋体" w:hAnsi="宋体" w:hint="eastAsia"/>
          <w:szCs w:val="21"/>
        </w:rPr>
        <w:t>东北证券</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4257D6" w:rsidRPr="00AA46C6" w:rsidRDefault="004257D6">
      <w:pPr>
        <w:spacing w:line="276" w:lineRule="auto"/>
        <w:ind w:firstLineChars="202" w:firstLine="424"/>
        <w:rPr>
          <w:szCs w:val="21"/>
        </w:rPr>
      </w:pPr>
      <w:r w:rsidRPr="00AA46C6">
        <w:rPr>
          <w:rFonts w:hint="eastAsia"/>
          <w:szCs w:val="21"/>
        </w:rPr>
        <w:t>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rFonts w:hint="eastAsia"/>
          <w:szCs w:val="21"/>
        </w:rPr>
        <w:t>起，投资者通过</w:t>
      </w:r>
      <w:r w:rsidR="00BD4BAE">
        <w:rPr>
          <w:rFonts w:ascii="宋体" w:hAnsi="宋体" w:hint="eastAsia"/>
          <w:szCs w:val="21"/>
        </w:rPr>
        <w:t>东北证券</w:t>
      </w:r>
      <w:r w:rsidRPr="00AA46C6">
        <w:rPr>
          <w:rFonts w:hint="eastAsia"/>
          <w:szCs w:val="21"/>
        </w:rPr>
        <w:t>办理上述基金的申购及定投申购业务，享有的申购费费率优惠以</w:t>
      </w:r>
      <w:r w:rsidR="00BD4BAE">
        <w:rPr>
          <w:rFonts w:ascii="宋体" w:hAnsi="宋体" w:hint="eastAsia"/>
          <w:szCs w:val="21"/>
        </w:rPr>
        <w:t>东北证券</w:t>
      </w:r>
      <w:r w:rsidRPr="00AA46C6">
        <w:rPr>
          <w:rFonts w:hint="eastAsia"/>
          <w:szCs w:val="21"/>
        </w:rPr>
        <w:t>的规定为准。</w:t>
      </w:r>
    </w:p>
    <w:p w:rsidR="00C24875" w:rsidRPr="00AA46C6" w:rsidRDefault="00E66B35">
      <w:pPr>
        <w:spacing w:line="276" w:lineRule="auto"/>
        <w:ind w:firstLineChars="202" w:firstLine="424"/>
        <w:rPr>
          <w:szCs w:val="21"/>
        </w:rPr>
      </w:pPr>
      <w:r w:rsidRPr="00AA46C6">
        <w:rPr>
          <w:rFonts w:hint="eastAsia"/>
          <w:szCs w:val="21"/>
        </w:rPr>
        <w:t>自</w:t>
      </w:r>
      <w:r w:rsidR="00BD4BAE">
        <w:rPr>
          <w:szCs w:val="21"/>
        </w:rPr>
        <w:t>2023</w:t>
      </w:r>
      <w:r w:rsidR="00BD4BAE">
        <w:rPr>
          <w:szCs w:val="21"/>
        </w:rPr>
        <w:t>年</w:t>
      </w:r>
      <w:r w:rsidR="00BD4BAE">
        <w:rPr>
          <w:szCs w:val="21"/>
        </w:rPr>
        <w:t>4</w:t>
      </w:r>
      <w:r w:rsidR="00BD4BAE">
        <w:rPr>
          <w:szCs w:val="21"/>
        </w:rPr>
        <w:t>月</w:t>
      </w:r>
      <w:r w:rsidR="00BD4BAE">
        <w:rPr>
          <w:szCs w:val="21"/>
        </w:rPr>
        <w:t>13</w:t>
      </w:r>
      <w:r w:rsidR="00BD4BAE">
        <w:rPr>
          <w:szCs w:val="21"/>
        </w:rPr>
        <w:t>日</w:t>
      </w:r>
      <w:r w:rsidRPr="00AA46C6">
        <w:rPr>
          <w:rFonts w:hint="eastAsia"/>
          <w:szCs w:val="21"/>
        </w:rPr>
        <w:t>起，投资者通过</w:t>
      </w:r>
      <w:r w:rsidR="00BD4BAE">
        <w:rPr>
          <w:rFonts w:ascii="宋体" w:hAnsi="宋体" w:hint="eastAsia"/>
          <w:szCs w:val="21"/>
        </w:rPr>
        <w:t>东北证券</w:t>
      </w:r>
      <w:r w:rsidRPr="00AA46C6">
        <w:rPr>
          <w:rFonts w:hint="eastAsia"/>
          <w:szCs w:val="21"/>
        </w:rPr>
        <w:t>办理上述基金与本公司旗下可参与转换基金间的转换业务，享有的申购费补差费率优惠以</w:t>
      </w:r>
      <w:r w:rsidR="00BD4BAE">
        <w:rPr>
          <w:rFonts w:ascii="宋体" w:hAnsi="宋体" w:hint="eastAsia"/>
          <w:szCs w:val="21"/>
        </w:rPr>
        <w:t>东北证券</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基金费率标准详见基金的基金合同、招募说明书（更新）等法律文件，以及本公司发布的最新业务公告。</w:t>
      </w:r>
    </w:p>
    <w:p w:rsidR="00C24875" w:rsidRPr="00AA46C6"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BE7E1D" w:rsidRPr="00AA46C6">
        <w:rPr>
          <w:rFonts w:hint="eastAsia"/>
          <w:szCs w:val="21"/>
        </w:rPr>
        <w:t>基金在</w:t>
      </w:r>
      <w:r w:rsidR="00BD4BAE">
        <w:rPr>
          <w:rFonts w:hint="eastAsia"/>
        </w:rPr>
        <w:t>东北证券</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BD4BAE">
        <w:rPr>
          <w:rFonts w:hint="eastAsia"/>
        </w:rPr>
        <w:t>东北证券</w:t>
      </w:r>
      <w:r w:rsidRPr="00AA46C6">
        <w:rPr>
          <w:rFonts w:hint="eastAsia"/>
          <w:szCs w:val="21"/>
        </w:rPr>
        <w:t>规定为准。</w:t>
      </w:r>
    </w:p>
    <w:p w:rsidR="008D10B2" w:rsidRPr="00AA46C6" w:rsidRDefault="001C14B4" w:rsidP="001C14B4">
      <w:pPr>
        <w:ind w:firstLineChars="202" w:firstLine="424"/>
      </w:pPr>
      <w:r w:rsidRPr="00AA46C6">
        <w:rPr>
          <w:szCs w:val="21"/>
        </w:rPr>
        <w:t>2</w:t>
      </w:r>
      <w:r w:rsidR="00E66B35" w:rsidRPr="00AA46C6">
        <w:rPr>
          <w:rFonts w:hint="eastAsia"/>
          <w:szCs w:val="21"/>
        </w:rPr>
        <w:t>、同一基金不同基金份额之间不得相互转换。</w:t>
      </w:r>
    </w:p>
    <w:p w:rsidR="00E7768A" w:rsidRPr="00AA46C6" w:rsidRDefault="001C14B4" w:rsidP="00E7768A">
      <w:pPr>
        <w:ind w:firstLineChars="202" w:firstLine="424"/>
        <w:rPr>
          <w:szCs w:val="21"/>
        </w:rPr>
      </w:pPr>
      <w:bookmarkStart w:id="0" w:name="_Hlk86311349"/>
      <w:r w:rsidRPr="00AA46C6">
        <w:rPr>
          <w:szCs w:val="21"/>
        </w:rPr>
        <w:t>3</w:t>
      </w:r>
      <w:r w:rsidR="00E66B35" w:rsidRPr="00AA46C6">
        <w:rPr>
          <w:szCs w:val="21"/>
        </w:rPr>
        <w:t>、</w:t>
      </w:r>
      <w:bookmarkEnd w:id="0"/>
      <w:r w:rsidR="00E7768A" w:rsidRPr="00AA46C6">
        <w:rPr>
          <w:szCs w:val="21"/>
        </w:rPr>
        <w:t>投资者在</w:t>
      </w:r>
      <w:r w:rsidR="00BD4BAE">
        <w:rPr>
          <w:rFonts w:hint="eastAsia"/>
        </w:rPr>
        <w:t>东北证券</w:t>
      </w:r>
      <w:r w:rsidR="00E7768A" w:rsidRPr="00AA46C6">
        <w:rPr>
          <w:szCs w:val="21"/>
        </w:rPr>
        <w:t>办理相关业务应遵循</w:t>
      </w:r>
      <w:r w:rsidR="00BD4BAE">
        <w:rPr>
          <w:rFonts w:hint="eastAsia"/>
        </w:rPr>
        <w:t>东北证券</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BD4BAE">
        <w:rPr>
          <w:rFonts w:hint="eastAsia"/>
        </w:rPr>
        <w:t>东北证券</w:t>
      </w:r>
      <w:r w:rsidR="00E7768A" w:rsidRPr="00AA46C6">
        <w:rPr>
          <w:szCs w:val="21"/>
        </w:rPr>
        <w:t>的相关公告。</w:t>
      </w:r>
    </w:p>
    <w:p w:rsidR="00C24875" w:rsidRPr="00AA46C6" w:rsidRDefault="001C14B4">
      <w:pPr>
        <w:ind w:firstLineChars="202" w:firstLine="424"/>
        <w:rPr>
          <w:szCs w:val="21"/>
        </w:rPr>
      </w:pPr>
      <w:r w:rsidRPr="00AA46C6">
        <w:rPr>
          <w:szCs w:val="21"/>
        </w:rPr>
        <w:t>4</w:t>
      </w:r>
      <w:r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w:t>
      </w:r>
      <w:r w:rsidR="00E66B35" w:rsidRPr="00AA46C6">
        <w:rPr>
          <w:szCs w:val="21"/>
        </w:rPr>
        <w:lastRenderedPageBreak/>
        <w:t>资者基金投资的</w:t>
      </w:r>
      <w:r w:rsidR="00E66B35" w:rsidRPr="00AA46C6">
        <w:rPr>
          <w:szCs w:val="21"/>
        </w:rPr>
        <w:t>“</w:t>
      </w:r>
      <w:r w:rsidR="00E66B35" w:rsidRPr="00AA46C6">
        <w:rPr>
          <w:szCs w:val="21"/>
        </w:rPr>
        <w:t>买者自负</w:t>
      </w:r>
      <w:r w:rsidR="00E66B35" w:rsidRPr="00AA46C6">
        <w:rPr>
          <w:szCs w:val="21"/>
        </w:rPr>
        <w:t>”</w:t>
      </w:r>
      <w:r w:rsidR="00E66B35" w:rsidRPr="00AA46C6">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1C14B4" w:rsidP="00014690">
      <w:pPr>
        <w:ind w:firstLineChars="202" w:firstLine="424"/>
        <w:rPr>
          <w:szCs w:val="21"/>
        </w:rPr>
      </w:pPr>
      <w:r w:rsidRPr="00AA46C6">
        <w:rPr>
          <w:szCs w:val="21"/>
        </w:rPr>
        <w:t>5</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BD4BAE">
        <w:rPr>
          <w:rFonts w:hint="eastAsia"/>
          <w:szCs w:val="21"/>
        </w:rPr>
        <w:t>东北证券</w:t>
      </w:r>
      <w:r w:rsidR="00BA0BD2">
        <w:rPr>
          <w:rFonts w:hint="eastAsia"/>
          <w:szCs w:val="21"/>
        </w:rPr>
        <w:t>股份有限公司</w:t>
      </w:r>
    </w:p>
    <w:p w:rsidR="00545ECB" w:rsidRPr="00AA46C6" w:rsidRDefault="00E66B35">
      <w:pPr>
        <w:ind w:firstLineChars="202" w:firstLine="424"/>
        <w:rPr>
          <w:szCs w:val="21"/>
        </w:rPr>
      </w:pPr>
      <w:r w:rsidRPr="00AA46C6">
        <w:rPr>
          <w:szCs w:val="21"/>
        </w:rPr>
        <w:t>客户服务电话：</w:t>
      </w:r>
      <w:r w:rsidR="00BD4BAE" w:rsidRPr="00F11942">
        <w:rPr>
          <w:szCs w:val="21"/>
        </w:rPr>
        <w:t>95360</w:t>
      </w:r>
    </w:p>
    <w:p w:rsidR="00C24875" w:rsidRPr="00AA46C6" w:rsidRDefault="00E66B35">
      <w:pPr>
        <w:ind w:firstLineChars="202" w:firstLine="424"/>
        <w:rPr>
          <w:szCs w:val="21"/>
        </w:rPr>
      </w:pPr>
      <w:r w:rsidRPr="00AA46C6">
        <w:rPr>
          <w:szCs w:val="21"/>
        </w:rPr>
        <w:t>网址</w:t>
      </w:r>
      <w:r w:rsidRPr="00AA46C6">
        <w:rPr>
          <w:rFonts w:hint="eastAsia"/>
          <w:szCs w:val="21"/>
        </w:rPr>
        <w:t>：</w:t>
      </w:r>
      <w:r w:rsidR="00BD4BAE" w:rsidRPr="00F11942">
        <w:rPr>
          <w:szCs w:val="21"/>
        </w:rPr>
        <w:t>www.nesc.cn</w:t>
      </w:r>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1" w:name="_Hlt175453970"/>
      <w:r w:rsidRPr="00AA46C6">
        <w:rPr>
          <w:szCs w:val="21"/>
        </w:rPr>
        <w:t>.</w:t>
      </w:r>
      <w:bookmarkEnd w:id="1"/>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BD4BAE" w:rsidP="009B3C3D">
      <w:pPr>
        <w:ind w:firstLineChars="202" w:firstLine="424"/>
        <w:jc w:val="right"/>
        <w:rPr>
          <w:szCs w:val="21"/>
        </w:rPr>
      </w:pPr>
      <w:r>
        <w:rPr>
          <w:szCs w:val="21"/>
        </w:rPr>
        <w:t>2023</w:t>
      </w:r>
      <w:r>
        <w:rPr>
          <w:szCs w:val="21"/>
        </w:rPr>
        <w:t>年</w:t>
      </w:r>
      <w:r>
        <w:rPr>
          <w:szCs w:val="21"/>
        </w:rPr>
        <w:t>4</w:t>
      </w:r>
      <w:r>
        <w:rPr>
          <w:szCs w:val="21"/>
        </w:rPr>
        <w:t>月</w:t>
      </w:r>
      <w:r>
        <w:rPr>
          <w:szCs w:val="21"/>
        </w:rPr>
        <w:t>13</w:t>
      </w:r>
      <w:r>
        <w:rPr>
          <w:szCs w:val="21"/>
        </w:rPr>
        <w:t>日</w:t>
      </w:r>
    </w:p>
    <w:sectPr w:rsidR="00C24875" w:rsidRPr="001D70B0" w:rsidSect="00DD3372">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4A" w:rsidRDefault="009D744A">
      <w:r>
        <w:separator/>
      </w:r>
    </w:p>
  </w:endnote>
  <w:endnote w:type="continuationSeparator" w:id="0">
    <w:p w:rsidR="009D744A" w:rsidRDefault="009D7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4A" w:rsidRDefault="009D744A">
      <w:r>
        <w:separator/>
      </w:r>
    </w:p>
  </w:footnote>
  <w:footnote w:type="continuationSeparator" w:id="0">
    <w:p w:rsidR="009D744A" w:rsidRDefault="009D7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3407"/>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6722"/>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F6D"/>
    <w:rsid w:val="001F1EE8"/>
    <w:rsid w:val="001F1F9F"/>
    <w:rsid w:val="001F2BF3"/>
    <w:rsid w:val="001F47FE"/>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6F00"/>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1F3"/>
    <w:rsid w:val="002A3594"/>
    <w:rsid w:val="002A43AA"/>
    <w:rsid w:val="002A4F10"/>
    <w:rsid w:val="002A54AB"/>
    <w:rsid w:val="002B1F5D"/>
    <w:rsid w:val="002B3401"/>
    <w:rsid w:val="002B45B0"/>
    <w:rsid w:val="002B52D2"/>
    <w:rsid w:val="002B5747"/>
    <w:rsid w:val="002B5808"/>
    <w:rsid w:val="002B5BAC"/>
    <w:rsid w:val="002C0679"/>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40E4"/>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60F"/>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6EC7"/>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EE"/>
    <w:rsid w:val="004419FB"/>
    <w:rsid w:val="00442E93"/>
    <w:rsid w:val="00442EBD"/>
    <w:rsid w:val="004434EE"/>
    <w:rsid w:val="00443A9A"/>
    <w:rsid w:val="00446561"/>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025F"/>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121"/>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1ED2"/>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8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1B52"/>
    <w:rsid w:val="00873F41"/>
    <w:rsid w:val="0087412B"/>
    <w:rsid w:val="00874807"/>
    <w:rsid w:val="0087579D"/>
    <w:rsid w:val="008773D7"/>
    <w:rsid w:val="0087753C"/>
    <w:rsid w:val="00880F2E"/>
    <w:rsid w:val="00880F52"/>
    <w:rsid w:val="00881A4B"/>
    <w:rsid w:val="008837A5"/>
    <w:rsid w:val="008846C7"/>
    <w:rsid w:val="008867BB"/>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4B5"/>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5C94"/>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4E91"/>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4A"/>
    <w:rsid w:val="009D74C6"/>
    <w:rsid w:val="009D7C6C"/>
    <w:rsid w:val="009E0D5D"/>
    <w:rsid w:val="009E1F0C"/>
    <w:rsid w:val="009E22C7"/>
    <w:rsid w:val="009E30AC"/>
    <w:rsid w:val="009E3294"/>
    <w:rsid w:val="009E3FE5"/>
    <w:rsid w:val="009E4905"/>
    <w:rsid w:val="009E4FCD"/>
    <w:rsid w:val="009E51B4"/>
    <w:rsid w:val="009E5E44"/>
    <w:rsid w:val="009E73D4"/>
    <w:rsid w:val="009F05F6"/>
    <w:rsid w:val="009F09A7"/>
    <w:rsid w:val="009F0E9B"/>
    <w:rsid w:val="009F3857"/>
    <w:rsid w:val="009F533D"/>
    <w:rsid w:val="009F7E4D"/>
    <w:rsid w:val="00A01EAD"/>
    <w:rsid w:val="00A020B0"/>
    <w:rsid w:val="00A02808"/>
    <w:rsid w:val="00A02EA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0519"/>
    <w:rsid w:val="00AC1A0D"/>
    <w:rsid w:val="00AC1A4A"/>
    <w:rsid w:val="00AC4040"/>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0BD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4BAE"/>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948"/>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3AAF"/>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C72F8"/>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EA3"/>
    <w:rsid w:val="00D73F09"/>
    <w:rsid w:val="00D749DE"/>
    <w:rsid w:val="00D74E5F"/>
    <w:rsid w:val="00D74FDF"/>
    <w:rsid w:val="00D75B92"/>
    <w:rsid w:val="00D75C8D"/>
    <w:rsid w:val="00D7687E"/>
    <w:rsid w:val="00D773C4"/>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969A3"/>
    <w:rsid w:val="00D97308"/>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2FE3"/>
    <w:rsid w:val="00DD3372"/>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27EA"/>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07D1"/>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E2"/>
    <w:rsid w:val="00F05D00"/>
    <w:rsid w:val="00F06F86"/>
    <w:rsid w:val="00F102D5"/>
    <w:rsid w:val="00F11942"/>
    <w:rsid w:val="00F11E3E"/>
    <w:rsid w:val="00F12475"/>
    <w:rsid w:val="00F126C7"/>
    <w:rsid w:val="00F13104"/>
    <w:rsid w:val="00F13E74"/>
    <w:rsid w:val="00F1501D"/>
    <w:rsid w:val="00F15560"/>
    <w:rsid w:val="00F159D2"/>
    <w:rsid w:val="00F15B6E"/>
    <w:rsid w:val="00F15CBF"/>
    <w:rsid w:val="00F15FC2"/>
    <w:rsid w:val="00F17687"/>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3378"/>
    <w:rsid w:val="00F64195"/>
    <w:rsid w:val="00F65209"/>
    <w:rsid w:val="00F66DA4"/>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AA2"/>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D3372"/>
    <w:pPr>
      <w:jc w:val="left"/>
    </w:pPr>
  </w:style>
  <w:style w:type="paragraph" w:styleId="a4">
    <w:name w:val="Balloon Text"/>
    <w:basedOn w:val="a"/>
    <w:semiHidden/>
    <w:rsid w:val="00DD3372"/>
    <w:rPr>
      <w:sz w:val="18"/>
      <w:szCs w:val="18"/>
    </w:rPr>
  </w:style>
  <w:style w:type="paragraph" w:styleId="a5">
    <w:name w:val="footer"/>
    <w:basedOn w:val="a"/>
    <w:rsid w:val="00DD3372"/>
    <w:pPr>
      <w:tabs>
        <w:tab w:val="center" w:pos="4153"/>
        <w:tab w:val="right" w:pos="8306"/>
      </w:tabs>
      <w:snapToGrid w:val="0"/>
      <w:jc w:val="left"/>
    </w:pPr>
    <w:rPr>
      <w:sz w:val="18"/>
      <w:szCs w:val="18"/>
    </w:rPr>
  </w:style>
  <w:style w:type="paragraph" w:styleId="a6">
    <w:name w:val="header"/>
    <w:basedOn w:val="a"/>
    <w:rsid w:val="00DD337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DD3372"/>
    <w:rPr>
      <w:b/>
      <w:bCs/>
    </w:rPr>
  </w:style>
  <w:style w:type="table" w:styleId="a8">
    <w:name w:val="Table Grid"/>
    <w:basedOn w:val="a1"/>
    <w:uiPriority w:val="59"/>
    <w:qFormat/>
    <w:rsid w:val="00DD33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DD3372"/>
    <w:rPr>
      <w:color w:val="800080"/>
      <w:u w:val="single"/>
    </w:rPr>
  </w:style>
  <w:style w:type="character" w:styleId="aa">
    <w:name w:val="Hyperlink"/>
    <w:rsid w:val="00DD3372"/>
    <w:rPr>
      <w:color w:val="0000FF"/>
      <w:u w:val="single"/>
    </w:rPr>
  </w:style>
  <w:style w:type="character" w:styleId="ab">
    <w:name w:val="annotation reference"/>
    <w:uiPriority w:val="99"/>
    <w:qFormat/>
    <w:rsid w:val="00DD3372"/>
    <w:rPr>
      <w:sz w:val="21"/>
      <w:szCs w:val="21"/>
    </w:rPr>
  </w:style>
  <w:style w:type="paragraph" w:customStyle="1" w:styleId="1">
    <w:name w:val="列出段落1"/>
    <w:basedOn w:val="a"/>
    <w:uiPriority w:val="34"/>
    <w:qFormat/>
    <w:rsid w:val="00DD3372"/>
    <w:pPr>
      <w:ind w:firstLineChars="200" w:firstLine="420"/>
    </w:pPr>
    <w:rPr>
      <w:rFonts w:ascii="Calibri" w:hAnsi="Calibri"/>
      <w:szCs w:val="22"/>
    </w:rPr>
  </w:style>
  <w:style w:type="paragraph" w:customStyle="1" w:styleId="CharCharCharChar1CharCharChar">
    <w:name w:val="Char Char Char Char1 Char Char Char"/>
    <w:basedOn w:val="a"/>
    <w:rsid w:val="00DD3372"/>
  </w:style>
  <w:style w:type="paragraph" w:customStyle="1" w:styleId="CharCharCharChar">
    <w:name w:val="Char Char Char Char"/>
    <w:basedOn w:val="a"/>
    <w:rsid w:val="00DD3372"/>
    <w:pPr>
      <w:tabs>
        <w:tab w:val="left" w:pos="360"/>
      </w:tabs>
    </w:pPr>
    <w:rPr>
      <w:sz w:val="24"/>
    </w:rPr>
  </w:style>
  <w:style w:type="paragraph" w:customStyle="1" w:styleId="10">
    <w:name w:val="修订1"/>
    <w:uiPriority w:val="99"/>
    <w:semiHidden/>
    <w:rsid w:val="00DD3372"/>
    <w:rPr>
      <w:kern w:val="2"/>
      <w:sz w:val="21"/>
      <w:szCs w:val="24"/>
    </w:rPr>
  </w:style>
  <w:style w:type="table" w:customStyle="1" w:styleId="11">
    <w:name w:val="网格型1"/>
    <w:basedOn w:val="a1"/>
    <w:uiPriority w:val="59"/>
    <w:rsid w:val="00DD3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DD3372"/>
    <w:rPr>
      <w:sz w:val="18"/>
      <w:szCs w:val="18"/>
    </w:rPr>
  </w:style>
  <w:style w:type="character" w:customStyle="1" w:styleId="Char">
    <w:name w:val="批注文字 Char"/>
    <w:link w:val="a3"/>
    <w:uiPriority w:val="99"/>
    <w:qFormat/>
    <w:rsid w:val="00DD3372"/>
    <w:rPr>
      <w:kern w:val="2"/>
      <w:sz w:val="21"/>
      <w:szCs w:val="24"/>
    </w:rPr>
  </w:style>
  <w:style w:type="character" w:customStyle="1" w:styleId="Char0">
    <w:name w:val="批注主题 Char"/>
    <w:link w:val="a7"/>
    <w:rsid w:val="00DD3372"/>
    <w:rPr>
      <w:b/>
      <w:bCs/>
      <w:kern w:val="2"/>
      <w:sz w:val="21"/>
      <w:szCs w:val="24"/>
    </w:rPr>
  </w:style>
  <w:style w:type="character" w:customStyle="1" w:styleId="fontstyle01">
    <w:name w:val="fontstyle01"/>
    <w:rsid w:val="00DD3372"/>
    <w:rPr>
      <w:rFonts w:ascii="仿宋_GB2312" w:eastAsia="仿宋_GB2312" w:hint="eastAsia"/>
      <w:color w:val="000000"/>
      <w:sz w:val="32"/>
      <w:szCs w:val="32"/>
    </w:rPr>
  </w:style>
  <w:style w:type="character" w:customStyle="1" w:styleId="tel-number">
    <w:name w:val="tel-number"/>
    <w:basedOn w:val="a0"/>
    <w:rsid w:val="00DD3372"/>
  </w:style>
  <w:style w:type="paragraph" w:styleId="ac">
    <w:name w:val="List Paragraph"/>
    <w:basedOn w:val="a"/>
    <w:uiPriority w:val="34"/>
    <w:qFormat/>
    <w:rsid w:val="00DD3372"/>
    <w:pPr>
      <w:ind w:firstLineChars="200" w:firstLine="420"/>
    </w:pPr>
  </w:style>
  <w:style w:type="character" w:customStyle="1" w:styleId="12">
    <w:name w:val="未处理的提及1"/>
    <w:basedOn w:val="a0"/>
    <w:uiPriority w:val="99"/>
    <w:semiHidden/>
    <w:unhideWhenUsed/>
    <w:rsid w:val="00DD3372"/>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FC229-7D26-4A38-9EBE-94B92BDC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4</DocSecurity>
  <Lines>11</Lines>
  <Paragraphs>3</Paragraphs>
  <ScaleCrop>false</ScaleCrop>
  <Company>china</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2023-04-12T16:01:00Z</dcterms:created>
  <dcterms:modified xsi:type="dcterms:W3CDTF">2023-04-12T16:01:00Z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