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AC15EA">
      <w:pPr>
        <w:widowControl/>
        <w:jc w:val="center"/>
        <w:rPr>
          <w:rFonts w:eastAsiaTheme="minorEastAsia"/>
          <w:b/>
          <w:kern w:val="0"/>
          <w:sz w:val="30"/>
          <w:szCs w:val="30"/>
        </w:rPr>
      </w:pPr>
      <w:r>
        <w:rPr>
          <w:rFonts w:eastAsiaTheme="minorEastAsia"/>
          <w:b/>
          <w:kern w:val="0"/>
          <w:sz w:val="30"/>
          <w:szCs w:val="30"/>
        </w:rPr>
        <w:t>易方达投资级信用债债券型证券投资基金分红公告</w:t>
      </w:r>
    </w:p>
    <w:p w:rsidR="003F0B40" w:rsidRDefault="00AC15EA">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11</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AC15EA">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易方达投资级信用债债券型证券投资基金</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易方达投资级信用债债券</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000205</w:t>
            </w:r>
          </w:p>
        </w:tc>
      </w:tr>
      <w:tr w:rsidR="001A2160">
        <w:trPr>
          <w:jc w:val="center"/>
        </w:trPr>
        <w:tc>
          <w:tcPr>
            <w:tcW w:w="4194" w:type="dxa"/>
            <w:gridSpan w:val="2"/>
            <w:vAlign w:val="center"/>
          </w:tcPr>
          <w:p w:rsidR="003F0B40" w:rsidRDefault="00AC15EA">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2013</w:t>
            </w:r>
            <w:r>
              <w:rPr>
                <w:rFonts w:eastAsia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10</w:t>
            </w:r>
            <w:r>
              <w:rPr>
                <w:rFonts w:eastAsiaTheme="minorEastAsia"/>
                <w:sz w:val="24"/>
                <w:szCs w:val="24"/>
              </w:rPr>
              <w:t>日</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易方达基金管理有限公司</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中国农业银行股份有限公司</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《公开募集证券投资基金信息披露管理办法》、《易方达投资级信用债债券型证券投资基金基金合同》、《易方达投资级信用债债券型证券投资基金更新的招募说明书》</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收益分配基准日</w:t>
            </w:r>
          </w:p>
        </w:tc>
        <w:tc>
          <w:tcPr>
            <w:tcW w:w="5412" w:type="dxa"/>
            <w:gridSpan w:val="2"/>
          </w:tcPr>
          <w:p w:rsidR="003F0B40" w:rsidRDefault="00AC15E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31</w:t>
            </w:r>
            <w:r>
              <w:rPr>
                <w:rFonts w:eastAsiaTheme="minorEastAsia"/>
                <w:sz w:val="24"/>
                <w:szCs w:val="24"/>
              </w:rPr>
              <w:t>日</w:t>
            </w:r>
          </w:p>
        </w:tc>
      </w:tr>
      <w:tr w:rsidR="001A2160">
        <w:trPr>
          <w:jc w:val="center"/>
        </w:trPr>
        <w:tc>
          <w:tcPr>
            <w:tcW w:w="4194" w:type="dxa"/>
            <w:gridSpan w:val="2"/>
            <w:vAlign w:val="center"/>
          </w:tcPr>
          <w:p w:rsidR="003F0B40" w:rsidRDefault="00AC15EA">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AC15EA">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下属分级基金的基金简称</w:t>
            </w:r>
          </w:p>
        </w:tc>
        <w:tc>
          <w:tcPr>
            <w:tcW w:w="2706" w:type="dxa"/>
          </w:tcPr>
          <w:p w:rsidR="003F0B40" w:rsidRDefault="00AC15EA">
            <w:pPr>
              <w:rPr>
                <w:rFonts w:eastAsiaTheme="minorEastAsia"/>
                <w:sz w:val="24"/>
                <w:szCs w:val="24"/>
              </w:rPr>
            </w:pPr>
            <w:r>
              <w:rPr>
                <w:rFonts w:eastAsiaTheme="minorEastAsia"/>
                <w:sz w:val="24"/>
                <w:szCs w:val="24"/>
              </w:rPr>
              <w:t>易方达投资级信用债债券</w:t>
            </w:r>
            <w:r>
              <w:rPr>
                <w:rFonts w:eastAsiaTheme="minorEastAsia"/>
                <w:sz w:val="24"/>
                <w:szCs w:val="24"/>
              </w:rPr>
              <w:t>A</w:t>
            </w:r>
          </w:p>
        </w:tc>
        <w:tc>
          <w:tcPr>
            <w:tcW w:w="2706" w:type="dxa"/>
          </w:tcPr>
          <w:p w:rsidR="003F0B40" w:rsidRDefault="00AC15EA">
            <w:pPr>
              <w:rPr>
                <w:rFonts w:eastAsiaTheme="minorEastAsia"/>
                <w:sz w:val="24"/>
                <w:szCs w:val="24"/>
              </w:rPr>
            </w:pPr>
            <w:r>
              <w:rPr>
                <w:rFonts w:eastAsiaTheme="minorEastAsia"/>
                <w:sz w:val="24"/>
                <w:szCs w:val="24"/>
              </w:rPr>
              <w:t>易方达投资级信用债债券</w:t>
            </w:r>
            <w:r>
              <w:rPr>
                <w:rFonts w:eastAsiaTheme="minorEastAsia"/>
                <w:sz w:val="24"/>
                <w:szCs w:val="24"/>
              </w:rPr>
              <w:t>C</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下属分级基金的交易代码</w:t>
            </w:r>
          </w:p>
        </w:tc>
        <w:tc>
          <w:tcPr>
            <w:tcW w:w="2706" w:type="dxa"/>
          </w:tcPr>
          <w:p w:rsidR="003F0B40" w:rsidRDefault="00AC15EA">
            <w:pPr>
              <w:rPr>
                <w:rFonts w:eastAsiaTheme="minorEastAsia"/>
                <w:sz w:val="24"/>
                <w:szCs w:val="24"/>
              </w:rPr>
            </w:pPr>
            <w:r>
              <w:rPr>
                <w:rFonts w:eastAsiaTheme="minorEastAsia"/>
                <w:sz w:val="24"/>
                <w:szCs w:val="24"/>
              </w:rPr>
              <w:t>000205</w:t>
            </w:r>
          </w:p>
        </w:tc>
        <w:tc>
          <w:tcPr>
            <w:tcW w:w="2706" w:type="dxa"/>
          </w:tcPr>
          <w:p w:rsidR="003F0B40" w:rsidRDefault="00AC15EA">
            <w:pPr>
              <w:rPr>
                <w:rFonts w:eastAsiaTheme="minorEastAsia"/>
                <w:sz w:val="24"/>
                <w:szCs w:val="24"/>
              </w:rPr>
            </w:pPr>
            <w:r>
              <w:rPr>
                <w:rFonts w:eastAsiaTheme="minorEastAsia"/>
                <w:sz w:val="24"/>
                <w:szCs w:val="24"/>
              </w:rPr>
              <w:t>000206</w:t>
            </w:r>
          </w:p>
        </w:tc>
      </w:tr>
      <w:tr w:rsidR="001A2160">
        <w:trPr>
          <w:jc w:val="center"/>
        </w:trPr>
        <w:tc>
          <w:tcPr>
            <w:tcW w:w="1980" w:type="dxa"/>
            <w:vMerge w:val="restart"/>
            <w:vAlign w:val="center"/>
          </w:tcPr>
          <w:p w:rsidR="003F0B40" w:rsidRDefault="00AC15EA">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AC15EA">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AC15EA">
            <w:pPr>
              <w:rPr>
                <w:rFonts w:eastAsiaTheme="minorEastAsia"/>
                <w:sz w:val="24"/>
                <w:szCs w:val="24"/>
              </w:rPr>
            </w:pPr>
            <w:r>
              <w:rPr>
                <w:rFonts w:eastAsiaTheme="minorEastAsia"/>
                <w:sz w:val="24"/>
                <w:szCs w:val="24"/>
              </w:rPr>
              <w:t>1.149</w:t>
            </w:r>
          </w:p>
        </w:tc>
        <w:tc>
          <w:tcPr>
            <w:tcW w:w="2706" w:type="dxa"/>
          </w:tcPr>
          <w:p w:rsidR="003F0B40" w:rsidRDefault="00AC15EA">
            <w:pPr>
              <w:rPr>
                <w:rFonts w:eastAsiaTheme="minorEastAsia"/>
                <w:sz w:val="24"/>
                <w:szCs w:val="24"/>
              </w:rPr>
            </w:pPr>
            <w:r>
              <w:rPr>
                <w:rFonts w:eastAsiaTheme="minorEastAsia"/>
                <w:sz w:val="24"/>
                <w:szCs w:val="24"/>
              </w:rPr>
              <w:t>1.148</w:t>
            </w:r>
          </w:p>
        </w:tc>
      </w:tr>
      <w:tr w:rsidR="001A2160">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AC15EA">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AC15EA">
            <w:pPr>
              <w:rPr>
                <w:rFonts w:eastAsiaTheme="minorEastAsia"/>
                <w:sz w:val="24"/>
                <w:szCs w:val="24"/>
              </w:rPr>
            </w:pPr>
            <w:r>
              <w:rPr>
                <w:rFonts w:eastAsiaTheme="minorEastAsia"/>
                <w:sz w:val="24"/>
                <w:szCs w:val="24"/>
              </w:rPr>
              <w:t>35,004,688.14</w:t>
            </w:r>
          </w:p>
        </w:tc>
        <w:tc>
          <w:tcPr>
            <w:tcW w:w="2706" w:type="dxa"/>
          </w:tcPr>
          <w:p w:rsidR="003F0B40" w:rsidRDefault="00AC15EA">
            <w:pPr>
              <w:rPr>
                <w:rFonts w:eastAsiaTheme="minorEastAsia"/>
                <w:sz w:val="24"/>
                <w:szCs w:val="24"/>
              </w:rPr>
            </w:pPr>
            <w:r>
              <w:rPr>
                <w:rFonts w:eastAsiaTheme="minorEastAsia"/>
                <w:sz w:val="24"/>
                <w:szCs w:val="24"/>
              </w:rPr>
              <w:t>6,028,977.57</w:t>
            </w:r>
          </w:p>
        </w:tc>
      </w:tr>
      <w:tr w:rsidR="001A2160">
        <w:trPr>
          <w:jc w:val="center"/>
        </w:trPr>
        <w:tc>
          <w:tcPr>
            <w:tcW w:w="1980" w:type="dxa"/>
            <w:vMerge/>
          </w:tcPr>
          <w:p w:rsidR="00B72D64" w:rsidRDefault="00B72D64"/>
        </w:tc>
        <w:tc>
          <w:tcPr>
            <w:tcW w:w="2214" w:type="dxa"/>
            <w:vAlign w:val="center"/>
          </w:tcPr>
          <w:p w:rsidR="00B72D64" w:rsidRDefault="00AC15EA">
            <w:pPr>
              <w:jc w:val="left"/>
            </w:pPr>
            <w:r>
              <w:rPr>
                <w:rFonts w:eastAsiaTheme="minorEastAsia"/>
                <w:sz w:val="24"/>
                <w:szCs w:val="24"/>
              </w:rPr>
              <w:t>截止基准日按照基金合同约定的分红比例计算的应分配金额（单位：人民币元）</w:t>
            </w:r>
          </w:p>
        </w:tc>
        <w:tc>
          <w:tcPr>
            <w:tcW w:w="2706" w:type="dxa"/>
            <w:vAlign w:val="center"/>
          </w:tcPr>
          <w:p w:rsidR="00B72D64" w:rsidRDefault="00AC15EA">
            <w:pPr>
              <w:jc w:val="left"/>
            </w:pPr>
            <w:r>
              <w:rPr>
                <w:rFonts w:eastAsiaTheme="minorEastAsia"/>
                <w:sz w:val="24"/>
                <w:szCs w:val="24"/>
              </w:rPr>
              <w:t>21,002,812.89</w:t>
            </w:r>
          </w:p>
        </w:tc>
        <w:tc>
          <w:tcPr>
            <w:tcW w:w="2706" w:type="dxa"/>
            <w:vAlign w:val="center"/>
          </w:tcPr>
          <w:p w:rsidR="00B72D64" w:rsidRDefault="00AC15EA">
            <w:pPr>
              <w:jc w:val="left"/>
            </w:pPr>
            <w:r>
              <w:rPr>
                <w:rFonts w:eastAsiaTheme="minorEastAsia"/>
                <w:sz w:val="24"/>
                <w:szCs w:val="24"/>
              </w:rPr>
              <w:t>3,617,386.55</w:t>
            </w:r>
          </w:p>
        </w:tc>
      </w:tr>
      <w:tr w:rsidR="001A2160">
        <w:trPr>
          <w:jc w:val="center"/>
        </w:trPr>
        <w:tc>
          <w:tcPr>
            <w:tcW w:w="4194" w:type="dxa"/>
            <w:gridSpan w:val="2"/>
          </w:tcPr>
          <w:p w:rsidR="003F0B40" w:rsidRDefault="00AC15EA">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AC15EA">
            <w:pPr>
              <w:rPr>
                <w:rFonts w:eastAsiaTheme="minorEastAsia"/>
                <w:sz w:val="24"/>
                <w:szCs w:val="24"/>
              </w:rPr>
            </w:pPr>
            <w:r>
              <w:rPr>
                <w:rFonts w:eastAsiaTheme="minorEastAsia"/>
                <w:sz w:val="24"/>
                <w:szCs w:val="24"/>
              </w:rPr>
              <w:t>0.060</w:t>
            </w:r>
          </w:p>
        </w:tc>
        <w:tc>
          <w:tcPr>
            <w:tcW w:w="2706" w:type="dxa"/>
          </w:tcPr>
          <w:p w:rsidR="003F0B40" w:rsidRDefault="00AC15EA">
            <w:pPr>
              <w:rPr>
                <w:rFonts w:eastAsiaTheme="minorEastAsia"/>
                <w:sz w:val="24"/>
                <w:szCs w:val="24"/>
              </w:rPr>
            </w:pPr>
            <w:r>
              <w:rPr>
                <w:rFonts w:eastAsiaTheme="minorEastAsia"/>
                <w:sz w:val="24"/>
                <w:szCs w:val="24"/>
              </w:rPr>
              <w:t>0.060</w:t>
            </w:r>
          </w:p>
        </w:tc>
      </w:tr>
    </w:tbl>
    <w:p w:rsidR="003F0B40"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注：根据《易方达投资级信用债债券型证券投资基金基金合同》规定，在符合有关基金分红条件的前提下，本基金每年收益分配次数最多为</w:t>
      </w:r>
      <w:r>
        <w:rPr>
          <w:rFonts w:eastAsiaTheme="minorEastAsia"/>
          <w:color w:val="000000"/>
          <w:sz w:val="24"/>
          <w:szCs w:val="24"/>
        </w:rPr>
        <w:t>4</w:t>
      </w:r>
      <w:r>
        <w:rPr>
          <w:rFonts w:eastAsiaTheme="minorEastAsia"/>
          <w:color w:val="000000"/>
          <w:sz w:val="24"/>
          <w:szCs w:val="24"/>
        </w:rPr>
        <w:t>次，基金合同生效满</w:t>
      </w:r>
      <w:r>
        <w:rPr>
          <w:rFonts w:eastAsiaTheme="minorEastAsia"/>
          <w:color w:val="000000"/>
          <w:sz w:val="24"/>
          <w:szCs w:val="24"/>
        </w:rPr>
        <w:t>3</w:t>
      </w:r>
      <w:r>
        <w:rPr>
          <w:rFonts w:eastAsiaTheme="minorEastAsia"/>
          <w:color w:val="000000"/>
          <w:sz w:val="24"/>
          <w:szCs w:val="24"/>
        </w:rPr>
        <w:t>个月后，若基金在每季最后一个交易日收盘后每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60%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AC15EA">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lastRenderedPageBreak/>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1A2160">
        <w:trPr>
          <w:jc w:val="center"/>
        </w:trPr>
        <w:tc>
          <w:tcPr>
            <w:tcW w:w="3342" w:type="dxa"/>
          </w:tcPr>
          <w:p w:rsidR="003F0B40" w:rsidRDefault="00AC15EA">
            <w:pPr>
              <w:rPr>
                <w:rFonts w:eastAsiaTheme="minorEastAsia"/>
                <w:sz w:val="24"/>
                <w:szCs w:val="24"/>
              </w:rPr>
            </w:pPr>
            <w:r>
              <w:rPr>
                <w:rFonts w:eastAsiaTheme="minorEastAsia"/>
                <w:sz w:val="24"/>
                <w:szCs w:val="24"/>
              </w:rPr>
              <w:t>权益登记日</w:t>
            </w:r>
          </w:p>
        </w:tc>
        <w:tc>
          <w:tcPr>
            <w:tcW w:w="5978" w:type="dxa"/>
          </w:tcPr>
          <w:p w:rsidR="003F0B40" w:rsidRDefault="00AC15E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12</w:t>
            </w:r>
            <w:r>
              <w:rPr>
                <w:rFonts w:eastAsiaTheme="minorEastAsia"/>
                <w:sz w:val="24"/>
                <w:szCs w:val="24"/>
              </w:rPr>
              <w:t>日</w:t>
            </w:r>
          </w:p>
        </w:tc>
      </w:tr>
      <w:tr w:rsidR="001A2160" w:rsidTr="000E16AF">
        <w:trPr>
          <w:jc w:val="center"/>
        </w:trPr>
        <w:tc>
          <w:tcPr>
            <w:tcW w:w="3342" w:type="dxa"/>
          </w:tcPr>
          <w:p w:rsidR="003F0B40" w:rsidRDefault="00AC15EA">
            <w:pPr>
              <w:rPr>
                <w:rFonts w:eastAsiaTheme="minorEastAsia"/>
                <w:sz w:val="24"/>
                <w:szCs w:val="24"/>
              </w:rPr>
            </w:pPr>
            <w:r>
              <w:rPr>
                <w:rFonts w:eastAsiaTheme="minorEastAsia"/>
                <w:sz w:val="24"/>
                <w:szCs w:val="24"/>
              </w:rPr>
              <w:t>除息日</w:t>
            </w:r>
          </w:p>
        </w:tc>
        <w:tc>
          <w:tcPr>
            <w:tcW w:w="2989" w:type="dxa"/>
          </w:tcPr>
          <w:p w:rsidR="003F0B40" w:rsidRDefault="00AC15E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12</w:t>
            </w:r>
            <w:r w:rsidR="000E16AF">
              <w:rPr>
                <w:rFonts w:eastAsiaTheme="minorEastAsia"/>
                <w:sz w:val="24"/>
                <w:szCs w:val="24"/>
              </w:rPr>
              <w:t>日</w:t>
            </w:r>
            <w:bookmarkStart w:id="2" w:name="_GoBack"/>
            <w:bookmarkEnd w:id="2"/>
          </w:p>
        </w:tc>
      </w:tr>
      <w:tr w:rsidR="001A2160">
        <w:trPr>
          <w:jc w:val="center"/>
        </w:trPr>
        <w:tc>
          <w:tcPr>
            <w:tcW w:w="3342" w:type="dxa"/>
          </w:tcPr>
          <w:p w:rsidR="003F0B40" w:rsidRDefault="00AC15EA">
            <w:pPr>
              <w:rPr>
                <w:rFonts w:eastAsiaTheme="minorEastAsia"/>
                <w:sz w:val="24"/>
                <w:szCs w:val="24"/>
              </w:rPr>
            </w:pPr>
            <w:r>
              <w:rPr>
                <w:rFonts w:eastAsiaTheme="minorEastAsia"/>
                <w:sz w:val="24"/>
                <w:szCs w:val="24"/>
              </w:rPr>
              <w:t>现金红利发放日</w:t>
            </w:r>
          </w:p>
        </w:tc>
        <w:tc>
          <w:tcPr>
            <w:tcW w:w="5978" w:type="dxa"/>
          </w:tcPr>
          <w:p w:rsidR="003F0B40" w:rsidRDefault="00AC15E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Pr>
                <w:rFonts w:eastAsiaTheme="minorEastAsia"/>
                <w:sz w:val="24"/>
                <w:szCs w:val="24"/>
              </w:rPr>
              <w:t>日</w:t>
            </w:r>
          </w:p>
        </w:tc>
      </w:tr>
      <w:tr w:rsidR="001A2160">
        <w:trPr>
          <w:jc w:val="center"/>
        </w:trPr>
        <w:tc>
          <w:tcPr>
            <w:tcW w:w="3342" w:type="dxa"/>
          </w:tcPr>
          <w:p w:rsidR="003F0B40" w:rsidRDefault="00AC15EA">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AC15EA">
            <w:pPr>
              <w:rPr>
                <w:rFonts w:eastAsiaTheme="minorEastAsia"/>
                <w:sz w:val="24"/>
                <w:szCs w:val="24"/>
              </w:rPr>
            </w:pPr>
            <w:r>
              <w:rPr>
                <w:rFonts w:eastAsiaTheme="minorEastAsia"/>
                <w:sz w:val="24"/>
                <w:szCs w:val="24"/>
              </w:rPr>
              <w:t>权益登记日在易方达基金管理有限公司登记在册的本基金全体持有人。</w:t>
            </w:r>
          </w:p>
        </w:tc>
      </w:tr>
      <w:tr w:rsidR="001A2160">
        <w:trPr>
          <w:jc w:val="center"/>
        </w:trPr>
        <w:tc>
          <w:tcPr>
            <w:tcW w:w="3342" w:type="dxa"/>
            <w:shd w:val="clear" w:color="auto" w:fill="auto"/>
            <w:vAlign w:val="center"/>
          </w:tcPr>
          <w:p w:rsidR="003F0B40" w:rsidRDefault="00AC15EA">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AC15EA">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12</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14</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R="001A2160">
        <w:trPr>
          <w:jc w:val="center"/>
        </w:trPr>
        <w:tc>
          <w:tcPr>
            <w:tcW w:w="3342" w:type="dxa"/>
          </w:tcPr>
          <w:p w:rsidR="003F0B40" w:rsidRDefault="00AC15EA">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AC15EA">
            <w:pPr>
              <w:rPr>
                <w:rFonts w:eastAsiaTheme="minorEastAsia"/>
                <w:sz w:val="24"/>
                <w:szCs w:val="24"/>
              </w:rPr>
            </w:pPr>
            <w:r>
              <w:rPr>
                <w:rFonts w:eastAsiaTheme="minorEastAsia"/>
                <w:sz w:val="24"/>
                <w:szCs w:val="24"/>
              </w:rPr>
              <w:t>根据相关法律法规规定，基金向投资者分配的基金收益，暂不征收所得税。</w:t>
            </w:r>
          </w:p>
        </w:tc>
      </w:tr>
      <w:tr w:rsidR="001A2160">
        <w:trPr>
          <w:jc w:val="center"/>
        </w:trPr>
        <w:tc>
          <w:tcPr>
            <w:tcW w:w="3342" w:type="dxa"/>
          </w:tcPr>
          <w:p w:rsidR="003F0B40" w:rsidRDefault="00AC15EA">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AC15EA">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B72D64"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日自基金托管账户划出。</w:t>
      </w:r>
    </w:p>
    <w:p w:rsidR="003F0B40"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AC15EA">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B72D64"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B72D64"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w:t>
      </w:r>
      <w:r>
        <w:rPr>
          <w:rFonts w:eastAsiaTheme="minorEastAsia"/>
          <w:color w:val="000000"/>
          <w:sz w:val="24"/>
          <w:szCs w:val="24"/>
        </w:rPr>
        <w:t>到销售机构办理变更手续，投资者在权益登记日前一工作日交易时间结束后提交的修改分红方式申请对本次分红无效。</w:t>
      </w:r>
    </w:p>
    <w:p w:rsidR="00B72D64"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rsidRDefault="00AC15EA">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AC15EA">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AC15EA">
      <w:pPr>
        <w:spacing w:line="360" w:lineRule="auto"/>
        <w:ind w:firstLineChars="200" w:firstLine="48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w:t>
      </w:r>
    </w:p>
    <w:sectPr w:rsidR="003F0B40" w:rsidSect="001A21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0E16AF"/>
    <w:rsid w:val="00111BD0"/>
    <w:rsid w:val="00135CA1"/>
    <w:rsid w:val="0016074B"/>
    <w:rsid w:val="00160D71"/>
    <w:rsid w:val="00172E10"/>
    <w:rsid w:val="001A216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15EA"/>
    <w:rsid w:val="00AC470F"/>
    <w:rsid w:val="00B14D73"/>
    <w:rsid w:val="00B21A32"/>
    <w:rsid w:val="00B44BBE"/>
    <w:rsid w:val="00B60712"/>
    <w:rsid w:val="00B72D64"/>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60"/>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1A2160"/>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1A2160"/>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1A2160"/>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1A2160"/>
    <w:rPr>
      <w:rFonts w:ascii="宋体" w:eastAsia="宋体"/>
      <w:sz w:val="18"/>
      <w:szCs w:val="18"/>
    </w:rPr>
  </w:style>
  <w:style w:type="paragraph" w:styleId="a4">
    <w:name w:val="Balloon Text"/>
    <w:basedOn w:val="a"/>
    <w:link w:val="Char0"/>
    <w:uiPriority w:val="99"/>
    <w:semiHidden/>
    <w:unhideWhenUsed/>
    <w:qFormat/>
    <w:rsid w:val="001A2160"/>
    <w:rPr>
      <w:sz w:val="18"/>
      <w:szCs w:val="18"/>
    </w:rPr>
  </w:style>
  <w:style w:type="paragraph" w:styleId="a5">
    <w:name w:val="footer"/>
    <w:basedOn w:val="a"/>
    <w:link w:val="Char1"/>
    <w:uiPriority w:val="99"/>
    <w:unhideWhenUsed/>
    <w:rsid w:val="001A216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A2160"/>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1A2160"/>
    <w:pPr>
      <w:snapToGrid w:val="0"/>
      <w:jc w:val="left"/>
    </w:pPr>
    <w:rPr>
      <w:rFonts w:eastAsia="宋体"/>
      <w:sz w:val="18"/>
    </w:rPr>
  </w:style>
  <w:style w:type="character" w:styleId="a8">
    <w:name w:val="footnote reference"/>
    <w:basedOn w:val="a0"/>
    <w:qFormat/>
    <w:rsid w:val="001A2160"/>
    <w:rPr>
      <w:vertAlign w:val="superscript"/>
    </w:rPr>
  </w:style>
  <w:style w:type="character" w:customStyle="1" w:styleId="1Char">
    <w:name w:val="标题 1 Char"/>
    <w:basedOn w:val="a0"/>
    <w:link w:val="1"/>
    <w:qFormat/>
    <w:rsid w:val="001A2160"/>
    <w:rPr>
      <w:rFonts w:ascii="Times New Roman" w:eastAsia="宋体" w:hAnsi="Times New Roman" w:cs="Times New Roman"/>
      <w:b/>
      <w:bCs/>
      <w:kern w:val="44"/>
      <w:sz w:val="44"/>
      <w:szCs w:val="44"/>
    </w:rPr>
  </w:style>
  <w:style w:type="character" w:customStyle="1" w:styleId="2Char">
    <w:name w:val="标题 2 Char"/>
    <w:basedOn w:val="a0"/>
    <w:link w:val="2"/>
    <w:qFormat/>
    <w:rsid w:val="001A2160"/>
    <w:rPr>
      <w:rFonts w:ascii="Arial" w:eastAsia="黑体" w:hAnsi="Arial" w:cs="Times New Roman"/>
      <w:b/>
      <w:bCs/>
      <w:sz w:val="32"/>
      <w:szCs w:val="32"/>
    </w:rPr>
  </w:style>
  <w:style w:type="character" w:customStyle="1" w:styleId="Char3">
    <w:name w:val="脚注文本 Char"/>
    <w:basedOn w:val="a0"/>
    <w:link w:val="a7"/>
    <w:rsid w:val="001A2160"/>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1A2160"/>
    <w:rPr>
      <w:rFonts w:ascii="宋体" w:eastAsia="宋体" w:hAnsi="Times New Roman" w:cs="Times New Roman"/>
      <w:sz w:val="18"/>
      <w:szCs w:val="18"/>
    </w:rPr>
  </w:style>
  <w:style w:type="character" w:customStyle="1" w:styleId="Char2">
    <w:name w:val="页眉 Char"/>
    <w:basedOn w:val="a0"/>
    <w:link w:val="a6"/>
    <w:uiPriority w:val="99"/>
    <w:qFormat/>
    <w:rsid w:val="001A2160"/>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1A2160"/>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1A2160"/>
    <w:rPr>
      <w:rFonts w:ascii="Times New Roman" w:eastAsia="方正仿宋简体" w:hAnsi="Times New Roman" w:cs="Times New Roman"/>
      <w:sz w:val="18"/>
      <w:szCs w:val="18"/>
    </w:rPr>
  </w:style>
  <w:style w:type="character" w:customStyle="1" w:styleId="3Char">
    <w:name w:val="标题 3 Char"/>
    <w:basedOn w:val="a0"/>
    <w:link w:val="3"/>
    <w:qFormat/>
    <w:rsid w:val="001A2160"/>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4</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2023-04-10T16:01:00Z</dcterms:created>
  <dcterms:modified xsi:type="dcterms:W3CDTF">2023-04-10T16:01:00Z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