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39" w:rsidRDefault="00E0495F">
      <w:pPr>
        <w:autoSpaceDE w:val="0"/>
        <w:autoSpaceDN w:val="0"/>
        <w:adjustRightInd w:val="0"/>
        <w:spacing w:line="360" w:lineRule="auto"/>
        <w:ind w:firstLineChars="200" w:firstLine="643"/>
        <w:jc w:val="center"/>
        <w:rPr>
          <w:rFonts w:ascii="宋体" w:hAnsi="宋体" w:cs="宋体"/>
          <w:b/>
          <w:color w:val="000000"/>
          <w:kern w:val="0"/>
          <w:sz w:val="32"/>
          <w:szCs w:val="28"/>
        </w:rPr>
      </w:pPr>
      <w:bookmarkStart w:id="0" w:name="_GoBack"/>
      <w:bookmarkEnd w:id="0"/>
      <w:r>
        <w:rPr>
          <w:rFonts w:ascii="宋体" w:hAnsi="宋体" w:cs="宋体" w:hint="eastAsia"/>
          <w:b/>
          <w:color w:val="000000"/>
          <w:kern w:val="0"/>
          <w:sz w:val="32"/>
          <w:szCs w:val="28"/>
        </w:rPr>
        <w:t>建信基金管理有限责任公司</w:t>
      </w:r>
    </w:p>
    <w:p w:rsidR="005A1539" w:rsidRDefault="00E0495F">
      <w:pPr>
        <w:autoSpaceDE w:val="0"/>
        <w:autoSpaceDN w:val="0"/>
        <w:adjustRightInd w:val="0"/>
        <w:spacing w:line="360" w:lineRule="auto"/>
        <w:ind w:firstLineChars="200" w:firstLine="643"/>
        <w:jc w:val="center"/>
        <w:rPr>
          <w:rFonts w:ascii="宋体" w:hAnsi="宋体" w:cs="宋体"/>
          <w:b/>
          <w:color w:val="000000"/>
          <w:kern w:val="0"/>
          <w:sz w:val="32"/>
          <w:szCs w:val="28"/>
        </w:rPr>
      </w:pPr>
      <w:r>
        <w:rPr>
          <w:rFonts w:ascii="宋体" w:hAnsi="宋体" w:cs="宋体" w:hint="eastAsia"/>
          <w:b/>
          <w:color w:val="000000"/>
          <w:kern w:val="0"/>
          <w:sz w:val="32"/>
          <w:szCs w:val="28"/>
        </w:rPr>
        <w:t>关于新增招商银行为公司旗下部分开放式基金</w:t>
      </w:r>
    </w:p>
    <w:p w:rsidR="005A1539" w:rsidRDefault="00E0495F">
      <w:pPr>
        <w:autoSpaceDE w:val="0"/>
        <w:autoSpaceDN w:val="0"/>
        <w:adjustRightInd w:val="0"/>
        <w:spacing w:line="360" w:lineRule="auto"/>
        <w:ind w:firstLineChars="200" w:firstLine="643"/>
        <w:jc w:val="center"/>
        <w:rPr>
          <w:rFonts w:ascii="宋体" w:hAnsi="宋体" w:cs="宋体"/>
          <w:b/>
          <w:color w:val="000000"/>
          <w:kern w:val="0"/>
          <w:sz w:val="32"/>
          <w:szCs w:val="28"/>
        </w:rPr>
      </w:pPr>
      <w:r>
        <w:rPr>
          <w:rFonts w:ascii="宋体" w:hAnsi="宋体" w:cs="宋体" w:hint="eastAsia"/>
          <w:b/>
          <w:color w:val="000000"/>
          <w:kern w:val="0"/>
          <w:sz w:val="32"/>
          <w:szCs w:val="28"/>
        </w:rPr>
        <w:t>代销机构的公告</w:t>
      </w:r>
    </w:p>
    <w:p w:rsidR="005A1539" w:rsidRDefault="00E0495F">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根据建信基金管理有限责任公司（以下简称“本公司”）与招商银行股份有限公司（以下简称“招商银行”）签署的代销协议，自2023年</w:t>
      </w:r>
      <w:r w:rsidR="008C3286">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月</w:t>
      </w:r>
      <w:r w:rsidR="008C3286">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日起，招商银行将代理销售公司旗下部分开放式基金，现将相关情况公告如下：</w:t>
      </w:r>
    </w:p>
    <w:p w:rsidR="005A1539" w:rsidRDefault="00E0495F">
      <w:pPr>
        <w:autoSpaceDE w:val="0"/>
        <w:autoSpaceDN w:val="0"/>
        <w:adjustRightInd w:val="0"/>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一、适用基金</w:t>
      </w:r>
    </w:p>
    <w:tbl>
      <w:tblPr>
        <w:tblStyle w:val="a6"/>
        <w:tblW w:w="9215" w:type="dxa"/>
        <w:tblInd w:w="-176" w:type="dxa"/>
        <w:tblLook w:val="04A0"/>
      </w:tblPr>
      <w:tblGrid>
        <w:gridCol w:w="710"/>
        <w:gridCol w:w="1275"/>
        <w:gridCol w:w="7230"/>
      </w:tblGrid>
      <w:tr w:rsidR="005A1539" w:rsidTr="00D17367">
        <w:tc>
          <w:tcPr>
            <w:tcW w:w="710" w:type="dxa"/>
            <w:vAlign w:val="center"/>
          </w:tcPr>
          <w:p w:rsidR="005A1539" w:rsidRDefault="00E0495F">
            <w:pPr>
              <w:autoSpaceDE w:val="0"/>
              <w:autoSpaceDN w:val="0"/>
              <w:adjustRightIn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1275" w:type="dxa"/>
            <w:vAlign w:val="center"/>
          </w:tcPr>
          <w:p w:rsidR="005A1539" w:rsidRDefault="00E0495F">
            <w:pPr>
              <w:autoSpaceDE w:val="0"/>
              <w:autoSpaceDN w:val="0"/>
              <w:adjustRightIn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基金代码</w:t>
            </w:r>
          </w:p>
        </w:tc>
        <w:tc>
          <w:tcPr>
            <w:tcW w:w="7230" w:type="dxa"/>
            <w:vAlign w:val="center"/>
          </w:tcPr>
          <w:p w:rsidR="005A1539" w:rsidRDefault="00E0495F">
            <w:pPr>
              <w:autoSpaceDE w:val="0"/>
              <w:autoSpaceDN w:val="0"/>
              <w:adjustRightInd w:val="0"/>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基金名称</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007699</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建信荣禧一年定期开放债券型证券投资基金</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005880</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建信上证50交易型开放式指数证券投资基金发起式联接基金</w:t>
            </w:r>
            <w:r>
              <w:rPr>
                <w:rFonts w:asciiTheme="minorEastAsia" w:eastAsiaTheme="minorEastAsia" w:hAnsiTheme="minorEastAsia" w:hint="eastAsia"/>
                <w:sz w:val="24"/>
                <w:szCs w:val="24"/>
              </w:rPr>
              <w:t>A</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005881</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建信上证50交易型开放式指数证券投资基金发起式联接基金</w:t>
            </w:r>
            <w:r>
              <w:rPr>
                <w:rFonts w:asciiTheme="minorEastAsia" w:eastAsiaTheme="minorEastAsia" w:hAnsiTheme="minorEastAsia" w:hint="eastAsia"/>
                <w:sz w:val="24"/>
                <w:szCs w:val="24"/>
              </w:rPr>
              <w:t>C</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013444</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建信上证50交易型开放式指数证券投资基金发起式联接基金</w:t>
            </w:r>
            <w:r>
              <w:rPr>
                <w:rFonts w:asciiTheme="minorEastAsia" w:eastAsiaTheme="minorEastAsia" w:hAnsiTheme="minorEastAsia" w:hint="eastAsia"/>
                <w:sz w:val="24"/>
                <w:szCs w:val="24"/>
              </w:rPr>
              <w:t>E</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005873</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建信创业板交易型开放式指数证券投资基金发起式联接基金</w:t>
            </w:r>
            <w:r>
              <w:rPr>
                <w:rFonts w:asciiTheme="minorEastAsia" w:eastAsiaTheme="minorEastAsia" w:hAnsiTheme="minorEastAsia" w:hint="eastAsia"/>
                <w:sz w:val="24"/>
                <w:szCs w:val="24"/>
              </w:rPr>
              <w:t>A</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005874</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建信创业板交易型开放式指数证券投资基金发起式联接基金</w:t>
            </w:r>
            <w:r>
              <w:rPr>
                <w:rFonts w:asciiTheme="minorEastAsia" w:eastAsiaTheme="minorEastAsia" w:hAnsiTheme="minorEastAsia" w:hint="eastAsia"/>
                <w:sz w:val="24"/>
                <w:szCs w:val="24"/>
              </w:rPr>
              <w:t>C</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013443</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建信创业板交易型开放式指数证券投资基金发起式联接基金</w:t>
            </w:r>
            <w:r>
              <w:rPr>
                <w:rFonts w:asciiTheme="minorEastAsia" w:eastAsiaTheme="minorEastAsia" w:hAnsiTheme="minorEastAsia" w:hint="eastAsia"/>
                <w:sz w:val="24"/>
                <w:szCs w:val="24"/>
              </w:rPr>
              <w:t>E</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012712</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建信沪深300红利交易型开放式指数证券投资基金发起式联接基金</w:t>
            </w:r>
            <w:r>
              <w:rPr>
                <w:rFonts w:asciiTheme="minorEastAsia" w:eastAsiaTheme="minorEastAsia" w:hAnsiTheme="minorEastAsia" w:hint="eastAsia"/>
                <w:sz w:val="24"/>
                <w:szCs w:val="24"/>
              </w:rPr>
              <w:t>A</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012713</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建信沪深300红利交易型开放式指数证券投资基金发起式联接基金</w:t>
            </w:r>
            <w:r>
              <w:rPr>
                <w:rFonts w:asciiTheme="minorEastAsia" w:eastAsiaTheme="minorEastAsia" w:hAnsiTheme="minorEastAsia" w:hint="eastAsia"/>
                <w:sz w:val="24"/>
                <w:szCs w:val="24"/>
              </w:rPr>
              <w:t>C</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007671</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建信中证红利潜力指数证券投资基金</w:t>
            </w:r>
            <w:r>
              <w:rPr>
                <w:rFonts w:asciiTheme="minorEastAsia" w:eastAsiaTheme="minorEastAsia" w:hAnsiTheme="minorEastAsia" w:hint="eastAsia"/>
                <w:sz w:val="24"/>
                <w:szCs w:val="24"/>
              </w:rPr>
              <w:t>A</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007672</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建信中证红利潜力指数证券投资基金</w:t>
            </w:r>
            <w:r>
              <w:rPr>
                <w:rFonts w:asciiTheme="minorEastAsia" w:eastAsiaTheme="minorEastAsia" w:hAnsiTheme="minorEastAsia" w:hint="eastAsia"/>
                <w:sz w:val="24"/>
                <w:szCs w:val="24"/>
              </w:rPr>
              <w:t>C</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012645</w:t>
            </w:r>
          </w:p>
        </w:tc>
        <w:tc>
          <w:tcPr>
            <w:tcW w:w="7230"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建信中证全指证券公司交易型开放式指数证券投资基金发起式联接基金</w:t>
            </w:r>
            <w:r w:rsidR="0052559F">
              <w:rPr>
                <w:rFonts w:asciiTheme="minorEastAsia" w:eastAsiaTheme="minorEastAsia" w:hAnsiTheme="minorEastAsia" w:hint="eastAsia"/>
                <w:sz w:val="24"/>
                <w:szCs w:val="24"/>
              </w:rPr>
              <w:t>A</w:t>
            </w:r>
          </w:p>
        </w:tc>
      </w:tr>
      <w:tr w:rsidR="005A1539" w:rsidTr="00D17367">
        <w:tc>
          <w:tcPr>
            <w:tcW w:w="710" w:type="dxa"/>
          </w:tcPr>
          <w:p w:rsidR="005A1539" w:rsidRDefault="00E0495F">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1275" w:type="dxa"/>
          </w:tcPr>
          <w:p w:rsidR="005A1539"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012646</w:t>
            </w:r>
          </w:p>
        </w:tc>
        <w:tc>
          <w:tcPr>
            <w:tcW w:w="7230" w:type="dxa"/>
          </w:tcPr>
          <w:p w:rsidR="005A1539" w:rsidRDefault="0052559F">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建信中证全指证券公司交易型开放式指数证券投资基金发起式联接基金</w:t>
            </w:r>
            <w:r>
              <w:rPr>
                <w:rFonts w:asciiTheme="minorEastAsia" w:eastAsiaTheme="minorEastAsia" w:hAnsiTheme="minorEastAsia" w:hint="eastAsia"/>
                <w:sz w:val="24"/>
                <w:szCs w:val="24"/>
              </w:rPr>
              <w:t>C</w:t>
            </w:r>
          </w:p>
        </w:tc>
      </w:tr>
      <w:tr w:rsidR="00D17367" w:rsidTr="00D17367">
        <w:tc>
          <w:tcPr>
            <w:tcW w:w="71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1275"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000105</w:t>
            </w:r>
          </w:p>
        </w:tc>
        <w:tc>
          <w:tcPr>
            <w:tcW w:w="723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建信安心回报定期开放债券型证券投资基金</w:t>
            </w:r>
            <w:r w:rsidR="0052559F">
              <w:rPr>
                <w:rFonts w:asciiTheme="minorEastAsia" w:eastAsiaTheme="minorEastAsia" w:hAnsiTheme="minorEastAsia" w:hint="eastAsia"/>
                <w:sz w:val="24"/>
                <w:szCs w:val="24"/>
              </w:rPr>
              <w:t>A</w:t>
            </w:r>
          </w:p>
        </w:tc>
      </w:tr>
      <w:tr w:rsidR="00D17367" w:rsidTr="00D17367">
        <w:tc>
          <w:tcPr>
            <w:tcW w:w="71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1275"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000106</w:t>
            </w:r>
          </w:p>
        </w:tc>
        <w:tc>
          <w:tcPr>
            <w:tcW w:w="7230" w:type="dxa"/>
          </w:tcPr>
          <w:p w:rsidR="00D17367" w:rsidRDefault="0052559F">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建信安心回报定期开放债券型证券投资基金</w:t>
            </w:r>
            <w:r>
              <w:rPr>
                <w:rFonts w:asciiTheme="minorEastAsia" w:eastAsiaTheme="minorEastAsia" w:hAnsiTheme="minorEastAsia" w:hint="eastAsia"/>
                <w:sz w:val="24"/>
                <w:szCs w:val="24"/>
              </w:rPr>
              <w:t>C</w:t>
            </w:r>
          </w:p>
        </w:tc>
      </w:tr>
      <w:tr w:rsidR="00D17367" w:rsidTr="00D17367">
        <w:tc>
          <w:tcPr>
            <w:tcW w:w="71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16</w:t>
            </w:r>
          </w:p>
        </w:tc>
        <w:tc>
          <w:tcPr>
            <w:tcW w:w="1275"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006791</w:t>
            </w:r>
          </w:p>
        </w:tc>
        <w:tc>
          <w:tcPr>
            <w:tcW w:w="723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建信睿兴纯债债券型证券投资基金</w:t>
            </w:r>
          </w:p>
        </w:tc>
      </w:tr>
      <w:tr w:rsidR="00D17367" w:rsidTr="00D17367">
        <w:tc>
          <w:tcPr>
            <w:tcW w:w="71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17</w:t>
            </w:r>
          </w:p>
        </w:tc>
        <w:tc>
          <w:tcPr>
            <w:tcW w:w="1275"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003583</w:t>
            </w:r>
          </w:p>
        </w:tc>
        <w:tc>
          <w:tcPr>
            <w:tcW w:w="723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建信稳定鑫利债券型证券投资基金</w:t>
            </w:r>
            <w:r w:rsidR="008C3286">
              <w:rPr>
                <w:rFonts w:asciiTheme="minorEastAsia" w:eastAsiaTheme="minorEastAsia" w:hAnsiTheme="minorEastAsia" w:hint="eastAsia"/>
                <w:sz w:val="24"/>
                <w:szCs w:val="24"/>
              </w:rPr>
              <w:t>A</w:t>
            </w:r>
          </w:p>
        </w:tc>
      </w:tr>
      <w:tr w:rsidR="00D17367" w:rsidTr="00D17367">
        <w:tc>
          <w:tcPr>
            <w:tcW w:w="71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18</w:t>
            </w:r>
          </w:p>
        </w:tc>
        <w:tc>
          <w:tcPr>
            <w:tcW w:w="1275"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003584</w:t>
            </w:r>
          </w:p>
        </w:tc>
        <w:tc>
          <w:tcPr>
            <w:tcW w:w="7230" w:type="dxa"/>
          </w:tcPr>
          <w:p w:rsidR="00D17367" w:rsidRDefault="008C3286">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建信稳定鑫利债券型证券投资基金</w:t>
            </w:r>
            <w:r>
              <w:rPr>
                <w:rFonts w:asciiTheme="minorEastAsia" w:eastAsiaTheme="minorEastAsia" w:hAnsiTheme="minorEastAsia" w:hint="eastAsia"/>
                <w:sz w:val="24"/>
                <w:szCs w:val="24"/>
              </w:rPr>
              <w:t>C</w:t>
            </w:r>
          </w:p>
        </w:tc>
      </w:tr>
      <w:tr w:rsidR="00D17367" w:rsidTr="00D17367">
        <w:tc>
          <w:tcPr>
            <w:tcW w:w="71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19</w:t>
            </w:r>
          </w:p>
        </w:tc>
        <w:tc>
          <w:tcPr>
            <w:tcW w:w="1275"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011946</w:t>
            </w:r>
          </w:p>
        </w:tc>
        <w:tc>
          <w:tcPr>
            <w:tcW w:w="723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建信裕丰利率债三个月定期开放债券型证券投资基金A</w:t>
            </w:r>
          </w:p>
        </w:tc>
      </w:tr>
      <w:tr w:rsidR="00D17367" w:rsidTr="00D17367">
        <w:tc>
          <w:tcPr>
            <w:tcW w:w="71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1275"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007094</w:t>
            </w:r>
          </w:p>
        </w:tc>
        <w:tc>
          <w:tcPr>
            <w:tcW w:w="723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建信中债3-5年国开行债券指数证券投资基金</w:t>
            </w:r>
            <w:r w:rsidR="008C3286">
              <w:rPr>
                <w:rFonts w:asciiTheme="minorEastAsia" w:eastAsiaTheme="minorEastAsia" w:hAnsiTheme="minorEastAsia" w:hint="eastAsia"/>
                <w:sz w:val="24"/>
                <w:szCs w:val="24"/>
              </w:rPr>
              <w:t>A</w:t>
            </w:r>
          </w:p>
        </w:tc>
      </w:tr>
      <w:tr w:rsidR="00D17367" w:rsidTr="00D17367">
        <w:tc>
          <w:tcPr>
            <w:tcW w:w="71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w:t>
            </w:r>
          </w:p>
        </w:tc>
        <w:tc>
          <w:tcPr>
            <w:tcW w:w="1275"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007095</w:t>
            </w:r>
          </w:p>
        </w:tc>
        <w:tc>
          <w:tcPr>
            <w:tcW w:w="7230" w:type="dxa"/>
          </w:tcPr>
          <w:p w:rsidR="00D17367" w:rsidRDefault="008C3286">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建信中债3-5年国开行债券指数证券投资基金</w:t>
            </w:r>
            <w:r>
              <w:rPr>
                <w:rFonts w:asciiTheme="minorEastAsia" w:eastAsiaTheme="minorEastAsia" w:hAnsiTheme="minorEastAsia" w:hint="eastAsia"/>
                <w:sz w:val="24"/>
                <w:szCs w:val="24"/>
              </w:rPr>
              <w:t>C</w:t>
            </w:r>
          </w:p>
        </w:tc>
      </w:tr>
      <w:tr w:rsidR="00D17367" w:rsidTr="00D17367">
        <w:tc>
          <w:tcPr>
            <w:tcW w:w="71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w:t>
            </w:r>
          </w:p>
        </w:tc>
        <w:tc>
          <w:tcPr>
            <w:tcW w:w="1275"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sz w:val="24"/>
                <w:szCs w:val="24"/>
              </w:rPr>
              <w:t>009528</w:t>
            </w:r>
          </w:p>
        </w:tc>
        <w:tc>
          <w:tcPr>
            <w:tcW w:w="7230" w:type="dxa"/>
          </w:tcPr>
          <w:p w:rsidR="00D17367" w:rsidRDefault="00D17367">
            <w:pPr>
              <w:autoSpaceDE w:val="0"/>
              <w:autoSpaceDN w:val="0"/>
              <w:adjustRightInd w:val="0"/>
              <w:spacing w:line="360" w:lineRule="auto"/>
              <w:jc w:val="center"/>
              <w:rPr>
                <w:rFonts w:asciiTheme="minorEastAsia" w:eastAsiaTheme="minorEastAsia" w:hAnsiTheme="minorEastAsia"/>
                <w:sz w:val="24"/>
                <w:szCs w:val="24"/>
              </w:rPr>
            </w:pPr>
            <w:r w:rsidRPr="00D17367">
              <w:rPr>
                <w:rFonts w:asciiTheme="minorEastAsia" w:eastAsiaTheme="minorEastAsia" w:hAnsiTheme="minorEastAsia" w:hint="eastAsia"/>
                <w:sz w:val="24"/>
                <w:szCs w:val="24"/>
              </w:rPr>
              <w:t>建信中债湖北省地方政府债指数发起式证券投资基金</w:t>
            </w:r>
          </w:p>
        </w:tc>
      </w:tr>
    </w:tbl>
    <w:p w:rsidR="005A1539" w:rsidRDefault="00E0495F">
      <w:pPr>
        <w:autoSpaceDE w:val="0"/>
        <w:autoSpaceDN w:val="0"/>
        <w:adjustRightInd w:val="0"/>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二、投资者可以通过以下途径咨询有关详情</w:t>
      </w:r>
    </w:p>
    <w:p w:rsidR="005A1539" w:rsidRDefault="00E0495F">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1、招商银行股份有限公司</w:t>
      </w:r>
    </w:p>
    <w:p w:rsidR="005A1539" w:rsidRDefault="00E0495F">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客户服务电话: 95555</w:t>
      </w:r>
    </w:p>
    <w:p w:rsidR="005A1539" w:rsidRDefault="00E0495F">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网址：www.cmbchina.com</w:t>
      </w:r>
    </w:p>
    <w:p w:rsidR="005A1539" w:rsidRDefault="00E0495F">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2、建信基金管理有限责任公司</w:t>
      </w:r>
    </w:p>
    <w:p w:rsidR="005A1539" w:rsidRDefault="00E0495F">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客户服务热线：400-81-95533(免长途通话费)</w:t>
      </w:r>
    </w:p>
    <w:p w:rsidR="005A1539" w:rsidRDefault="00E0495F">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网址：</w:t>
      </w:r>
      <w:hyperlink r:id="rId6" w:history="1">
        <w:r>
          <w:rPr>
            <w:rFonts w:asciiTheme="minorEastAsia" w:eastAsiaTheme="minorEastAsia" w:hAnsiTheme="minorEastAsia" w:hint="eastAsia"/>
            <w:sz w:val="24"/>
            <w:szCs w:val="24"/>
          </w:rPr>
          <w:t>www.ccbfund.cn</w:t>
        </w:r>
      </w:hyperlink>
    </w:p>
    <w:p w:rsidR="005A1539" w:rsidRDefault="00E0495F">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投资者通过</w:t>
      </w:r>
      <w:r>
        <w:rPr>
          <w:rFonts w:asciiTheme="minorEastAsia" w:eastAsiaTheme="minorEastAsia" w:hAnsiTheme="minorEastAsia" w:hint="eastAsia"/>
          <w:sz w:val="24"/>
          <w:szCs w:val="24"/>
        </w:rPr>
        <w:t>招商银行的基金代销</w:t>
      </w:r>
      <w:r>
        <w:rPr>
          <w:rFonts w:asciiTheme="minorEastAsia" w:eastAsiaTheme="minorEastAsia" w:hAnsiTheme="minorEastAsia"/>
          <w:sz w:val="24"/>
          <w:szCs w:val="24"/>
        </w:rPr>
        <w:t>网点</w:t>
      </w:r>
      <w:r>
        <w:rPr>
          <w:rFonts w:asciiTheme="minorEastAsia" w:eastAsiaTheme="minorEastAsia" w:hAnsiTheme="minorEastAsia" w:hint="eastAsia"/>
          <w:sz w:val="24"/>
          <w:szCs w:val="24"/>
        </w:rPr>
        <w:t>和销售网站</w:t>
      </w:r>
      <w:r>
        <w:rPr>
          <w:rFonts w:asciiTheme="minorEastAsia" w:eastAsiaTheme="minorEastAsia" w:hAnsiTheme="minorEastAsia"/>
          <w:sz w:val="24"/>
          <w:szCs w:val="24"/>
        </w:rPr>
        <w:t>办理业务时</w:t>
      </w:r>
      <w:r>
        <w:rPr>
          <w:rFonts w:asciiTheme="minorEastAsia" w:eastAsiaTheme="minorEastAsia" w:hAnsiTheme="minorEastAsia" w:hint="eastAsia"/>
          <w:sz w:val="24"/>
          <w:szCs w:val="24"/>
        </w:rPr>
        <w:t>，</w:t>
      </w:r>
      <w:r>
        <w:rPr>
          <w:rFonts w:asciiTheme="minorEastAsia" w:eastAsiaTheme="minorEastAsia" w:hAnsiTheme="minorEastAsia"/>
          <w:sz w:val="24"/>
          <w:szCs w:val="24"/>
        </w:rPr>
        <w:t>请按照</w:t>
      </w:r>
      <w:r>
        <w:rPr>
          <w:rFonts w:asciiTheme="minorEastAsia" w:eastAsiaTheme="minorEastAsia" w:hAnsiTheme="minorEastAsia" w:hint="eastAsia"/>
          <w:sz w:val="24"/>
          <w:szCs w:val="24"/>
        </w:rPr>
        <w:t>各代销网点的</w:t>
      </w:r>
      <w:r>
        <w:rPr>
          <w:rFonts w:asciiTheme="minorEastAsia" w:eastAsiaTheme="minorEastAsia" w:hAnsiTheme="minorEastAsia"/>
          <w:sz w:val="24"/>
          <w:szCs w:val="24"/>
        </w:rPr>
        <w:t>具体规定执行。</w:t>
      </w:r>
    </w:p>
    <w:p w:rsidR="005A1539" w:rsidRDefault="00E0495F">
      <w:pPr>
        <w:autoSpaceDE w:val="0"/>
        <w:autoSpaceDN w:val="0"/>
        <w:adjustRightInd w:val="0"/>
        <w:spacing w:line="360" w:lineRule="auto"/>
        <w:ind w:firstLineChars="200" w:firstLine="482"/>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t>风险提示：</w:t>
      </w:r>
      <w:r>
        <w:rPr>
          <w:rFonts w:asciiTheme="minorEastAsia" w:eastAsiaTheme="minorEastAsia" w:hAnsiTheme="minorEastAsia" w:hint="eastAsia"/>
          <w:sz w:val="24"/>
          <w:szCs w:val="24"/>
        </w:rPr>
        <w:t>本公司承诺以诚实信用、勤勉尽责的原则管理和运用基金资产，但不保证基金一定盈利，也不保证最低收益。投资者投资基金之前应认真阅读基金的《基金合同》、《招募说明书》、《产品资料概要》等文件。敬请投资者注意投资风险。</w:t>
      </w:r>
    </w:p>
    <w:p w:rsidR="005A1539" w:rsidRDefault="00E0495F">
      <w:pPr>
        <w:tabs>
          <w:tab w:val="left" w:pos="2775"/>
        </w:tabs>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5A1539" w:rsidRDefault="00E0495F">
      <w:pPr>
        <w:autoSpaceDE w:val="0"/>
        <w:autoSpaceDN w:val="0"/>
        <w:adjustRightInd w:val="0"/>
        <w:spacing w:line="360" w:lineRule="auto"/>
        <w:jc w:val="right"/>
        <w:rPr>
          <w:rFonts w:asciiTheme="minorEastAsia" w:eastAsiaTheme="minorEastAsia" w:hAnsiTheme="minorEastAsia"/>
          <w:sz w:val="24"/>
          <w:szCs w:val="24"/>
        </w:rPr>
      </w:pPr>
      <w:r>
        <w:rPr>
          <w:rFonts w:asciiTheme="minorEastAsia" w:eastAsiaTheme="minorEastAsia" w:hAnsiTheme="minorEastAsia"/>
          <w:sz w:val="24"/>
          <w:szCs w:val="24"/>
        </w:rPr>
        <w:t>建信基金管理有限责任公司</w:t>
      </w:r>
    </w:p>
    <w:p w:rsidR="005A1539" w:rsidRDefault="00E0495F">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2023年</w:t>
      </w:r>
      <w:r w:rsidR="008C3286">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月</w:t>
      </w:r>
      <w:r w:rsidR="008C3286">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w:t>
      </w:r>
    </w:p>
    <w:sectPr w:rsidR="005A1539" w:rsidSect="006911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07" w:rsidRDefault="00D30C07" w:rsidP="00D17367">
      <w:r>
        <w:separator/>
      </w:r>
    </w:p>
  </w:endnote>
  <w:endnote w:type="continuationSeparator" w:id="0">
    <w:p w:rsidR="00D30C07" w:rsidRDefault="00D30C07" w:rsidP="00D1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07" w:rsidRDefault="00D30C07" w:rsidP="00D17367">
      <w:r>
        <w:separator/>
      </w:r>
    </w:p>
  </w:footnote>
  <w:footnote w:type="continuationSeparator" w:id="0">
    <w:p w:rsidR="00D30C07" w:rsidRDefault="00D30C07" w:rsidP="00D173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JmNTAxYTA0NTllZTU0OWY5NWY0MWNlMzBjNGU2OTYifQ=="/>
  </w:docVars>
  <w:rsids>
    <w:rsidRoot w:val="00B17749"/>
    <w:rsid w:val="000100FA"/>
    <w:rsid w:val="00025DF7"/>
    <w:rsid w:val="00027A6E"/>
    <w:rsid w:val="00097931"/>
    <w:rsid w:val="000A14CF"/>
    <w:rsid w:val="000A72CA"/>
    <w:rsid w:val="000B1513"/>
    <w:rsid w:val="000B40D8"/>
    <w:rsid w:val="000B5EE8"/>
    <w:rsid w:val="000C1418"/>
    <w:rsid w:val="000C337D"/>
    <w:rsid w:val="000C36D8"/>
    <w:rsid w:val="000C658D"/>
    <w:rsid w:val="000C6ACF"/>
    <w:rsid w:val="000E3901"/>
    <w:rsid w:val="000F09F0"/>
    <w:rsid w:val="000F22F9"/>
    <w:rsid w:val="001210B9"/>
    <w:rsid w:val="00132ABD"/>
    <w:rsid w:val="00136D0E"/>
    <w:rsid w:val="00152259"/>
    <w:rsid w:val="00176ED5"/>
    <w:rsid w:val="00182BB5"/>
    <w:rsid w:val="00183708"/>
    <w:rsid w:val="001A0F01"/>
    <w:rsid w:val="001C6FCF"/>
    <w:rsid w:val="001D7CC9"/>
    <w:rsid w:val="001F2963"/>
    <w:rsid w:val="002279F1"/>
    <w:rsid w:val="00261E76"/>
    <w:rsid w:val="002A6701"/>
    <w:rsid w:val="00301A38"/>
    <w:rsid w:val="00314F0E"/>
    <w:rsid w:val="003228D0"/>
    <w:rsid w:val="00331979"/>
    <w:rsid w:val="00331E21"/>
    <w:rsid w:val="00331F05"/>
    <w:rsid w:val="0038247B"/>
    <w:rsid w:val="00391631"/>
    <w:rsid w:val="00394AED"/>
    <w:rsid w:val="003B25A4"/>
    <w:rsid w:val="003E0D2B"/>
    <w:rsid w:val="003E7F1E"/>
    <w:rsid w:val="004068BF"/>
    <w:rsid w:val="00413071"/>
    <w:rsid w:val="00420D8B"/>
    <w:rsid w:val="004265B3"/>
    <w:rsid w:val="004919AE"/>
    <w:rsid w:val="00497B5B"/>
    <w:rsid w:val="004A1C04"/>
    <w:rsid w:val="004A5641"/>
    <w:rsid w:val="004B6397"/>
    <w:rsid w:val="004C144E"/>
    <w:rsid w:val="004C15DC"/>
    <w:rsid w:val="004C7402"/>
    <w:rsid w:val="004C74E4"/>
    <w:rsid w:val="004F3770"/>
    <w:rsid w:val="00501540"/>
    <w:rsid w:val="00511ED8"/>
    <w:rsid w:val="00517465"/>
    <w:rsid w:val="0052559F"/>
    <w:rsid w:val="005356F4"/>
    <w:rsid w:val="00535EF4"/>
    <w:rsid w:val="005434BC"/>
    <w:rsid w:val="00575F4A"/>
    <w:rsid w:val="005778F4"/>
    <w:rsid w:val="005A1539"/>
    <w:rsid w:val="005A6F30"/>
    <w:rsid w:val="005B4963"/>
    <w:rsid w:val="005E5FE7"/>
    <w:rsid w:val="005E7C16"/>
    <w:rsid w:val="00612B15"/>
    <w:rsid w:val="00636BAA"/>
    <w:rsid w:val="00637F1D"/>
    <w:rsid w:val="00673D33"/>
    <w:rsid w:val="0068510D"/>
    <w:rsid w:val="0069110F"/>
    <w:rsid w:val="00691541"/>
    <w:rsid w:val="006A269F"/>
    <w:rsid w:val="006B75DF"/>
    <w:rsid w:val="006C1C53"/>
    <w:rsid w:val="006C4EB8"/>
    <w:rsid w:val="006E13B1"/>
    <w:rsid w:val="006F21EE"/>
    <w:rsid w:val="00704D23"/>
    <w:rsid w:val="00736A94"/>
    <w:rsid w:val="007524C0"/>
    <w:rsid w:val="00754189"/>
    <w:rsid w:val="007824B3"/>
    <w:rsid w:val="007979D8"/>
    <w:rsid w:val="007A0139"/>
    <w:rsid w:val="007A29F5"/>
    <w:rsid w:val="007B1C93"/>
    <w:rsid w:val="007F4BD1"/>
    <w:rsid w:val="00812B3F"/>
    <w:rsid w:val="00813A86"/>
    <w:rsid w:val="00824CD1"/>
    <w:rsid w:val="0085387E"/>
    <w:rsid w:val="008C1332"/>
    <w:rsid w:val="008C3286"/>
    <w:rsid w:val="008E2150"/>
    <w:rsid w:val="00906D08"/>
    <w:rsid w:val="0091558F"/>
    <w:rsid w:val="00931ACB"/>
    <w:rsid w:val="0097742A"/>
    <w:rsid w:val="0098412D"/>
    <w:rsid w:val="00991A90"/>
    <w:rsid w:val="009D1D80"/>
    <w:rsid w:val="009D2367"/>
    <w:rsid w:val="009F2181"/>
    <w:rsid w:val="00A05CC6"/>
    <w:rsid w:val="00A05E06"/>
    <w:rsid w:val="00A15B82"/>
    <w:rsid w:val="00A31C90"/>
    <w:rsid w:val="00A54D77"/>
    <w:rsid w:val="00A8081B"/>
    <w:rsid w:val="00AB0E86"/>
    <w:rsid w:val="00AC7773"/>
    <w:rsid w:val="00AD6B90"/>
    <w:rsid w:val="00AD6DE9"/>
    <w:rsid w:val="00AE39BA"/>
    <w:rsid w:val="00B05148"/>
    <w:rsid w:val="00B17749"/>
    <w:rsid w:val="00B27260"/>
    <w:rsid w:val="00B5787C"/>
    <w:rsid w:val="00B60CCF"/>
    <w:rsid w:val="00BA10A2"/>
    <w:rsid w:val="00BA2F4A"/>
    <w:rsid w:val="00BC537D"/>
    <w:rsid w:val="00BE12DE"/>
    <w:rsid w:val="00BE4556"/>
    <w:rsid w:val="00C04448"/>
    <w:rsid w:val="00C37ED1"/>
    <w:rsid w:val="00C50566"/>
    <w:rsid w:val="00C51657"/>
    <w:rsid w:val="00C628D7"/>
    <w:rsid w:val="00C6490B"/>
    <w:rsid w:val="00C9566C"/>
    <w:rsid w:val="00CA2189"/>
    <w:rsid w:val="00CC46A6"/>
    <w:rsid w:val="00CD6237"/>
    <w:rsid w:val="00CE5258"/>
    <w:rsid w:val="00D024AB"/>
    <w:rsid w:val="00D17367"/>
    <w:rsid w:val="00D30C07"/>
    <w:rsid w:val="00DD36CC"/>
    <w:rsid w:val="00DD4783"/>
    <w:rsid w:val="00DD7DB0"/>
    <w:rsid w:val="00E0495F"/>
    <w:rsid w:val="00E30790"/>
    <w:rsid w:val="00E332F5"/>
    <w:rsid w:val="00E341D6"/>
    <w:rsid w:val="00E54DDD"/>
    <w:rsid w:val="00E84A2F"/>
    <w:rsid w:val="00E91460"/>
    <w:rsid w:val="00E956EC"/>
    <w:rsid w:val="00EA6C0F"/>
    <w:rsid w:val="00EC32FE"/>
    <w:rsid w:val="00EF6E4B"/>
    <w:rsid w:val="00F01EC0"/>
    <w:rsid w:val="00F20B5C"/>
    <w:rsid w:val="00F24A62"/>
    <w:rsid w:val="00F8216D"/>
    <w:rsid w:val="00F92594"/>
    <w:rsid w:val="00FA4F8A"/>
    <w:rsid w:val="00FB4969"/>
    <w:rsid w:val="00FC2679"/>
    <w:rsid w:val="00FC2A21"/>
    <w:rsid w:val="00FC3A4E"/>
    <w:rsid w:val="00FE2FFF"/>
    <w:rsid w:val="00FF7685"/>
    <w:rsid w:val="54971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0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110F"/>
    <w:rPr>
      <w:sz w:val="18"/>
      <w:szCs w:val="18"/>
    </w:rPr>
  </w:style>
  <w:style w:type="paragraph" w:styleId="a4">
    <w:name w:val="footer"/>
    <w:basedOn w:val="a"/>
    <w:link w:val="Char0"/>
    <w:uiPriority w:val="99"/>
    <w:unhideWhenUsed/>
    <w:rsid w:val="0069110F"/>
    <w:pPr>
      <w:tabs>
        <w:tab w:val="center" w:pos="4153"/>
        <w:tab w:val="right" w:pos="8306"/>
      </w:tabs>
      <w:snapToGrid w:val="0"/>
      <w:jc w:val="left"/>
    </w:pPr>
    <w:rPr>
      <w:sz w:val="18"/>
      <w:szCs w:val="18"/>
    </w:rPr>
  </w:style>
  <w:style w:type="paragraph" w:styleId="a5">
    <w:name w:val="header"/>
    <w:basedOn w:val="a"/>
    <w:link w:val="Char1"/>
    <w:uiPriority w:val="99"/>
    <w:unhideWhenUsed/>
    <w:rsid w:val="0069110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rsid w:val="006911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table" w:styleId="a6">
    <w:name w:val="Table Grid"/>
    <w:basedOn w:val="a1"/>
    <w:uiPriority w:val="59"/>
    <w:rsid w:val="0069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9110F"/>
    <w:rPr>
      <w:color w:val="0000FF"/>
      <w:u w:val="single"/>
    </w:rPr>
  </w:style>
  <w:style w:type="character" w:customStyle="1" w:styleId="Char1">
    <w:name w:val="页眉 Char"/>
    <w:basedOn w:val="a0"/>
    <w:link w:val="a5"/>
    <w:uiPriority w:val="99"/>
    <w:rsid w:val="0069110F"/>
    <w:rPr>
      <w:rFonts w:ascii="Calibri" w:eastAsia="宋体" w:hAnsi="Calibri" w:cs="Times New Roman"/>
      <w:sz w:val="18"/>
      <w:szCs w:val="18"/>
    </w:rPr>
  </w:style>
  <w:style w:type="character" w:customStyle="1" w:styleId="Char0">
    <w:name w:val="页脚 Char"/>
    <w:basedOn w:val="a0"/>
    <w:link w:val="a4"/>
    <w:uiPriority w:val="99"/>
    <w:rsid w:val="0069110F"/>
    <w:rPr>
      <w:rFonts w:ascii="Calibri" w:eastAsia="宋体" w:hAnsi="Calibri" w:cs="Times New Roman"/>
      <w:sz w:val="18"/>
      <w:szCs w:val="18"/>
    </w:rPr>
  </w:style>
  <w:style w:type="character" w:customStyle="1" w:styleId="Char">
    <w:name w:val="批注框文本 Char"/>
    <w:basedOn w:val="a0"/>
    <w:link w:val="a3"/>
    <w:uiPriority w:val="99"/>
    <w:semiHidden/>
    <w:rsid w:val="0069110F"/>
    <w:rPr>
      <w:rFonts w:ascii="Calibri" w:eastAsia="宋体" w:hAnsi="Calibri" w:cs="Times New Roman"/>
      <w:sz w:val="18"/>
      <w:szCs w:val="18"/>
    </w:rPr>
  </w:style>
  <w:style w:type="character" w:customStyle="1" w:styleId="HTMLChar">
    <w:name w:val="HTML 预设格式 Char"/>
    <w:basedOn w:val="a0"/>
    <w:link w:val="HTML"/>
    <w:semiHidden/>
    <w:rsid w:val="0069110F"/>
    <w:rPr>
      <w:rFonts w:ascii="宋体" w:eastAsia="宋体" w:hAnsi="宋体" w:cs="宋体"/>
      <w:color w:val="000000"/>
      <w:kern w:val="0"/>
      <w:sz w:val="24"/>
      <w:szCs w:val="24"/>
    </w:rPr>
  </w:style>
  <w:style w:type="paragraph" w:styleId="a8">
    <w:name w:val="List Paragraph"/>
    <w:basedOn w:val="a"/>
    <w:uiPriority w:val="34"/>
    <w:qFormat/>
    <w:rsid w:val="006911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Pr>
      <w:color w:val="0000FF"/>
      <w:u w:val="single"/>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rPr>
      <w:rFonts w:ascii="Calibri" w:eastAsia="宋体" w:hAnsi="Calibri" w:cs="Times New Roman"/>
      <w:sz w:val="18"/>
      <w:szCs w:val="18"/>
    </w:rPr>
  </w:style>
  <w:style w:type="character" w:customStyle="1" w:styleId="HTMLChar">
    <w:name w:val="HTML 预设格式 Char"/>
    <w:basedOn w:val="a0"/>
    <w:link w:val="HTML"/>
    <w:semiHidden/>
    <w:rPr>
      <w:rFonts w:ascii="宋体" w:eastAsia="宋体" w:hAnsi="宋体" w:cs="宋体"/>
      <w:color w:val="000000"/>
      <w:kern w:val="0"/>
      <w:sz w:val="24"/>
      <w:szCs w:val="24"/>
    </w:rPr>
  </w:style>
  <w:style w:type="paragraph" w:styleId="a8">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1096</Characters>
  <Application>Microsoft Office Word</Application>
  <DocSecurity>4</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徐鹏展</dc:creator>
  <cp:lastModifiedBy>ZHONGM</cp:lastModifiedBy>
  <cp:revision>2</cp:revision>
  <cp:lastPrinted>2023-04-06T10:31:00Z</cp:lastPrinted>
  <dcterms:created xsi:type="dcterms:W3CDTF">2023-04-06T16:01:00Z</dcterms:created>
  <dcterms:modified xsi:type="dcterms:W3CDTF">2023-04-06T16:01:00Z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68D313345F85453889F57A81307B9BD8</vt:lpwstr>
  </property>
</Properties>
</file>