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A2242A">
      <w:pPr>
        <w:widowControl/>
        <w:jc w:val="center"/>
        <w:rPr>
          <w:rFonts w:eastAsiaTheme="minorEastAsia"/>
          <w:b/>
          <w:kern w:val="0"/>
          <w:sz w:val="30"/>
          <w:szCs w:val="30"/>
        </w:rPr>
      </w:pPr>
      <w:r>
        <w:rPr>
          <w:rFonts w:eastAsiaTheme="minorEastAsia"/>
          <w:b/>
          <w:kern w:val="0"/>
          <w:sz w:val="30"/>
          <w:szCs w:val="30"/>
        </w:rPr>
        <w:t>易方达中债</w:t>
      </w:r>
      <w:r>
        <w:rPr>
          <w:rFonts w:eastAsiaTheme="minorEastAsia"/>
          <w:b/>
          <w:kern w:val="0"/>
          <w:sz w:val="30"/>
          <w:szCs w:val="30"/>
        </w:rPr>
        <w:t>1-3</w:t>
      </w:r>
      <w:r>
        <w:rPr>
          <w:rFonts w:eastAsiaTheme="minorEastAsia"/>
          <w:b/>
          <w:kern w:val="0"/>
          <w:sz w:val="30"/>
          <w:szCs w:val="30"/>
        </w:rPr>
        <w:t>年政策性金融债指数证券投资基金分红公告</w:t>
      </w:r>
    </w:p>
    <w:p w:rsidR="003F0B40" w:rsidRDefault="00A2242A">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7</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A2242A">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年政策性金融债指数证券投资基金</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年政金债指数</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007364</w:t>
            </w:r>
          </w:p>
        </w:tc>
      </w:tr>
      <w:tr w:rsidR="005B4D6D">
        <w:trPr>
          <w:jc w:val="center"/>
        </w:trPr>
        <w:tc>
          <w:tcPr>
            <w:tcW w:w="4194" w:type="dxa"/>
            <w:gridSpan w:val="2"/>
            <w:vAlign w:val="center"/>
          </w:tcPr>
          <w:p w:rsidR="003F0B40" w:rsidRDefault="00A2242A">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3</w:t>
            </w:r>
            <w:r>
              <w:rPr>
                <w:rFonts w:eastAsiaTheme="minorEastAsia"/>
                <w:sz w:val="24"/>
                <w:szCs w:val="24"/>
              </w:rPr>
              <w:t>日</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易方达基金管理有限公司</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中国建设银行股份有限公司</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《公开募集证券投资基金信息披露管理办法》、《易方达中债</w:t>
            </w:r>
            <w:r>
              <w:rPr>
                <w:rFonts w:eastAsiaTheme="minorEastAsia"/>
                <w:sz w:val="24"/>
                <w:szCs w:val="24"/>
              </w:rPr>
              <w:t>1-3</w:t>
            </w:r>
            <w:r>
              <w:rPr>
                <w:rFonts w:eastAsiaTheme="minorEastAsia"/>
                <w:sz w:val="24"/>
                <w:szCs w:val="24"/>
              </w:rPr>
              <w:t>年政策性金融债指数证券投资基金基金合同》、《易方达中债</w:t>
            </w:r>
            <w:r>
              <w:rPr>
                <w:rFonts w:eastAsiaTheme="minorEastAsia"/>
                <w:sz w:val="24"/>
                <w:szCs w:val="24"/>
              </w:rPr>
              <w:t>1-3</w:t>
            </w:r>
            <w:r>
              <w:rPr>
                <w:rFonts w:eastAsiaTheme="minorEastAsia"/>
                <w:sz w:val="24"/>
                <w:szCs w:val="24"/>
              </w:rPr>
              <w:t>年政策性金融债指数证券投资基金更新的招募说明书》</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收益分配基准日</w:t>
            </w:r>
          </w:p>
        </w:tc>
        <w:tc>
          <w:tcPr>
            <w:tcW w:w="5412" w:type="dxa"/>
            <w:gridSpan w:val="2"/>
          </w:tcPr>
          <w:p w:rsidR="003F0B40" w:rsidRDefault="00A2242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3</w:t>
            </w:r>
            <w:r>
              <w:rPr>
                <w:rFonts w:eastAsiaTheme="minorEastAsia"/>
                <w:sz w:val="24"/>
                <w:szCs w:val="24"/>
              </w:rPr>
              <w:t>月</w:t>
            </w:r>
            <w:r>
              <w:rPr>
                <w:rFonts w:eastAsiaTheme="minorEastAsia"/>
                <w:sz w:val="24"/>
                <w:szCs w:val="24"/>
              </w:rPr>
              <w:t>31</w:t>
            </w:r>
            <w:r>
              <w:rPr>
                <w:rFonts w:eastAsiaTheme="minorEastAsia"/>
                <w:sz w:val="24"/>
                <w:szCs w:val="24"/>
              </w:rPr>
              <w:t>日</w:t>
            </w:r>
          </w:p>
        </w:tc>
      </w:tr>
      <w:tr w:rsidR="005B4D6D">
        <w:trPr>
          <w:jc w:val="center"/>
        </w:trPr>
        <w:tc>
          <w:tcPr>
            <w:tcW w:w="4194" w:type="dxa"/>
            <w:gridSpan w:val="2"/>
            <w:vAlign w:val="center"/>
          </w:tcPr>
          <w:p w:rsidR="003F0B40" w:rsidRDefault="00A2242A">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A2242A">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下属分级基金的基金简称</w:t>
            </w:r>
          </w:p>
        </w:tc>
        <w:tc>
          <w:tcPr>
            <w:tcW w:w="2706" w:type="dxa"/>
          </w:tcPr>
          <w:p w:rsidR="003F0B40" w:rsidRDefault="00A22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年政金债指数</w:t>
            </w:r>
            <w:r>
              <w:rPr>
                <w:rFonts w:eastAsiaTheme="minorEastAsia"/>
                <w:sz w:val="24"/>
                <w:szCs w:val="24"/>
              </w:rPr>
              <w:t>A</w:t>
            </w:r>
          </w:p>
        </w:tc>
        <w:tc>
          <w:tcPr>
            <w:tcW w:w="2706" w:type="dxa"/>
          </w:tcPr>
          <w:p w:rsidR="003F0B40" w:rsidRDefault="00A2242A">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年政金债指数</w:t>
            </w:r>
            <w:r>
              <w:rPr>
                <w:rFonts w:eastAsiaTheme="minorEastAsia"/>
                <w:sz w:val="24"/>
                <w:szCs w:val="24"/>
              </w:rPr>
              <w:t>C</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下属分级基金的交易代码</w:t>
            </w:r>
          </w:p>
        </w:tc>
        <w:tc>
          <w:tcPr>
            <w:tcW w:w="2706" w:type="dxa"/>
          </w:tcPr>
          <w:p w:rsidR="003F0B40" w:rsidRDefault="00A2242A">
            <w:pPr>
              <w:rPr>
                <w:rFonts w:eastAsiaTheme="minorEastAsia"/>
                <w:sz w:val="24"/>
                <w:szCs w:val="24"/>
              </w:rPr>
            </w:pPr>
            <w:r>
              <w:rPr>
                <w:rFonts w:eastAsiaTheme="minorEastAsia"/>
                <w:sz w:val="24"/>
                <w:szCs w:val="24"/>
              </w:rPr>
              <w:t>007364</w:t>
            </w:r>
          </w:p>
        </w:tc>
        <w:tc>
          <w:tcPr>
            <w:tcW w:w="2706" w:type="dxa"/>
          </w:tcPr>
          <w:p w:rsidR="003F0B40" w:rsidRDefault="00A2242A">
            <w:pPr>
              <w:rPr>
                <w:rFonts w:eastAsiaTheme="minorEastAsia"/>
                <w:sz w:val="24"/>
                <w:szCs w:val="24"/>
              </w:rPr>
            </w:pPr>
            <w:r>
              <w:rPr>
                <w:rFonts w:eastAsiaTheme="minorEastAsia"/>
                <w:sz w:val="24"/>
                <w:szCs w:val="24"/>
              </w:rPr>
              <w:t>007365</w:t>
            </w:r>
          </w:p>
        </w:tc>
      </w:tr>
      <w:tr w:rsidR="005B4D6D">
        <w:trPr>
          <w:jc w:val="center"/>
        </w:trPr>
        <w:tc>
          <w:tcPr>
            <w:tcW w:w="1980" w:type="dxa"/>
            <w:vMerge w:val="restart"/>
            <w:vAlign w:val="center"/>
          </w:tcPr>
          <w:p w:rsidR="003F0B40" w:rsidRDefault="00A2242A">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A2242A">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A2242A">
            <w:pPr>
              <w:rPr>
                <w:rFonts w:eastAsiaTheme="minorEastAsia"/>
                <w:sz w:val="24"/>
                <w:szCs w:val="24"/>
              </w:rPr>
            </w:pPr>
            <w:r>
              <w:rPr>
                <w:rFonts w:eastAsiaTheme="minorEastAsia"/>
                <w:sz w:val="24"/>
                <w:szCs w:val="24"/>
              </w:rPr>
              <w:t>1.0069</w:t>
            </w:r>
          </w:p>
        </w:tc>
        <w:tc>
          <w:tcPr>
            <w:tcW w:w="2706" w:type="dxa"/>
          </w:tcPr>
          <w:p w:rsidR="003F0B40" w:rsidRDefault="00A2242A">
            <w:pPr>
              <w:rPr>
                <w:rFonts w:eastAsiaTheme="minorEastAsia"/>
                <w:sz w:val="24"/>
                <w:szCs w:val="24"/>
              </w:rPr>
            </w:pPr>
            <w:r>
              <w:rPr>
                <w:rFonts w:eastAsiaTheme="minorEastAsia"/>
                <w:sz w:val="24"/>
                <w:szCs w:val="24"/>
              </w:rPr>
              <w:t>1.0064</w:t>
            </w:r>
          </w:p>
        </w:tc>
      </w:tr>
      <w:tr w:rsidR="005B4D6D">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A2242A">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A2242A">
            <w:pPr>
              <w:rPr>
                <w:rFonts w:eastAsiaTheme="minorEastAsia"/>
                <w:sz w:val="24"/>
                <w:szCs w:val="24"/>
              </w:rPr>
            </w:pPr>
            <w:r>
              <w:rPr>
                <w:rFonts w:eastAsiaTheme="minorEastAsia"/>
                <w:sz w:val="24"/>
                <w:szCs w:val="24"/>
              </w:rPr>
              <w:t>3,041,720.47</w:t>
            </w:r>
          </w:p>
        </w:tc>
        <w:tc>
          <w:tcPr>
            <w:tcW w:w="2706" w:type="dxa"/>
          </w:tcPr>
          <w:p w:rsidR="003F0B40" w:rsidRDefault="00A2242A">
            <w:pPr>
              <w:rPr>
                <w:rFonts w:eastAsiaTheme="minorEastAsia"/>
                <w:sz w:val="24"/>
                <w:szCs w:val="24"/>
              </w:rPr>
            </w:pPr>
            <w:r>
              <w:rPr>
                <w:rFonts w:eastAsiaTheme="minorEastAsia"/>
                <w:sz w:val="24"/>
                <w:szCs w:val="24"/>
              </w:rPr>
              <w:t>26,182.52</w:t>
            </w:r>
          </w:p>
        </w:tc>
      </w:tr>
      <w:tr w:rsidR="005B4D6D">
        <w:trPr>
          <w:jc w:val="center"/>
        </w:trPr>
        <w:tc>
          <w:tcPr>
            <w:tcW w:w="1980" w:type="dxa"/>
            <w:vMerge/>
          </w:tcPr>
          <w:p w:rsidR="00426511" w:rsidRDefault="00426511"/>
        </w:tc>
        <w:tc>
          <w:tcPr>
            <w:tcW w:w="2214" w:type="dxa"/>
            <w:vAlign w:val="center"/>
          </w:tcPr>
          <w:p w:rsidR="00426511" w:rsidRDefault="00A2242A">
            <w:pPr>
              <w:jc w:val="left"/>
            </w:pPr>
            <w:r>
              <w:rPr>
                <w:rFonts w:eastAsiaTheme="minorEastAsia"/>
                <w:sz w:val="24"/>
                <w:szCs w:val="24"/>
              </w:rPr>
              <w:t>截止基准日按照基金合同约定的分红比例计算的应分配金额（单位：人民币元）</w:t>
            </w:r>
          </w:p>
        </w:tc>
        <w:tc>
          <w:tcPr>
            <w:tcW w:w="2706" w:type="dxa"/>
            <w:vAlign w:val="center"/>
          </w:tcPr>
          <w:p w:rsidR="00426511" w:rsidRDefault="00A2242A">
            <w:pPr>
              <w:jc w:val="left"/>
            </w:pPr>
            <w:r>
              <w:rPr>
                <w:rFonts w:eastAsiaTheme="minorEastAsia"/>
                <w:sz w:val="24"/>
                <w:szCs w:val="24"/>
              </w:rPr>
              <w:t>2,737,548.43</w:t>
            </w:r>
          </w:p>
        </w:tc>
        <w:tc>
          <w:tcPr>
            <w:tcW w:w="2706" w:type="dxa"/>
            <w:vAlign w:val="center"/>
          </w:tcPr>
          <w:p w:rsidR="00426511" w:rsidRDefault="00A2242A">
            <w:pPr>
              <w:jc w:val="left"/>
            </w:pPr>
            <w:r>
              <w:rPr>
                <w:rFonts w:eastAsiaTheme="minorEastAsia"/>
                <w:sz w:val="24"/>
                <w:szCs w:val="24"/>
              </w:rPr>
              <w:t>23,564.27</w:t>
            </w:r>
          </w:p>
        </w:tc>
      </w:tr>
      <w:tr w:rsidR="005B4D6D">
        <w:trPr>
          <w:jc w:val="center"/>
        </w:trPr>
        <w:tc>
          <w:tcPr>
            <w:tcW w:w="4194" w:type="dxa"/>
            <w:gridSpan w:val="2"/>
          </w:tcPr>
          <w:p w:rsidR="003F0B40" w:rsidRDefault="00A2242A">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A2242A">
            <w:pPr>
              <w:rPr>
                <w:rFonts w:eastAsiaTheme="minorEastAsia"/>
                <w:sz w:val="24"/>
                <w:szCs w:val="24"/>
              </w:rPr>
            </w:pPr>
            <w:r>
              <w:rPr>
                <w:rFonts w:eastAsiaTheme="minorEastAsia"/>
                <w:sz w:val="24"/>
                <w:szCs w:val="24"/>
              </w:rPr>
              <w:t>0.050</w:t>
            </w:r>
          </w:p>
        </w:tc>
        <w:tc>
          <w:tcPr>
            <w:tcW w:w="2706" w:type="dxa"/>
          </w:tcPr>
          <w:p w:rsidR="003F0B40" w:rsidRDefault="00A2242A">
            <w:pPr>
              <w:rPr>
                <w:rFonts w:eastAsiaTheme="minorEastAsia"/>
                <w:sz w:val="24"/>
                <w:szCs w:val="24"/>
              </w:rPr>
            </w:pPr>
            <w:r>
              <w:rPr>
                <w:rFonts w:eastAsiaTheme="minorEastAsia"/>
                <w:sz w:val="24"/>
                <w:szCs w:val="24"/>
              </w:rPr>
              <w:t>0.040</w:t>
            </w:r>
          </w:p>
        </w:tc>
      </w:tr>
    </w:tbl>
    <w:p w:rsidR="003F0B40" w:rsidRDefault="00A2242A">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注：根据《易方达中债</w:t>
      </w:r>
      <w:r>
        <w:rPr>
          <w:rFonts w:eastAsiaTheme="minorEastAsia"/>
          <w:color w:val="000000"/>
          <w:sz w:val="24"/>
          <w:szCs w:val="24"/>
        </w:rPr>
        <w:t>1-3</w:t>
      </w:r>
      <w:r>
        <w:rPr>
          <w:rFonts w:eastAsiaTheme="minorEastAsia"/>
          <w:color w:val="000000"/>
          <w:sz w:val="24"/>
          <w:szCs w:val="24"/>
        </w:rPr>
        <w:t>年政策性金融债指数证券投资基金基金合同》规定，在符合有关基金分红条件的前提下，基金合同生效满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A2242A">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lastRenderedPageBreak/>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5B4D6D">
        <w:trPr>
          <w:jc w:val="center"/>
        </w:trPr>
        <w:tc>
          <w:tcPr>
            <w:tcW w:w="3342" w:type="dxa"/>
          </w:tcPr>
          <w:p w:rsidR="003F0B40" w:rsidRDefault="00A2242A">
            <w:pPr>
              <w:rPr>
                <w:rFonts w:eastAsiaTheme="minorEastAsia"/>
                <w:sz w:val="24"/>
                <w:szCs w:val="24"/>
              </w:rPr>
            </w:pPr>
            <w:r>
              <w:rPr>
                <w:rFonts w:eastAsiaTheme="minorEastAsia"/>
                <w:sz w:val="24"/>
                <w:szCs w:val="24"/>
              </w:rPr>
              <w:t>权益登记日</w:t>
            </w:r>
          </w:p>
        </w:tc>
        <w:tc>
          <w:tcPr>
            <w:tcW w:w="5978" w:type="dxa"/>
          </w:tcPr>
          <w:p w:rsidR="003F0B40" w:rsidRDefault="00A2242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10</w:t>
            </w:r>
            <w:r>
              <w:rPr>
                <w:rFonts w:eastAsiaTheme="minorEastAsia"/>
                <w:sz w:val="24"/>
                <w:szCs w:val="24"/>
              </w:rPr>
              <w:t>日</w:t>
            </w:r>
          </w:p>
        </w:tc>
      </w:tr>
      <w:tr w:rsidR="005B4D6D" w:rsidTr="00CC1298">
        <w:trPr>
          <w:jc w:val="center"/>
        </w:trPr>
        <w:tc>
          <w:tcPr>
            <w:tcW w:w="3342" w:type="dxa"/>
          </w:tcPr>
          <w:p w:rsidR="003F0B40" w:rsidRDefault="00A2242A">
            <w:pPr>
              <w:rPr>
                <w:rFonts w:eastAsiaTheme="minorEastAsia"/>
                <w:sz w:val="24"/>
                <w:szCs w:val="24"/>
              </w:rPr>
            </w:pPr>
            <w:r>
              <w:rPr>
                <w:rFonts w:eastAsiaTheme="minorEastAsia"/>
                <w:sz w:val="24"/>
                <w:szCs w:val="24"/>
              </w:rPr>
              <w:t>除息日</w:t>
            </w:r>
          </w:p>
        </w:tc>
        <w:tc>
          <w:tcPr>
            <w:tcW w:w="2989" w:type="dxa"/>
          </w:tcPr>
          <w:p w:rsidR="003F0B40" w:rsidRDefault="00A2242A" w:rsidP="00AA2E8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10</w:t>
            </w:r>
            <w:r>
              <w:rPr>
                <w:rFonts w:eastAsiaTheme="minorEastAsia"/>
                <w:sz w:val="24"/>
                <w:szCs w:val="24"/>
              </w:rPr>
              <w:t>日</w:t>
            </w:r>
            <w:bookmarkStart w:id="2" w:name="_GoBack"/>
            <w:bookmarkEnd w:id="2"/>
          </w:p>
        </w:tc>
      </w:tr>
      <w:tr w:rsidR="005B4D6D">
        <w:trPr>
          <w:jc w:val="center"/>
        </w:trPr>
        <w:tc>
          <w:tcPr>
            <w:tcW w:w="3342" w:type="dxa"/>
          </w:tcPr>
          <w:p w:rsidR="003F0B40" w:rsidRDefault="00A2242A">
            <w:pPr>
              <w:rPr>
                <w:rFonts w:eastAsiaTheme="minorEastAsia"/>
                <w:sz w:val="24"/>
                <w:szCs w:val="24"/>
              </w:rPr>
            </w:pPr>
            <w:r>
              <w:rPr>
                <w:rFonts w:eastAsiaTheme="minorEastAsia"/>
                <w:sz w:val="24"/>
                <w:szCs w:val="24"/>
              </w:rPr>
              <w:t>现金红利发放日</w:t>
            </w:r>
          </w:p>
        </w:tc>
        <w:tc>
          <w:tcPr>
            <w:tcW w:w="5978" w:type="dxa"/>
          </w:tcPr>
          <w:p w:rsidR="003F0B40" w:rsidRDefault="00A2242A">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11</w:t>
            </w:r>
            <w:r>
              <w:rPr>
                <w:rFonts w:eastAsiaTheme="minorEastAsia"/>
                <w:sz w:val="24"/>
                <w:szCs w:val="24"/>
              </w:rPr>
              <w:t>日</w:t>
            </w:r>
          </w:p>
        </w:tc>
      </w:tr>
      <w:tr w:rsidR="005B4D6D">
        <w:trPr>
          <w:jc w:val="center"/>
        </w:trPr>
        <w:tc>
          <w:tcPr>
            <w:tcW w:w="3342" w:type="dxa"/>
          </w:tcPr>
          <w:p w:rsidR="003F0B40" w:rsidRDefault="00A2242A">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A2242A">
            <w:pPr>
              <w:rPr>
                <w:rFonts w:eastAsiaTheme="minorEastAsia"/>
                <w:sz w:val="24"/>
                <w:szCs w:val="24"/>
              </w:rPr>
            </w:pPr>
            <w:r>
              <w:rPr>
                <w:rFonts w:eastAsiaTheme="minorEastAsia"/>
                <w:sz w:val="24"/>
                <w:szCs w:val="24"/>
              </w:rPr>
              <w:t>权益登记日在易方达基金管理有限公司登记在册的本基金全体持有人。</w:t>
            </w:r>
          </w:p>
        </w:tc>
      </w:tr>
      <w:tr w:rsidR="005B4D6D">
        <w:trPr>
          <w:jc w:val="center"/>
        </w:trPr>
        <w:tc>
          <w:tcPr>
            <w:tcW w:w="3342" w:type="dxa"/>
            <w:shd w:val="clear" w:color="auto" w:fill="auto"/>
            <w:vAlign w:val="center"/>
          </w:tcPr>
          <w:p w:rsidR="003F0B40" w:rsidRDefault="00A2242A">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A2242A">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10</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12</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R="005B4D6D">
        <w:trPr>
          <w:jc w:val="center"/>
        </w:trPr>
        <w:tc>
          <w:tcPr>
            <w:tcW w:w="3342" w:type="dxa"/>
          </w:tcPr>
          <w:p w:rsidR="003F0B40" w:rsidRDefault="00A2242A">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A2242A">
            <w:pPr>
              <w:rPr>
                <w:rFonts w:eastAsiaTheme="minorEastAsia"/>
                <w:sz w:val="24"/>
                <w:szCs w:val="24"/>
              </w:rPr>
            </w:pPr>
            <w:r>
              <w:rPr>
                <w:rFonts w:eastAsiaTheme="minorEastAsia"/>
                <w:sz w:val="24"/>
                <w:szCs w:val="24"/>
              </w:rPr>
              <w:t>根据相关法律法规规定，基金向投资者分配的基金收益，暂不征收所得税。</w:t>
            </w:r>
          </w:p>
        </w:tc>
      </w:tr>
      <w:tr w:rsidR="005B4D6D">
        <w:trPr>
          <w:jc w:val="center"/>
        </w:trPr>
        <w:tc>
          <w:tcPr>
            <w:tcW w:w="3342" w:type="dxa"/>
          </w:tcPr>
          <w:p w:rsidR="003F0B40" w:rsidRDefault="00A2242A">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A2242A">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426511" w:rsidRDefault="00A2242A">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11</w:t>
      </w:r>
      <w:r>
        <w:rPr>
          <w:rFonts w:eastAsiaTheme="minorEastAsia"/>
          <w:color w:val="000000"/>
          <w:sz w:val="24"/>
          <w:szCs w:val="24"/>
        </w:rPr>
        <w:t>日自基金托管账户划出。</w:t>
      </w:r>
    </w:p>
    <w:p w:rsidR="003F0B40" w:rsidRDefault="00A22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A2242A">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426511" w:rsidRDefault="00A22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426511" w:rsidRDefault="00A22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w:t>
      </w:r>
      <w:r>
        <w:rPr>
          <w:rFonts w:eastAsiaTheme="minorEastAsia"/>
          <w:color w:val="000000"/>
          <w:sz w:val="24"/>
          <w:szCs w:val="24"/>
        </w:rPr>
        <w:t>分红无效。</w:t>
      </w:r>
    </w:p>
    <w:p w:rsidR="00426511" w:rsidRDefault="00A2242A">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rsidRDefault="00A2242A">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A2242A">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A2242A">
      <w:pPr>
        <w:spacing w:line="360" w:lineRule="auto"/>
        <w:ind w:firstLineChars="200" w:firstLine="48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7</w:t>
      </w:r>
      <w:r>
        <w:rPr>
          <w:rFonts w:eastAsiaTheme="minorEastAsia"/>
          <w:color w:val="000000"/>
          <w:sz w:val="24"/>
          <w:szCs w:val="24"/>
        </w:rPr>
        <w:t>日</w:t>
      </w:r>
    </w:p>
    <w:sectPr w:rsidR="003F0B40" w:rsidSect="005B4D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26511"/>
    <w:rsid w:val="00486934"/>
    <w:rsid w:val="004966BA"/>
    <w:rsid w:val="004E68DA"/>
    <w:rsid w:val="0050279B"/>
    <w:rsid w:val="00506E3A"/>
    <w:rsid w:val="005715B6"/>
    <w:rsid w:val="00582D89"/>
    <w:rsid w:val="005B4D6D"/>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2242A"/>
    <w:rsid w:val="00A67015"/>
    <w:rsid w:val="00A72716"/>
    <w:rsid w:val="00A81C93"/>
    <w:rsid w:val="00A83087"/>
    <w:rsid w:val="00AA2E8A"/>
    <w:rsid w:val="00AC470F"/>
    <w:rsid w:val="00B14D73"/>
    <w:rsid w:val="00B21A32"/>
    <w:rsid w:val="00B44BBE"/>
    <w:rsid w:val="00B60712"/>
    <w:rsid w:val="00B77B08"/>
    <w:rsid w:val="00BA7F58"/>
    <w:rsid w:val="00BB421F"/>
    <w:rsid w:val="00BD7533"/>
    <w:rsid w:val="00BE444C"/>
    <w:rsid w:val="00BF5698"/>
    <w:rsid w:val="00C33DDD"/>
    <w:rsid w:val="00CB3D18"/>
    <w:rsid w:val="00CC129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ED5FFD"/>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6D"/>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5B4D6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5B4D6D"/>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5B4D6D"/>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B4D6D"/>
    <w:rPr>
      <w:rFonts w:ascii="宋体" w:eastAsia="宋体"/>
      <w:sz w:val="18"/>
      <w:szCs w:val="18"/>
    </w:rPr>
  </w:style>
  <w:style w:type="paragraph" w:styleId="a4">
    <w:name w:val="Balloon Text"/>
    <w:basedOn w:val="a"/>
    <w:link w:val="Char0"/>
    <w:uiPriority w:val="99"/>
    <w:semiHidden/>
    <w:unhideWhenUsed/>
    <w:qFormat/>
    <w:rsid w:val="005B4D6D"/>
    <w:rPr>
      <w:sz w:val="18"/>
      <w:szCs w:val="18"/>
    </w:rPr>
  </w:style>
  <w:style w:type="paragraph" w:styleId="a5">
    <w:name w:val="footer"/>
    <w:basedOn w:val="a"/>
    <w:link w:val="Char1"/>
    <w:uiPriority w:val="99"/>
    <w:unhideWhenUsed/>
    <w:rsid w:val="005B4D6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B4D6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5B4D6D"/>
    <w:pPr>
      <w:snapToGrid w:val="0"/>
      <w:jc w:val="left"/>
    </w:pPr>
    <w:rPr>
      <w:rFonts w:eastAsia="宋体"/>
      <w:sz w:val="18"/>
    </w:rPr>
  </w:style>
  <w:style w:type="character" w:styleId="a8">
    <w:name w:val="footnote reference"/>
    <w:basedOn w:val="a0"/>
    <w:qFormat/>
    <w:rsid w:val="005B4D6D"/>
    <w:rPr>
      <w:vertAlign w:val="superscript"/>
    </w:rPr>
  </w:style>
  <w:style w:type="character" w:customStyle="1" w:styleId="1Char">
    <w:name w:val="标题 1 Char"/>
    <w:basedOn w:val="a0"/>
    <w:link w:val="1"/>
    <w:qFormat/>
    <w:rsid w:val="005B4D6D"/>
    <w:rPr>
      <w:rFonts w:ascii="Times New Roman" w:eastAsia="宋体" w:hAnsi="Times New Roman" w:cs="Times New Roman"/>
      <w:b/>
      <w:bCs/>
      <w:kern w:val="44"/>
      <w:sz w:val="44"/>
      <w:szCs w:val="44"/>
    </w:rPr>
  </w:style>
  <w:style w:type="character" w:customStyle="1" w:styleId="2Char">
    <w:name w:val="标题 2 Char"/>
    <w:basedOn w:val="a0"/>
    <w:link w:val="2"/>
    <w:qFormat/>
    <w:rsid w:val="005B4D6D"/>
    <w:rPr>
      <w:rFonts w:ascii="Arial" w:eastAsia="黑体" w:hAnsi="Arial" w:cs="Times New Roman"/>
      <w:b/>
      <w:bCs/>
      <w:sz w:val="32"/>
      <w:szCs w:val="32"/>
    </w:rPr>
  </w:style>
  <w:style w:type="character" w:customStyle="1" w:styleId="Char3">
    <w:name w:val="脚注文本 Char"/>
    <w:basedOn w:val="a0"/>
    <w:link w:val="a7"/>
    <w:rsid w:val="005B4D6D"/>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5B4D6D"/>
    <w:rPr>
      <w:rFonts w:ascii="宋体" w:eastAsia="宋体" w:hAnsi="Times New Roman" w:cs="Times New Roman"/>
      <w:sz w:val="18"/>
      <w:szCs w:val="18"/>
    </w:rPr>
  </w:style>
  <w:style w:type="character" w:customStyle="1" w:styleId="Char2">
    <w:name w:val="页眉 Char"/>
    <w:basedOn w:val="a0"/>
    <w:link w:val="a6"/>
    <w:uiPriority w:val="99"/>
    <w:qFormat/>
    <w:rsid w:val="005B4D6D"/>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5B4D6D"/>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5B4D6D"/>
    <w:rPr>
      <w:rFonts w:ascii="Times New Roman" w:eastAsia="方正仿宋简体" w:hAnsi="Times New Roman" w:cs="Times New Roman"/>
      <w:sz w:val="18"/>
      <w:szCs w:val="18"/>
    </w:rPr>
  </w:style>
  <w:style w:type="character" w:customStyle="1" w:styleId="3Char">
    <w:name w:val="标题 3 Char"/>
    <w:basedOn w:val="a0"/>
    <w:link w:val="3"/>
    <w:qFormat/>
    <w:rsid w:val="005B4D6D"/>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1386</Characters>
  <Application>Microsoft Office Word</Application>
  <DocSecurity>4</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2023-04-06T16:02:00Z</dcterms:created>
  <dcterms:modified xsi:type="dcterms:W3CDTF">2023-04-06T16:02:00Z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