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71" w:rsidRPr="00295F7A" w:rsidRDefault="00295F7A" w:rsidP="00295F7A">
      <w:pPr>
        <w:jc w:val="center"/>
        <w:rPr>
          <w:rFonts w:ascii="宋体" w:eastAsia="宋体" w:hAnsi="宋体"/>
          <w:b/>
          <w:color w:val="000000"/>
          <w:sz w:val="28"/>
          <w:szCs w:val="28"/>
        </w:rPr>
      </w:pPr>
      <w:r w:rsidRPr="00295F7A">
        <w:rPr>
          <w:rFonts w:ascii="宋体" w:eastAsia="宋体" w:hAnsi="宋体" w:hint="eastAsia"/>
          <w:b/>
          <w:color w:val="000000"/>
          <w:sz w:val="28"/>
          <w:szCs w:val="28"/>
        </w:rPr>
        <w:t>平安基金管理有限公司关于旗下部分基金在</w:t>
      </w:r>
      <w:r w:rsidRPr="00295F7A">
        <w:rPr>
          <w:rFonts w:ascii="宋体" w:eastAsia="宋体" w:hAnsi="宋体"/>
          <w:b/>
          <w:color w:val="000000"/>
          <w:sz w:val="28"/>
          <w:szCs w:val="28"/>
        </w:rPr>
        <w:t>2023</w:t>
      </w:r>
      <w:r w:rsidRPr="00295F7A">
        <w:rPr>
          <w:rFonts w:ascii="宋体" w:eastAsia="宋体" w:hAnsi="宋体" w:hint="eastAsia"/>
          <w:b/>
          <w:color w:val="000000"/>
          <w:sz w:val="28"/>
          <w:szCs w:val="28"/>
        </w:rPr>
        <w:t>年度新增港股通交易日照常开放申购、赎回、转换、定期定额投资业务的公告</w:t>
      </w:r>
    </w:p>
    <w:p w:rsidR="00295F7A" w:rsidRDefault="00295F7A" w:rsidP="00295F7A">
      <w:pPr>
        <w:autoSpaceDE w:val="0"/>
        <w:autoSpaceDN w:val="0"/>
        <w:adjustRightInd w:val="0"/>
        <w:jc w:val="left"/>
        <w:rPr>
          <w:rFonts w:ascii="微软雅黑" w:eastAsia="微软雅黑" w:hAnsi="微软雅黑" w:cs="微软雅黑"/>
          <w:b/>
          <w:bCs/>
          <w:kern w:val="0"/>
          <w:sz w:val="24"/>
          <w:szCs w:val="24"/>
        </w:rPr>
      </w:pPr>
    </w:p>
    <w:p w:rsidR="005B386D" w:rsidRDefault="00295F7A" w:rsidP="00295F7A">
      <w:pPr>
        <w:autoSpaceDE w:val="0"/>
        <w:autoSpaceDN w:val="0"/>
        <w:adjustRightInd w:val="0"/>
        <w:spacing w:line="360" w:lineRule="auto"/>
        <w:ind w:firstLineChars="200" w:firstLine="480"/>
        <w:jc w:val="left"/>
        <w:rPr>
          <w:rFonts w:ascii="宋体" w:eastAsia="宋体" w:hAnsi="宋体"/>
          <w:color w:val="000000"/>
          <w:sz w:val="24"/>
          <w:szCs w:val="24"/>
        </w:rPr>
      </w:pPr>
      <w:r w:rsidRPr="00295F7A">
        <w:rPr>
          <w:rFonts w:ascii="宋体" w:eastAsia="宋体" w:hAnsi="宋体" w:hint="eastAsia"/>
          <w:color w:val="000000"/>
          <w:sz w:val="24"/>
          <w:szCs w:val="24"/>
        </w:rPr>
        <w:t>根据中国投资信息有限公司发布的《关于</w:t>
      </w:r>
      <w:r>
        <w:rPr>
          <w:rFonts w:ascii="宋体" w:eastAsia="宋体" w:hAnsi="宋体"/>
          <w:color w:val="000000"/>
          <w:sz w:val="24"/>
          <w:szCs w:val="24"/>
        </w:rPr>
        <w:t>2023</w:t>
      </w:r>
      <w:r w:rsidRPr="00295F7A">
        <w:rPr>
          <w:rFonts w:ascii="宋体" w:eastAsia="宋体" w:hAnsi="宋体" w:hint="eastAsia"/>
          <w:color w:val="000000"/>
          <w:sz w:val="24"/>
          <w:szCs w:val="24"/>
        </w:rPr>
        <w:t>年沪港通下新增港股通交易日有关安排的通知》及中国创盈市场服务有限公司发布的《关于</w:t>
      </w:r>
      <w:r>
        <w:rPr>
          <w:rFonts w:ascii="宋体" w:eastAsia="宋体" w:hAnsi="宋体"/>
          <w:color w:val="000000"/>
          <w:sz w:val="24"/>
          <w:szCs w:val="24"/>
        </w:rPr>
        <w:t>2023</w:t>
      </w:r>
      <w:r w:rsidRPr="00295F7A">
        <w:rPr>
          <w:rFonts w:ascii="宋体" w:eastAsia="宋体" w:hAnsi="宋体" w:hint="eastAsia"/>
          <w:color w:val="000000"/>
          <w:sz w:val="24"/>
          <w:szCs w:val="24"/>
        </w:rPr>
        <w:t>年新增港股通交易日及更新</w:t>
      </w:r>
      <w:r w:rsidR="004D4C9A">
        <w:rPr>
          <w:rFonts w:ascii="宋体" w:eastAsia="宋体" w:hAnsi="宋体"/>
          <w:color w:val="000000"/>
          <w:sz w:val="24"/>
          <w:szCs w:val="24"/>
        </w:rPr>
        <w:t>2023</w:t>
      </w:r>
      <w:r w:rsidRPr="00295F7A">
        <w:rPr>
          <w:rFonts w:ascii="宋体" w:eastAsia="宋体" w:hAnsi="宋体" w:hint="eastAsia"/>
          <w:color w:val="000000"/>
          <w:sz w:val="24"/>
          <w:szCs w:val="24"/>
        </w:rPr>
        <w:t>年深港通下的港股通交易日有关安排的通知》，</w:t>
      </w:r>
      <w:r>
        <w:rPr>
          <w:rFonts w:ascii="宋体" w:eastAsia="宋体" w:hAnsi="宋体"/>
          <w:color w:val="000000"/>
          <w:sz w:val="24"/>
          <w:szCs w:val="24"/>
        </w:rPr>
        <w:t>2023</w:t>
      </w:r>
      <w:r w:rsidRPr="00295F7A">
        <w:rPr>
          <w:rFonts w:ascii="宋体" w:eastAsia="宋体" w:hAnsi="宋体" w:hint="eastAsia"/>
          <w:color w:val="000000"/>
          <w:sz w:val="24"/>
          <w:szCs w:val="24"/>
        </w:rPr>
        <w:t>年</w:t>
      </w:r>
      <w:r w:rsidRPr="00295F7A">
        <w:rPr>
          <w:rFonts w:ascii="宋体" w:eastAsia="宋体" w:hAnsi="宋体"/>
          <w:color w:val="000000"/>
          <w:sz w:val="24"/>
          <w:szCs w:val="24"/>
        </w:rPr>
        <w:t>4</w:t>
      </w:r>
      <w:r w:rsidRPr="00295F7A">
        <w:rPr>
          <w:rFonts w:ascii="宋体" w:eastAsia="宋体" w:hAnsi="宋体" w:hint="eastAsia"/>
          <w:color w:val="000000"/>
          <w:sz w:val="24"/>
          <w:szCs w:val="24"/>
        </w:rPr>
        <w:t>月</w:t>
      </w:r>
      <w:r>
        <w:rPr>
          <w:rFonts w:ascii="宋体" w:eastAsia="宋体" w:hAnsi="宋体"/>
          <w:color w:val="000000"/>
          <w:sz w:val="24"/>
          <w:szCs w:val="24"/>
        </w:rPr>
        <w:t>27</w:t>
      </w:r>
      <w:r w:rsidRPr="00295F7A">
        <w:rPr>
          <w:rFonts w:ascii="宋体" w:eastAsia="宋体" w:hAnsi="宋体" w:hint="eastAsia"/>
          <w:color w:val="000000"/>
          <w:sz w:val="24"/>
          <w:szCs w:val="24"/>
        </w:rPr>
        <w:t>日、</w:t>
      </w:r>
      <w:r>
        <w:rPr>
          <w:rFonts w:ascii="宋体" w:eastAsia="宋体" w:hAnsi="宋体"/>
          <w:color w:val="000000"/>
          <w:sz w:val="24"/>
          <w:szCs w:val="24"/>
        </w:rPr>
        <w:t>4</w:t>
      </w:r>
      <w:r w:rsidRPr="00295F7A">
        <w:rPr>
          <w:rFonts w:ascii="宋体" w:eastAsia="宋体" w:hAnsi="宋体" w:hint="eastAsia"/>
          <w:color w:val="000000"/>
          <w:sz w:val="24"/>
          <w:szCs w:val="24"/>
        </w:rPr>
        <w:t>月</w:t>
      </w:r>
      <w:r>
        <w:rPr>
          <w:rFonts w:ascii="宋体" w:eastAsia="宋体" w:hAnsi="宋体"/>
          <w:color w:val="000000"/>
          <w:sz w:val="24"/>
          <w:szCs w:val="24"/>
        </w:rPr>
        <w:t>28</w:t>
      </w:r>
      <w:r w:rsidRPr="00295F7A">
        <w:rPr>
          <w:rFonts w:ascii="宋体" w:eastAsia="宋体" w:hAnsi="宋体" w:hint="eastAsia"/>
          <w:color w:val="000000"/>
          <w:sz w:val="24"/>
          <w:szCs w:val="24"/>
        </w:rPr>
        <w:t>日、</w:t>
      </w:r>
      <w:r>
        <w:rPr>
          <w:rFonts w:ascii="宋体" w:eastAsia="宋体" w:hAnsi="宋体"/>
          <w:color w:val="000000"/>
          <w:sz w:val="24"/>
          <w:szCs w:val="24"/>
        </w:rPr>
        <w:t>6</w:t>
      </w:r>
      <w:r w:rsidRPr="00295F7A">
        <w:rPr>
          <w:rFonts w:ascii="宋体" w:eastAsia="宋体" w:hAnsi="宋体" w:hint="eastAsia"/>
          <w:color w:val="000000"/>
          <w:sz w:val="24"/>
          <w:szCs w:val="24"/>
        </w:rPr>
        <w:t>月</w:t>
      </w:r>
      <w:r>
        <w:rPr>
          <w:rFonts w:ascii="宋体" w:eastAsia="宋体" w:hAnsi="宋体"/>
          <w:color w:val="000000"/>
          <w:sz w:val="24"/>
          <w:szCs w:val="24"/>
        </w:rPr>
        <w:t>20</w:t>
      </w:r>
      <w:r w:rsidRPr="00295F7A">
        <w:rPr>
          <w:rFonts w:ascii="宋体" w:eastAsia="宋体" w:hAnsi="宋体" w:hint="eastAsia"/>
          <w:color w:val="000000"/>
          <w:sz w:val="24"/>
          <w:szCs w:val="24"/>
        </w:rPr>
        <w:t>日、</w:t>
      </w:r>
      <w:r>
        <w:rPr>
          <w:rFonts w:ascii="宋体" w:eastAsia="宋体" w:hAnsi="宋体"/>
          <w:color w:val="000000"/>
          <w:sz w:val="24"/>
          <w:szCs w:val="24"/>
        </w:rPr>
        <w:t>6</w:t>
      </w:r>
      <w:r w:rsidRPr="00295F7A">
        <w:rPr>
          <w:rFonts w:ascii="宋体" w:eastAsia="宋体" w:hAnsi="宋体" w:hint="eastAsia"/>
          <w:color w:val="000000"/>
          <w:sz w:val="24"/>
          <w:szCs w:val="24"/>
        </w:rPr>
        <w:t>月</w:t>
      </w:r>
      <w:r>
        <w:rPr>
          <w:rFonts w:ascii="宋体" w:eastAsia="宋体" w:hAnsi="宋体"/>
          <w:color w:val="000000"/>
          <w:sz w:val="24"/>
          <w:szCs w:val="24"/>
        </w:rPr>
        <w:t>21</w:t>
      </w:r>
      <w:r w:rsidRPr="00295F7A">
        <w:rPr>
          <w:rFonts w:ascii="宋体" w:eastAsia="宋体" w:hAnsi="宋体" w:hint="eastAsia"/>
          <w:color w:val="000000"/>
          <w:sz w:val="24"/>
          <w:szCs w:val="24"/>
        </w:rPr>
        <w:t>日、</w:t>
      </w:r>
      <w:r>
        <w:rPr>
          <w:rFonts w:ascii="宋体" w:eastAsia="宋体" w:hAnsi="宋体"/>
          <w:color w:val="000000"/>
          <w:sz w:val="24"/>
          <w:szCs w:val="24"/>
        </w:rPr>
        <w:t>9</w:t>
      </w:r>
      <w:r w:rsidRPr="00295F7A">
        <w:rPr>
          <w:rFonts w:ascii="宋体" w:eastAsia="宋体" w:hAnsi="宋体" w:hint="eastAsia"/>
          <w:color w:val="000000"/>
          <w:sz w:val="24"/>
          <w:szCs w:val="24"/>
        </w:rPr>
        <w:t>月</w:t>
      </w:r>
      <w:r>
        <w:rPr>
          <w:rFonts w:ascii="宋体" w:eastAsia="宋体" w:hAnsi="宋体"/>
          <w:color w:val="000000"/>
          <w:sz w:val="24"/>
          <w:szCs w:val="24"/>
        </w:rPr>
        <w:t>27</w:t>
      </w:r>
      <w:r w:rsidRPr="00295F7A">
        <w:rPr>
          <w:rFonts w:ascii="宋体" w:eastAsia="宋体" w:hAnsi="宋体" w:hint="eastAsia"/>
          <w:color w:val="000000"/>
          <w:sz w:val="24"/>
          <w:szCs w:val="24"/>
        </w:rPr>
        <w:t>日、</w:t>
      </w:r>
      <w:r>
        <w:rPr>
          <w:rFonts w:ascii="宋体" w:eastAsia="宋体" w:hAnsi="宋体"/>
          <w:color w:val="000000"/>
          <w:sz w:val="24"/>
          <w:szCs w:val="24"/>
        </w:rPr>
        <w:t>9</w:t>
      </w:r>
      <w:r w:rsidRPr="00295F7A">
        <w:rPr>
          <w:rFonts w:ascii="宋体" w:eastAsia="宋体" w:hAnsi="宋体" w:hint="eastAsia"/>
          <w:color w:val="000000"/>
          <w:sz w:val="24"/>
          <w:szCs w:val="24"/>
        </w:rPr>
        <w:t>月</w:t>
      </w:r>
      <w:r>
        <w:rPr>
          <w:rFonts w:ascii="宋体" w:eastAsia="宋体" w:hAnsi="宋体"/>
          <w:color w:val="000000"/>
          <w:sz w:val="24"/>
          <w:szCs w:val="24"/>
        </w:rPr>
        <w:t>28</w:t>
      </w:r>
      <w:r w:rsidRPr="00295F7A">
        <w:rPr>
          <w:rFonts w:ascii="宋体" w:eastAsia="宋体" w:hAnsi="宋体" w:hint="eastAsia"/>
          <w:color w:val="000000"/>
          <w:sz w:val="24"/>
          <w:szCs w:val="24"/>
        </w:rPr>
        <w:t>日为</w:t>
      </w:r>
      <w:r>
        <w:rPr>
          <w:rFonts w:ascii="宋体" w:eastAsia="宋体" w:hAnsi="宋体"/>
          <w:color w:val="000000"/>
          <w:sz w:val="24"/>
          <w:szCs w:val="24"/>
        </w:rPr>
        <w:t>2023</w:t>
      </w:r>
      <w:r w:rsidRPr="00295F7A">
        <w:rPr>
          <w:rFonts w:ascii="宋体" w:eastAsia="宋体" w:hAnsi="宋体" w:hint="eastAsia"/>
          <w:color w:val="000000"/>
          <w:sz w:val="24"/>
          <w:szCs w:val="24"/>
        </w:rPr>
        <w:t>年度新增港股通交易日。平安基金管理有限公司（以下简称“本公司”）旗下相关基金在上述新增港股通交易日的业务安排调整为照常开放申购、赎回、转换</w:t>
      </w:r>
      <w:r>
        <w:rPr>
          <w:rFonts w:ascii="宋体" w:eastAsia="宋体" w:hAnsi="宋体" w:hint="eastAsia"/>
          <w:color w:val="000000"/>
          <w:sz w:val="24"/>
          <w:szCs w:val="24"/>
        </w:rPr>
        <w:t>（如已开通）</w:t>
      </w:r>
      <w:r w:rsidRPr="00295F7A">
        <w:rPr>
          <w:rFonts w:ascii="宋体" w:eastAsia="宋体" w:hAnsi="宋体" w:hint="eastAsia"/>
          <w:color w:val="000000"/>
          <w:sz w:val="24"/>
          <w:szCs w:val="24"/>
        </w:rPr>
        <w:t>、定期定额投资</w:t>
      </w:r>
      <w:r w:rsidR="00C51E6F" w:rsidRPr="00C51E6F">
        <w:rPr>
          <w:rFonts w:ascii="宋体" w:eastAsia="宋体" w:hAnsi="宋体" w:hint="eastAsia"/>
          <w:color w:val="000000"/>
          <w:sz w:val="24"/>
          <w:szCs w:val="24"/>
        </w:rPr>
        <w:t>（如已开通）</w:t>
      </w:r>
      <w:r w:rsidRPr="00295F7A">
        <w:rPr>
          <w:rFonts w:ascii="宋体" w:eastAsia="宋体" w:hAnsi="宋体" w:hint="eastAsia"/>
          <w:color w:val="000000"/>
          <w:sz w:val="24"/>
          <w:szCs w:val="24"/>
        </w:rPr>
        <w:t>业务。</w:t>
      </w:r>
    </w:p>
    <w:p w:rsidR="00295F7A" w:rsidRDefault="00295F7A" w:rsidP="00295F7A">
      <w:pPr>
        <w:autoSpaceDE w:val="0"/>
        <w:autoSpaceDN w:val="0"/>
        <w:adjustRightInd w:val="0"/>
        <w:spacing w:line="360"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适用基金如下：</w:t>
      </w:r>
    </w:p>
    <w:tbl>
      <w:tblPr>
        <w:tblStyle w:val="a3"/>
        <w:tblW w:w="8784" w:type="dxa"/>
        <w:tblLook w:val="04A0"/>
      </w:tblPr>
      <w:tblGrid>
        <w:gridCol w:w="704"/>
        <w:gridCol w:w="1276"/>
        <w:gridCol w:w="6804"/>
      </w:tblGrid>
      <w:tr w:rsidR="005B386D" w:rsidTr="005B386D">
        <w:tc>
          <w:tcPr>
            <w:tcW w:w="704" w:type="dxa"/>
          </w:tcPr>
          <w:p w:rsidR="005B386D" w:rsidRDefault="005B386D"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序号</w:t>
            </w:r>
          </w:p>
        </w:tc>
        <w:tc>
          <w:tcPr>
            <w:tcW w:w="1276" w:type="dxa"/>
          </w:tcPr>
          <w:p w:rsidR="005B386D" w:rsidRDefault="005B386D"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份额代码</w:t>
            </w:r>
          </w:p>
        </w:tc>
        <w:tc>
          <w:tcPr>
            <w:tcW w:w="6804" w:type="dxa"/>
          </w:tcPr>
          <w:p w:rsidR="005B386D" w:rsidRDefault="005B386D"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基金名称</w:t>
            </w:r>
          </w:p>
        </w:tc>
      </w:tr>
      <w:tr w:rsidR="005B386D" w:rsidTr="005B386D">
        <w:tc>
          <w:tcPr>
            <w:tcW w:w="704" w:type="dxa"/>
          </w:tcPr>
          <w:p w:rsidR="005B386D" w:rsidRDefault="00C51E6F"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1</w:t>
            </w:r>
          </w:p>
        </w:tc>
        <w:tc>
          <w:tcPr>
            <w:tcW w:w="1276" w:type="dxa"/>
          </w:tcPr>
          <w:p w:rsidR="005B386D" w:rsidRDefault="005B386D" w:rsidP="00C51E6F">
            <w:pPr>
              <w:autoSpaceDE w:val="0"/>
              <w:autoSpaceDN w:val="0"/>
              <w:adjustRightInd w:val="0"/>
              <w:spacing w:line="360" w:lineRule="auto"/>
              <w:jc w:val="center"/>
              <w:rPr>
                <w:rFonts w:ascii="宋体" w:eastAsia="宋体" w:hAnsi="宋体"/>
                <w:color w:val="000000"/>
                <w:sz w:val="24"/>
                <w:szCs w:val="24"/>
              </w:rPr>
            </w:pPr>
            <w:r w:rsidRPr="005B386D">
              <w:rPr>
                <w:rFonts w:ascii="宋体" w:eastAsia="宋体" w:hAnsi="宋体"/>
                <w:color w:val="000000"/>
                <w:sz w:val="24"/>
                <w:szCs w:val="24"/>
              </w:rPr>
              <w:t>159719</w:t>
            </w:r>
          </w:p>
        </w:tc>
        <w:tc>
          <w:tcPr>
            <w:tcW w:w="6804" w:type="dxa"/>
          </w:tcPr>
          <w:p w:rsidR="005B386D" w:rsidRDefault="005B386D" w:rsidP="00C51E6F">
            <w:pPr>
              <w:autoSpaceDE w:val="0"/>
              <w:autoSpaceDN w:val="0"/>
              <w:adjustRightInd w:val="0"/>
              <w:spacing w:line="360" w:lineRule="auto"/>
              <w:jc w:val="left"/>
              <w:rPr>
                <w:rFonts w:ascii="宋体" w:eastAsia="宋体" w:hAnsi="宋体"/>
                <w:color w:val="000000"/>
                <w:sz w:val="24"/>
                <w:szCs w:val="24"/>
              </w:rPr>
            </w:pPr>
            <w:r w:rsidRPr="005B386D">
              <w:rPr>
                <w:rFonts w:ascii="宋体" w:eastAsia="宋体" w:hAnsi="宋体" w:hint="eastAsia"/>
                <w:color w:val="000000"/>
                <w:sz w:val="24"/>
                <w:szCs w:val="24"/>
              </w:rPr>
              <w:t>平安富时中国国企开放共赢交易型开放式指数证券投资基金</w:t>
            </w:r>
          </w:p>
        </w:tc>
      </w:tr>
      <w:tr w:rsidR="005B386D" w:rsidTr="005B386D">
        <w:tc>
          <w:tcPr>
            <w:tcW w:w="704" w:type="dxa"/>
          </w:tcPr>
          <w:p w:rsidR="005B386D" w:rsidRDefault="00C51E6F"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2</w:t>
            </w:r>
          </w:p>
        </w:tc>
        <w:tc>
          <w:tcPr>
            <w:tcW w:w="1276" w:type="dxa"/>
          </w:tcPr>
          <w:p w:rsidR="005B386D" w:rsidRDefault="005B386D" w:rsidP="00C51E6F">
            <w:pPr>
              <w:autoSpaceDE w:val="0"/>
              <w:autoSpaceDN w:val="0"/>
              <w:adjustRightInd w:val="0"/>
              <w:spacing w:line="360" w:lineRule="auto"/>
              <w:jc w:val="center"/>
              <w:rPr>
                <w:rFonts w:ascii="宋体" w:eastAsia="宋体" w:hAnsi="宋体"/>
                <w:color w:val="000000"/>
                <w:sz w:val="24"/>
                <w:szCs w:val="24"/>
              </w:rPr>
            </w:pPr>
            <w:r w:rsidRPr="005B386D">
              <w:rPr>
                <w:rFonts w:ascii="宋体" w:eastAsia="宋体" w:hAnsi="宋体"/>
                <w:color w:val="000000"/>
                <w:sz w:val="24"/>
                <w:szCs w:val="24"/>
              </w:rPr>
              <w:t>159960</w:t>
            </w:r>
          </w:p>
        </w:tc>
        <w:tc>
          <w:tcPr>
            <w:tcW w:w="6804" w:type="dxa"/>
          </w:tcPr>
          <w:p w:rsidR="005B386D" w:rsidRDefault="005B386D" w:rsidP="00C51E6F">
            <w:pPr>
              <w:autoSpaceDE w:val="0"/>
              <w:autoSpaceDN w:val="0"/>
              <w:adjustRightInd w:val="0"/>
              <w:spacing w:line="360" w:lineRule="auto"/>
              <w:jc w:val="left"/>
              <w:rPr>
                <w:rFonts w:ascii="宋体" w:eastAsia="宋体" w:hAnsi="宋体"/>
                <w:color w:val="000000"/>
                <w:sz w:val="24"/>
                <w:szCs w:val="24"/>
              </w:rPr>
            </w:pPr>
            <w:r w:rsidRPr="005B386D">
              <w:rPr>
                <w:rFonts w:ascii="宋体" w:eastAsia="宋体" w:hAnsi="宋体" w:hint="eastAsia"/>
                <w:color w:val="000000"/>
                <w:sz w:val="24"/>
                <w:szCs w:val="24"/>
              </w:rPr>
              <w:t>平安港股通恒生中国企业交易型开放式指数证券投资基金</w:t>
            </w:r>
          </w:p>
        </w:tc>
      </w:tr>
      <w:tr w:rsidR="005B386D" w:rsidTr="005B386D">
        <w:tc>
          <w:tcPr>
            <w:tcW w:w="704" w:type="dxa"/>
          </w:tcPr>
          <w:p w:rsidR="005B386D" w:rsidRDefault="00C51E6F"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3</w:t>
            </w:r>
          </w:p>
        </w:tc>
        <w:tc>
          <w:tcPr>
            <w:tcW w:w="1276" w:type="dxa"/>
          </w:tcPr>
          <w:p w:rsidR="005B386D" w:rsidRDefault="005B386D" w:rsidP="00C51E6F">
            <w:pPr>
              <w:autoSpaceDE w:val="0"/>
              <w:autoSpaceDN w:val="0"/>
              <w:adjustRightInd w:val="0"/>
              <w:spacing w:line="360" w:lineRule="auto"/>
              <w:jc w:val="center"/>
              <w:rPr>
                <w:rFonts w:ascii="宋体" w:eastAsia="宋体" w:hAnsi="宋体"/>
                <w:color w:val="000000"/>
                <w:sz w:val="24"/>
                <w:szCs w:val="24"/>
              </w:rPr>
            </w:pPr>
            <w:r w:rsidRPr="005B386D">
              <w:rPr>
                <w:rFonts w:ascii="宋体" w:eastAsia="宋体" w:hAnsi="宋体"/>
                <w:color w:val="000000"/>
                <w:sz w:val="24"/>
                <w:szCs w:val="24"/>
              </w:rPr>
              <w:t>159718</w:t>
            </w:r>
          </w:p>
        </w:tc>
        <w:tc>
          <w:tcPr>
            <w:tcW w:w="6804" w:type="dxa"/>
          </w:tcPr>
          <w:p w:rsidR="005B386D" w:rsidRDefault="005B386D" w:rsidP="00C51E6F">
            <w:pPr>
              <w:autoSpaceDE w:val="0"/>
              <w:autoSpaceDN w:val="0"/>
              <w:adjustRightInd w:val="0"/>
              <w:spacing w:line="360" w:lineRule="auto"/>
              <w:jc w:val="left"/>
              <w:rPr>
                <w:rFonts w:ascii="宋体" w:eastAsia="宋体" w:hAnsi="宋体"/>
                <w:color w:val="000000"/>
                <w:sz w:val="24"/>
                <w:szCs w:val="24"/>
              </w:rPr>
            </w:pPr>
            <w:r w:rsidRPr="005B386D">
              <w:rPr>
                <w:rFonts w:ascii="宋体" w:eastAsia="宋体" w:hAnsi="宋体" w:hint="eastAsia"/>
                <w:color w:val="000000"/>
                <w:sz w:val="24"/>
                <w:szCs w:val="24"/>
              </w:rPr>
              <w:t>平安中证港股通医药卫生综合交易型开放式指数证券投资基金</w:t>
            </w:r>
          </w:p>
        </w:tc>
      </w:tr>
      <w:tr w:rsidR="005B386D" w:rsidTr="005B386D">
        <w:tc>
          <w:tcPr>
            <w:tcW w:w="704" w:type="dxa"/>
          </w:tcPr>
          <w:p w:rsidR="005B386D" w:rsidRDefault="00C51E6F"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4</w:t>
            </w:r>
          </w:p>
        </w:tc>
        <w:tc>
          <w:tcPr>
            <w:tcW w:w="1276" w:type="dxa"/>
          </w:tcPr>
          <w:p w:rsidR="005B386D" w:rsidRDefault="005B386D" w:rsidP="00C51E6F">
            <w:pPr>
              <w:autoSpaceDE w:val="0"/>
              <w:autoSpaceDN w:val="0"/>
              <w:adjustRightInd w:val="0"/>
              <w:spacing w:line="360" w:lineRule="auto"/>
              <w:jc w:val="center"/>
              <w:rPr>
                <w:rFonts w:ascii="宋体" w:eastAsia="宋体" w:hAnsi="宋体"/>
                <w:color w:val="000000"/>
                <w:sz w:val="24"/>
                <w:szCs w:val="24"/>
              </w:rPr>
            </w:pPr>
            <w:r w:rsidRPr="005B386D">
              <w:rPr>
                <w:rFonts w:ascii="宋体" w:eastAsia="宋体" w:hAnsi="宋体"/>
                <w:color w:val="000000"/>
                <w:sz w:val="24"/>
                <w:szCs w:val="24"/>
              </w:rPr>
              <w:t>159793</w:t>
            </w:r>
          </w:p>
        </w:tc>
        <w:tc>
          <w:tcPr>
            <w:tcW w:w="6804" w:type="dxa"/>
          </w:tcPr>
          <w:p w:rsidR="005B386D" w:rsidRDefault="005B386D" w:rsidP="00C51E6F">
            <w:pPr>
              <w:autoSpaceDE w:val="0"/>
              <w:autoSpaceDN w:val="0"/>
              <w:adjustRightInd w:val="0"/>
              <w:spacing w:line="360" w:lineRule="auto"/>
              <w:jc w:val="left"/>
              <w:rPr>
                <w:rFonts w:ascii="宋体" w:eastAsia="宋体" w:hAnsi="宋体"/>
                <w:color w:val="000000"/>
                <w:sz w:val="24"/>
                <w:szCs w:val="24"/>
              </w:rPr>
            </w:pPr>
            <w:r w:rsidRPr="005B386D">
              <w:rPr>
                <w:rFonts w:ascii="宋体" w:eastAsia="宋体" w:hAnsi="宋体" w:hint="eastAsia"/>
                <w:color w:val="000000"/>
                <w:sz w:val="24"/>
                <w:szCs w:val="24"/>
              </w:rPr>
              <w:t>平安中证沪港深线上消费主题交易型开放式指数证券投资基金</w:t>
            </w:r>
          </w:p>
        </w:tc>
      </w:tr>
      <w:tr w:rsidR="005B386D" w:rsidTr="005B386D">
        <w:tc>
          <w:tcPr>
            <w:tcW w:w="704" w:type="dxa"/>
          </w:tcPr>
          <w:p w:rsidR="005B386D" w:rsidRDefault="00C51E6F"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5</w:t>
            </w:r>
          </w:p>
        </w:tc>
        <w:tc>
          <w:tcPr>
            <w:tcW w:w="1276" w:type="dxa"/>
          </w:tcPr>
          <w:p w:rsidR="005B386D" w:rsidRDefault="005B386D" w:rsidP="00C51E6F">
            <w:pPr>
              <w:autoSpaceDE w:val="0"/>
              <w:autoSpaceDN w:val="0"/>
              <w:adjustRightInd w:val="0"/>
              <w:spacing w:line="360" w:lineRule="auto"/>
              <w:jc w:val="center"/>
              <w:rPr>
                <w:rFonts w:ascii="宋体" w:eastAsia="宋体" w:hAnsi="宋体"/>
                <w:color w:val="000000"/>
                <w:sz w:val="24"/>
                <w:szCs w:val="24"/>
              </w:rPr>
            </w:pPr>
            <w:r w:rsidRPr="005B386D">
              <w:rPr>
                <w:rFonts w:ascii="宋体" w:eastAsia="宋体" w:hAnsi="宋体"/>
                <w:color w:val="000000"/>
                <w:sz w:val="24"/>
                <w:szCs w:val="24"/>
              </w:rPr>
              <w:t>007082</w:t>
            </w:r>
          </w:p>
        </w:tc>
        <w:tc>
          <w:tcPr>
            <w:tcW w:w="6804" w:type="dxa"/>
          </w:tcPr>
          <w:p w:rsidR="005B386D" w:rsidRDefault="005B386D" w:rsidP="00C51E6F">
            <w:pPr>
              <w:autoSpaceDE w:val="0"/>
              <w:autoSpaceDN w:val="0"/>
              <w:adjustRightInd w:val="0"/>
              <w:spacing w:line="360" w:lineRule="auto"/>
              <w:jc w:val="left"/>
              <w:rPr>
                <w:rFonts w:ascii="宋体" w:eastAsia="宋体" w:hAnsi="宋体"/>
                <w:color w:val="000000"/>
                <w:sz w:val="24"/>
                <w:szCs w:val="24"/>
              </w:rPr>
            </w:pPr>
            <w:r w:rsidRPr="005B386D">
              <w:rPr>
                <w:rFonts w:ascii="宋体" w:eastAsia="宋体" w:hAnsi="宋体" w:hint="eastAsia"/>
                <w:color w:val="000000"/>
                <w:sz w:val="24"/>
                <w:szCs w:val="24"/>
              </w:rPr>
              <w:t>平安高端制造混合型证券投资基金</w:t>
            </w:r>
            <w:r>
              <w:rPr>
                <w:rFonts w:ascii="宋体" w:eastAsia="宋体" w:hAnsi="宋体" w:hint="eastAsia"/>
                <w:color w:val="000000"/>
                <w:sz w:val="24"/>
                <w:szCs w:val="24"/>
              </w:rPr>
              <w:t>A</w:t>
            </w:r>
          </w:p>
        </w:tc>
      </w:tr>
      <w:tr w:rsidR="005B386D" w:rsidTr="005B386D">
        <w:tc>
          <w:tcPr>
            <w:tcW w:w="704" w:type="dxa"/>
          </w:tcPr>
          <w:p w:rsidR="005B386D" w:rsidRDefault="00C51E6F"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6</w:t>
            </w:r>
          </w:p>
        </w:tc>
        <w:tc>
          <w:tcPr>
            <w:tcW w:w="1276" w:type="dxa"/>
          </w:tcPr>
          <w:p w:rsidR="005B386D" w:rsidRDefault="005B386D" w:rsidP="00C51E6F">
            <w:pPr>
              <w:autoSpaceDE w:val="0"/>
              <w:autoSpaceDN w:val="0"/>
              <w:adjustRightInd w:val="0"/>
              <w:spacing w:line="360" w:lineRule="auto"/>
              <w:jc w:val="center"/>
              <w:rPr>
                <w:rFonts w:ascii="宋体" w:eastAsia="宋体" w:hAnsi="宋体"/>
                <w:color w:val="000000"/>
                <w:sz w:val="24"/>
                <w:szCs w:val="24"/>
              </w:rPr>
            </w:pPr>
            <w:r w:rsidRPr="005B386D">
              <w:rPr>
                <w:rFonts w:ascii="宋体" w:eastAsia="宋体" w:hAnsi="宋体"/>
                <w:color w:val="000000"/>
                <w:sz w:val="24"/>
                <w:szCs w:val="24"/>
              </w:rPr>
              <w:t>007083</w:t>
            </w:r>
          </w:p>
        </w:tc>
        <w:tc>
          <w:tcPr>
            <w:tcW w:w="6804" w:type="dxa"/>
          </w:tcPr>
          <w:p w:rsidR="005B386D" w:rsidRDefault="005B386D" w:rsidP="00C51E6F">
            <w:pPr>
              <w:autoSpaceDE w:val="0"/>
              <w:autoSpaceDN w:val="0"/>
              <w:adjustRightInd w:val="0"/>
              <w:spacing w:line="360" w:lineRule="auto"/>
              <w:jc w:val="left"/>
              <w:rPr>
                <w:rFonts w:ascii="宋体" w:eastAsia="宋体" w:hAnsi="宋体"/>
                <w:color w:val="000000"/>
                <w:sz w:val="24"/>
                <w:szCs w:val="24"/>
              </w:rPr>
            </w:pPr>
            <w:r w:rsidRPr="005B386D">
              <w:rPr>
                <w:rFonts w:ascii="宋体" w:eastAsia="宋体" w:hAnsi="宋体" w:hint="eastAsia"/>
                <w:color w:val="000000"/>
                <w:sz w:val="24"/>
                <w:szCs w:val="24"/>
              </w:rPr>
              <w:t>平安高端制造混合型证券投资基金</w:t>
            </w:r>
            <w:r>
              <w:rPr>
                <w:rFonts w:ascii="宋体" w:eastAsia="宋体" w:hAnsi="宋体"/>
                <w:color w:val="000000"/>
                <w:sz w:val="24"/>
                <w:szCs w:val="24"/>
              </w:rPr>
              <w:t>C</w:t>
            </w:r>
          </w:p>
        </w:tc>
      </w:tr>
      <w:tr w:rsidR="005B386D" w:rsidTr="005B386D">
        <w:tc>
          <w:tcPr>
            <w:tcW w:w="704" w:type="dxa"/>
          </w:tcPr>
          <w:p w:rsidR="005B386D" w:rsidRDefault="00C51E6F"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7</w:t>
            </w:r>
          </w:p>
        </w:tc>
        <w:tc>
          <w:tcPr>
            <w:tcW w:w="1276" w:type="dxa"/>
          </w:tcPr>
          <w:p w:rsidR="005B386D" w:rsidRDefault="005B386D" w:rsidP="00C51E6F">
            <w:pPr>
              <w:autoSpaceDE w:val="0"/>
              <w:autoSpaceDN w:val="0"/>
              <w:adjustRightInd w:val="0"/>
              <w:spacing w:line="360" w:lineRule="auto"/>
              <w:jc w:val="center"/>
              <w:rPr>
                <w:rFonts w:ascii="宋体" w:eastAsia="宋体" w:hAnsi="宋体"/>
                <w:color w:val="000000"/>
                <w:sz w:val="24"/>
                <w:szCs w:val="24"/>
              </w:rPr>
            </w:pPr>
            <w:r w:rsidRPr="005B386D">
              <w:rPr>
                <w:rFonts w:ascii="宋体" w:eastAsia="宋体" w:hAnsi="宋体"/>
                <w:color w:val="000000"/>
                <w:sz w:val="24"/>
                <w:szCs w:val="24"/>
              </w:rPr>
              <w:t>004403</w:t>
            </w:r>
          </w:p>
        </w:tc>
        <w:tc>
          <w:tcPr>
            <w:tcW w:w="6804" w:type="dxa"/>
          </w:tcPr>
          <w:p w:rsidR="005B386D" w:rsidRDefault="005B386D" w:rsidP="00C51E6F">
            <w:pPr>
              <w:autoSpaceDE w:val="0"/>
              <w:autoSpaceDN w:val="0"/>
              <w:adjustRightInd w:val="0"/>
              <w:spacing w:line="360" w:lineRule="auto"/>
              <w:jc w:val="left"/>
              <w:rPr>
                <w:rFonts w:ascii="宋体" w:eastAsia="宋体" w:hAnsi="宋体"/>
                <w:color w:val="000000"/>
                <w:sz w:val="24"/>
                <w:szCs w:val="24"/>
              </w:rPr>
            </w:pPr>
            <w:r w:rsidRPr="005B386D">
              <w:rPr>
                <w:rFonts w:ascii="宋体" w:eastAsia="宋体" w:hAnsi="宋体" w:hint="eastAsia"/>
                <w:color w:val="000000"/>
                <w:sz w:val="24"/>
                <w:szCs w:val="24"/>
              </w:rPr>
              <w:t>平安股息精选沪港深股票型证券投资基金</w:t>
            </w:r>
            <w:r>
              <w:rPr>
                <w:rFonts w:ascii="宋体" w:eastAsia="宋体" w:hAnsi="宋体" w:hint="eastAsia"/>
                <w:color w:val="000000"/>
                <w:sz w:val="24"/>
                <w:szCs w:val="24"/>
              </w:rPr>
              <w:t>A</w:t>
            </w:r>
          </w:p>
        </w:tc>
      </w:tr>
      <w:tr w:rsidR="005B386D" w:rsidTr="005B386D">
        <w:tc>
          <w:tcPr>
            <w:tcW w:w="704" w:type="dxa"/>
          </w:tcPr>
          <w:p w:rsidR="005B386D" w:rsidRDefault="00C51E6F"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8</w:t>
            </w:r>
          </w:p>
        </w:tc>
        <w:tc>
          <w:tcPr>
            <w:tcW w:w="1276" w:type="dxa"/>
          </w:tcPr>
          <w:p w:rsidR="005B386D" w:rsidRDefault="005B386D" w:rsidP="00C51E6F">
            <w:pPr>
              <w:autoSpaceDE w:val="0"/>
              <w:autoSpaceDN w:val="0"/>
              <w:adjustRightInd w:val="0"/>
              <w:spacing w:line="360" w:lineRule="auto"/>
              <w:jc w:val="center"/>
              <w:rPr>
                <w:rFonts w:ascii="宋体" w:eastAsia="宋体" w:hAnsi="宋体"/>
                <w:color w:val="000000"/>
                <w:sz w:val="24"/>
                <w:szCs w:val="24"/>
              </w:rPr>
            </w:pPr>
            <w:r w:rsidRPr="005B386D">
              <w:rPr>
                <w:rFonts w:ascii="宋体" w:eastAsia="宋体" w:hAnsi="宋体"/>
                <w:color w:val="000000"/>
                <w:sz w:val="24"/>
                <w:szCs w:val="24"/>
              </w:rPr>
              <w:t>004404</w:t>
            </w:r>
          </w:p>
        </w:tc>
        <w:tc>
          <w:tcPr>
            <w:tcW w:w="6804" w:type="dxa"/>
          </w:tcPr>
          <w:p w:rsidR="005B386D" w:rsidRPr="005B386D" w:rsidRDefault="005B386D" w:rsidP="00C51E6F">
            <w:pPr>
              <w:autoSpaceDE w:val="0"/>
              <w:autoSpaceDN w:val="0"/>
              <w:adjustRightInd w:val="0"/>
              <w:spacing w:line="360" w:lineRule="auto"/>
              <w:jc w:val="left"/>
              <w:rPr>
                <w:rFonts w:ascii="宋体" w:eastAsia="宋体" w:hAnsi="宋体"/>
                <w:color w:val="000000"/>
                <w:sz w:val="24"/>
                <w:szCs w:val="24"/>
              </w:rPr>
            </w:pPr>
            <w:r w:rsidRPr="005B386D">
              <w:rPr>
                <w:rFonts w:ascii="宋体" w:eastAsia="宋体" w:hAnsi="宋体" w:hint="eastAsia"/>
                <w:color w:val="000000"/>
                <w:sz w:val="24"/>
                <w:szCs w:val="24"/>
              </w:rPr>
              <w:t>平安股息精选沪港深股票型证券投资基金</w:t>
            </w:r>
            <w:r>
              <w:rPr>
                <w:rFonts w:ascii="宋体" w:eastAsia="宋体" w:hAnsi="宋体" w:hint="eastAsia"/>
                <w:color w:val="000000"/>
                <w:sz w:val="24"/>
                <w:szCs w:val="24"/>
              </w:rPr>
              <w:t>C</w:t>
            </w:r>
          </w:p>
        </w:tc>
      </w:tr>
      <w:tr w:rsidR="00C51E6F" w:rsidTr="005B386D">
        <w:tc>
          <w:tcPr>
            <w:tcW w:w="704" w:type="dxa"/>
          </w:tcPr>
          <w:p w:rsidR="00C51E6F" w:rsidRDefault="00C51E6F"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9</w:t>
            </w:r>
          </w:p>
        </w:tc>
        <w:tc>
          <w:tcPr>
            <w:tcW w:w="1276" w:type="dxa"/>
          </w:tcPr>
          <w:p w:rsidR="00C51E6F" w:rsidRPr="005B386D" w:rsidRDefault="00C51E6F" w:rsidP="00C51E6F">
            <w:pPr>
              <w:autoSpaceDE w:val="0"/>
              <w:autoSpaceDN w:val="0"/>
              <w:adjustRightInd w:val="0"/>
              <w:spacing w:line="360" w:lineRule="auto"/>
              <w:jc w:val="center"/>
              <w:rPr>
                <w:rFonts w:ascii="宋体" w:eastAsia="宋体" w:hAnsi="宋体"/>
                <w:color w:val="000000"/>
                <w:sz w:val="24"/>
                <w:szCs w:val="24"/>
              </w:rPr>
            </w:pPr>
            <w:r w:rsidRPr="00C51E6F">
              <w:rPr>
                <w:rFonts w:ascii="宋体" w:eastAsia="宋体" w:hAnsi="宋体"/>
                <w:color w:val="000000"/>
                <w:sz w:val="24"/>
                <w:szCs w:val="24"/>
              </w:rPr>
              <w:t>009008</w:t>
            </w:r>
          </w:p>
        </w:tc>
        <w:tc>
          <w:tcPr>
            <w:tcW w:w="6804" w:type="dxa"/>
          </w:tcPr>
          <w:p w:rsidR="00C51E6F" w:rsidRPr="005B386D" w:rsidRDefault="00C51E6F" w:rsidP="00C51E6F">
            <w:pPr>
              <w:autoSpaceDE w:val="0"/>
              <w:autoSpaceDN w:val="0"/>
              <w:adjustRightInd w:val="0"/>
              <w:spacing w:line="360" w:lineRule="auto"/>
              <w:jc w:val="left"/>
              <w:rPr>
                <w:rFonts w:ascii="宋体" w:eastAsia="宋体" w:hAnsi="宋体"/>
                <w:color w:val="000000"/>
                <w:sz w:val="24"/>
                <w:szCs w:val="24"/>
              </w:rPr>
            </w:pPr>
            <w:r w:rsidRPr="00C51E6F">
              <w:rPr>
                <w:rFonts w:ascii="宋体" w:eastAsia="宋体" w:hAnsi="宋体" w:hint="eastAsia"/>
                <w:color w:val="000000"/>
                <w:sz w:val="24"/>
                <w:szCs w:val="24"/>
              </w:rPr>
              <w:t>平安科技创新混合型证券投资基金</w:t>
            </w:r>
            <w:r>
              <w:rPr>
                <w:rFonts w:ascii="宋体" w:eastAsia="宋体" w:hAnsi="宋体" w:hint="eastAsia"/>
                <w:color w:val="000000"/>
                <w:sz w:val="24"/>
                <w:szCs w:val="24"/>
              </w:rPr>
              <w:t>A</w:t>
            </w:r>
          </w:p>
        </w:tc>
      </w:tr>
      <w:tr w:rsidR="00C51E6F" w:rsidTr="005B386D">
        <w:tc>
          <w:tcPr>
            <w:tcW w:w="704" w:type="dxa"/>
          </w:tcPr>
          <w:p w:rsidR="00C51E6F" w:rsidRDefault="00C51E6F"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10</w:t>
            </w:r>
          </w:p>
        </w:tc>
        <w:tc>
          <w:tcPr>
            <w:tcW w:w="1276" w:type="dxa"/>
          </w:tcPr>
          <w:p w:rsidR="00C51E6F" w:rsidRPr="005B386D" w:rsidRDefault="00C51E6F" w:rsidP="00C51E6F">
            <w:pPr>
              <w:autoSpaceDE w:val="0"/>
              <w:autoSpaceDN w:val="0"/>
              <w:adjustRightInd w:val="0"/>
              <w:spacing w:line="360" w:lineRule="auto"/>
              <w:jc w:val="center"/>
              <w:rPr>
                <w:rFonts w:ascii="宋体" w:eastAsia="宋体" w:hAnsi="宋体"/>
                <w:color w:val="000000"/>
                <w:sz w:val="24"/>
                <w:szCs w:val="24"/>
              </w:rPr>
            </w:pPr>
            <w:r>
              <w:rPr>
                <w:rFonts w:ascii="宋体" w:eastAsia="宋体" w:hAnsi="宋体"/>
                <w:color w:val="000000"/>
                <w:sz w:val="24"/>
                <w:szCs w:val="24"/>
              </w:rPr>
              <w:t>00900</w:t>
            </w:r>
            <w:r>
              <w:rPr>
                <w:rFonts w:ascii="宋体" w:eastAsia="宋体" w:hAnsi="宋体" w:hint="eastAsia"/>
                <w:color w:val="000000"/>
                <w:sz w:val="24"/>
                <w:szCs w:val="24"/>
              </w:rPr>
              <w:t>9</w:t>
            </w:r>
          </w:p>
        </w:tc>
        <w:tc>
          <w:tcPr>
            <w:tcW w:w="6804" w:type="dxa"/>
          </w:tcPr>
          <w:p w:rsidR="00C51E6F" w:rsidRPr="005B386D" w:rsidRDefault="00C51E6F" w:rsidP="00C51E6F">
            <w:pPr>
              <w:autoSpaceDE w:val="0"/>
              <w:autoSpaceDN w:val="0"/>
              <w:adjustRightInd w:val="0"/>
              <w:spacing w:line="360" w:lineRule="auto"/>
              <w:jc w:val="left"/>
              <w:rPr>
                <w:rFonts w:ascii="宋体" w:eastAsia="宋体" w:hAnsi="宋体"/>
                <w:color w:val="000000"/>
                <w:sz w:val="24"/>
                <w:szCs w:val="24"/>
              </w:rPr>
            </w:pPr>
            <w:r w:rsidRPr="00C51E6F">
              <w:rPr>
                <w:rFonts w:ascii="宋体" w:eastAsia="宋体" w:hAnsi="宋体" w:hint="eastAsia"/>
                <w:color w:val="000000"/>
                <w:sz w:val="24"/>
                <w:szCs w:val="24"/>
              </w:rPr>
              <w:t>平安科技创新混合型证券投资基金</w:t>
            </w:r>
            <w:r>
              <w:rPr>
                <w:rFonts w:ascii="宋体" w:eastAsia="宋体" w:hAnsi="宋体" w:hint="eastAsia"/>
                <w:color w:val="000000"/>
                <w:sz w:val="24"/>
                <w:szCs w:val="24"/>
              </w:rPr>
              <w:t>C</w:t>
            </w:r>
          </w:p>
        </w:tc>
      </w:tr>
    </w:tbl>
    <w:p w:rsidR="00C51E6F" w:rsidRDefault="00002009" w:rsidP="00C51E6F">
      <w:pPr>
        <w:autoSpaceDE w:val="0"/>
        <w:autoSpaceDN w:val="0"/>
        <w:adjustRightInd w:val="0"/>
        <w:spacing w:line="360" w:lineRule="auto"/>
        <w:ind w:firstLineChars="200" w:firstLine="480"/>
        <w:jc w:val="left"/>
        <w:rPr>
          <w:rFonts w:ascii="宋体" w:eastAsia="宋体" w:hAnsi="宋体"/>
          <w:color w:val="000000"/>
          <w:sz w:val="24"/>
          <w:szCs w:val="24"/>
        </w:rPr>
      </w:pPr>
      <w:r w:rsidRPr="00002009">
        <w:rPr>
          <w:rFonts w:ascii="宋体" w:eastAsia="宋体" w:hAnsi="宋体" w:hint="eastAsia"/>
          <w:color w:val="000000"/>
          <w:sz w:val="24"/>
          <w:szCs w:val="24"/>
        </w:rPr>
        <w:t>注：上表只包含参与港股通交易的本公司现行管理的基金，新发基金或其他基金新增参与港股通交易的非港股通交易日暂停开放情况请见本公司的最新相关公告。</w:t>
      </w:r>
    </w:p>
    <w:p w:rsidR="00002009" w:rsidRPr="00002009" w:rsidRDefault="00002009" w:rsidP="00C51E6F">
      <w:pPr>
        <w:autoSpaceDE w:val="0"/>
        <w:autoSpaceDN w:val="0"/>
        <w:adjustRightInd w:val="0"/>
        <w:spacing w:line="360" w:lineRule="auto"/>
        <w:ind w:firstLineChars="200" w:firstLine="480"/>
        <w:jc w:val="left"/>
        <w:rPr>
          <w:rFonts w:ascii="宋体" w:eastAsia="宋体" w:hAnsi="宋体"/>
          <w:color w:val="000000"/>
          <w:sz w:val="24"/>
          <w:szCs w:val="24"/>
        </w:rPr>
      </w:pPr>
    </w:p>
    <w:p w:rsidR="00C51E6F" w:rsidRPr="00C51E6F" w:rsidRDefault="00C51E6F" w:rsidP="00C51E6F">
      <w:pPr>
        <w:autoSpaceDE w:val="0"/>
        <w:autoSpaceDN w:val="0"/>
        <w:adjustRightInd w:val="0"/>
        <w:spacing w:line="360" w:lineRule="auto"/>
        <w:ind w:firstLineChars="200" w:firstLine="482"/>
        <w:jc w:val="left"/>
        <w:rPr>
          <w:rFonts w:ascii="宋体" w:eastAsia="宋体" w:hAnsi="宋体"/>
          <w:b/>
          <w:color w:val="000000"/>
          <w:sz w:val="24"/>
          <w:szCs w:val="24"/>
        </w:rPr>
      </w:pPr>
      <w:r w:rsidRPr="00C51E6F">
        <w:rPr>
          <w:rFonts w:ascii="宋体" w:eastAsia="宋体" w:hAnsi="宋体" w:hint="eastAsia"/>
          <w:b/>
          <w:color w:val="000000"/>
          <w:sz w:val="24"/>
          <w:szCs w:val="24"/>
        </w:rPr>
        <w:t>重要提示：</w:t>
      </w:r>
    </w:p>
    <w:p w:rsidR="00C51E6F" w:rsidRPr="00C51E6F" w:rsidRDefault="00C51E6F" w:rsidP="00C51E6F">
      <w:pPr>
        <w:autoSpaceDE w:val="0"/>
        <w:autoSpaceDN w:val="0"/>
        <w:adjustRightInd w:val="0"/>
        <w:spacing w:line="360" w:lineRule="auto"/>
        <w:ind w:firstLineChars="200" w:firstLine="480"/>
        <w:jc w:val="left"/>
        <w:rPr>
          <w:rFonts w:ascii="宋体" w:eastAsia="宋体" w:hAnsi="宋体"/>
          <w:color w:val="000000"/>
          <w:sz w:val="24"/>
          <w:szCs w:val="24"/>
        </w:rPr>
      </w:pPr>
      <w:r w:rsidRPr="00C51E6F">
        <w:rPr>
          <w:rFonts w:ascii="宋体" w:eastAsia="宋体" w:hAnsi="宋体"/>
          <w:color w:val="000000"/>
          <w:sz w:val="24"/>
          <w:szCs w:val="24"/>
        </w:rPr>
        <w:t>1</w:t>
      </w:r>
      <w:r>
        <w:rPr>
          <w:rFonts w:ascii="宋体" w:eastAsia="宋体" w:hAnsi="宋体"/>
          <w:color w:val="000000"/>
          <w:sz w:val="24"/>
          <w:szCs w:val="24"/>
        </w:rPr>
        <w:t>．本次调整后</w:t>
      </w:r>
      <w:r>
        <w:rPr>
          <w:rFonts w:ascii="宋体" w:eastAsia="宋体" w:hAnsi="宋体" w:hint="eastAsia"/>
          <w:color w:val="000000"/>
          <w:sz w:val="24"/>
          <w:szCs w:val="24"/>
        </w:rPr>
        <w:t>，</w:t>
      </w:r>
      <w:r>
        <w:rPr>
          <w:rFonts w:ascii="宋体" w:eastAsia="宋体" w:hAnsi="宋体"/>
          <w:color w:val="000000"/>
          <w:sz w:val="24"/>
          <w:szCs w:val="24"/>
        </w:rPr>
        <w:t>2023</w:t>
      </w:r>
      <w:r w:rsidRPr="00C51E6F">
        <w:rPr>
          <w:rFonts w:ascii="宋体" w:eastAsia="宋体" w:hAnsi="宋体"/>
          <w:color w:val="000000"/>
          <w:sz w:val="24"/>
          <w:szCs w:val="24"/>
        </w:rPr>
        <w:t>年剩余港股通非交易日包括</w:t>
      </w:r>
      <w:r>
        <w:rPr>
          <w:rFonts w:ascii="宋体" w:eastAsia="宋体" w:hAnsi="宋体"/>
          <w:color w:val="000000"/>
          <w:sz w:val="24"/>
          <w:szCs w:val="24"/>
        </w:rPr>
        <w:t>4</w:t>
      </w:r>
      <w:r w:rsidRPr="00C51E6F">
        <w:rPr>
          <w:rFonts w:ascii="宋体" w:eastAsia="宋体" w:hAnsi="宋体"/>
          <w:color w:val="000000"/>
          <w:sz w:val="24"/>
          <w:szCs w:val="24"/>
        </w:rPr>
        <w:t>月</w:t>
      </w:r>
      <w:r>
        <w:rPr>
          <w:rFonts w:ascii="宋体" w:eastAsia="宋体" w:hAnsi="宋体"/>
          <w:color w:val="000000"/>
          <w:sz w:val="24"/>
          <w:szCs w:val="24"/>
        </w:rPr>
        <w:t>7</w:t>
      </w:r>
      <w:r w:rsidRPr="00C51E6F">
        <w:rPr>
          <w:rFonts w:ascii="宋体" w:eastAsia="宋体" w:hAnsi="宋体"/>
          <w:color w:val="000000"/>
          <w:sz w:val="24"/>
          <w:szCs w:val="24"/>
        </w:rPr>
        <w:t>日、</w:t>
      </w:r>
      <w:r>
        <w:rPr>
          <w:rFonts w:ascii="宋体" w:eastAsia="宋体" w:hAnsi="宋体"/>
          <w:color w:val="000000"/>
          <w:sz w:val="24"/>
          <w:szCs w:val="24"/>
        </w:rPr>
        <w:t>4</w:t>
      </w:r>
      <w:r w:rsidRPr="00C51E6F">
        <w:rPr>
          <w:rFonts w:ascii="宋体" w:eastAsia="宋体" w:hAnsi="宋体"/>
          <w:color w:val="000000"/>
          <w:sz w:val="24"/>
          <w:szCs w:val="24"/>
        </w:rPr>
        <w:t>月</w:t>
      </w:r>
      <w:r>
        <w:rPr>
          <w:rFonts w:ascii="宋体" w:eastAsia="宋体" w:hAnsi="宋体"/>
          <w:color w:val="000000"/>
          <w:sz w:val="24"/>
          <w:szCs w:val="24"/>
        </w:rPr>
        <w:t>10</w:t>
      </w:r>
      <w:r w:rsidRPr="00C51E6F">
        <w:rPr>
          <w:rFonts w:ascii="宋体" w:eastAsia="宋体" w:hAnsi="宋体"/>
          <w:color w:val="000000"/>
          <w:sz w:val="24"/>
          <w:szCs w:val="24"/>
        </w:rPr>
        <w:t>日、</w:t>
      </w:r>
      <w:r>
        <w:rPr>
          <w:rFonts w:ascii="宋体" w:eastAsia="宋体" w:hAnsi="宋体"/>
          <w:color w:val="000000"/>
          <w:sz w:val="24"/>
          <w:szCs w:val="24"/>
        </w:rPr>
        <w:t>5</w:t>
      </w:r>
      <w:r w:rsidRPr="00C51E6F">
        <w:rPr>
          <w:rFonts w:ascii="宋体" w:eastAsia="宋体" w:hAnsi="宋体" w:hint="eastAsia"/>
          <w:color w:val="000000"/>
          <w:sz w:val="24"/>
          <w:szCs w:val="24"/>
        </w:rPr>
        <w:t>月</w:t>
      </w:r>
      <w:r>
        <w:rPr>
          <w:rFonts w:ascii="宋体" w:eastAsia="宋体" w:hAnsi="宋体"/>
          <w:color w:val="000000"/>
          <w:sz w:val="24"/>
          <w:szCs w:val="24"/>
        </w:rPr>
        <w:t>26</w:t>
      </w:r>
      <w:r w:rsidRPr="00C51E6F">
        <w:rPr>
          <w:rFonts w:ascii="宋体" w:eastAsia="宋体" w:hAnsi="宋体"/>
          <w:color w:val="000000"/>
          <w:sz w:val="24"/>
          <w:szCs w:val="24"/>
        </w:rPr>
        <w:lastRenderedPageBreak/>
        <w:t>日、</w:t>
      </w:r>
      <w:r>
        <w:rPr>
          <w:rFonts w:ascii="宋体" w:eastAsia="宋体" w:hAnsi="宋体"/>
          <w:color w:val="000000"/>
          <w:sz w:val="24"/>
          <w:szCs w:val="24"/>
        </w:rPr>
        <w:t>10</w:t>
      </w:r>
      <w:r w:rsidRPr="00C51E6F">
        <w:rPr>
          <w:rFonts w:ascii="宋体" w:eastAsia="宋体" w:hAnsi="宋体"/>
          <w:color w:val="000000"/>
          <w:sz w:val="24"/>
          <w:szCs w:val="24"/>
        </w:rPr>
        <w:t>月</w:t>
      </w:r>
      <w:r>
        <w:rPr>
          <w:rFonts w:ascii="宋体" w:eastAsia="宋体" w:hAnsi="宋体"/>
          <w:color w:val="000000"/>
          <w:sz w:val="24"/>
          <w:szCs w:val="24"/>
        </w:rPr>
        <w:t>23</w:t>
      </w:r>
      <w:r w:rsidRPr="00C51E6F">
        <w:rPr>
          <w:rFonts w:ascii="宋体" w:eastAsia="宋体" w:hAnsi="宋体"/>
          <w:color w:val="000000"/>
          <w:sz w:val="24"/>
          <w:szCs w:val="24"/>
        </w:rPr>
        <w:t>日、</w:t>
      </w:r>
      <w:r>
        <w:rPr>
          <w:rFonts w:ascii="宋体" w:eastAsia="宋体" w:hAnsi="宋体"/>
          <w:color w:val="000000"/>
          <w:sz w:val="24"/>
          <w:szCs w:val="24"/>
        </w:rPr>
        <w:t>12</w:t>
      </w:r>
      <w:r w:rsidRPr="00C51E6F">
        <w:rPr>
          <w:rFonts w:ascii="宋体" w:eastAsia="宋体" w:hAnsi="宋体"/>
          <w:color w:val="000000"/>
          <w:sz w:val="24"/>
          <w:szCs w:val="24"/>
        </w:rPr>
        <w:t>月</w:t>
      </w:r>
      <w:r>
        <w:rPr>
          <w:rFonts w:ascii="宋体" w:eastAsia="宋体" w:hAnsi="宋体"/>
          <w:color w:val="000000"/>
          <w:sz w:val="24"/>
          <w:szCs w:val="24"/>
        </w:rPr>
        <w:t>25</w:t>
      </w:r>
      <w:r w:rsidRPr="00C51E6F">
        <w:rPr>
          <w:rFonts w:ascii="宋体" w:eastAsia="宋体" w:hAnsi="宋体"/>
          <w:color w:val="000000"/>
          <w:sz w:val="24"/>
          <w:szCs w:val="24"/>
        </w:rPr>
        <w:t>日、</w:t>
      </w:r>
      <w:r>
        <w:rPr>
          <w:rFonts w:ascii="宋体" w:eastAsia="宋体" w:hAnsi="宋体"/>
          <w:color w:val="000000"/>
          <w:sz w:val="24"/>
          <w:szCs w:val="24"/>
        </w:rPr>
        <w:t>12</w:t>
      </w:r>
      <w:r w:rsidRPr="00C51E6F">
        <w:rPr>
          <w:rFonts w:ascii="宋体" w:eastAsia="宋体" w:hAnsi="宋体"/>
          <w:color w:val="000000"/>
          <w:sz w:val="24"/>
          <w:szCs w:val="24"/>
        </w:rPr>
        <w:t>月</w:t>
      </w:r>
      <w:r>
        <w:rPr>
          <w:rFonts w:ascii="宋体" w:eastAsia="宋体" w:hAnsi="宋体"/>
          <w:color w:val="000000"/>
          <w:sz w:val="24"/>
          <w:szCs w:val="24"/>
        </w:rPr>
        <w:t>26日，</w:t>
      </w:r>
      <w:r>
        <w:rPr>
          <w:rFonts w:ascii="宋体" w:eastAsia="宋体" w:hAnsi="宋体" w:hint="eastAsia"/>
          <w:color w:val="000000"/>
          <w:sz w:val="24"/>
          <w:szCs w:val="24"/>
        </w:rPr>
        <w:t>上述</w:t>
      </w:r>
      <w:r w:rsidRPr="00C51E6F">
        <w:rPr>
          <w:rFonts w:ascii="宋体" w:eastAsia="宋体" w:hAnsi="宋体"/>
          <w:color w:val="000000"/>
          <w:sz w:val="24"/>
          <w:szCs w:val="24"/>
        </w:rPr>
        <w:t>基金在剩余港股通非交易日</w:t>
      </w:r>
      <w:r w:rsidRPr="00C51E6F">
        <w:rPr>
          <w:rFonts w:ascii="宋体" w:eastAsia="宋体" w:hAnsi="宋体" w:hint="eastAsia"/>
          <w:color w:val="000000"/>
          <w:sz w:val="24"/>
          <w:szCs w:val="24"/>
        </w:rPr>
        <w:t>将暂停申赎等业务，具体业务安排详见本公司</w:t>
      </w:r>
      <w:r>
        <w:rPr>
          <w:rFonts w:ascii="宋体" w:eastAsia="宋体" w:hAnsi="宋体"/>
          <w:color w:val="000000"/>
          <w:sz w:val="24"/>
          <w:szCs w:val="24"/>
        </w:rPr>
        <w:t>202</w:t>
      </w:r>
      <w:r>
        <w:rPr>
          <w:rFonts w:ascii="宋体" w:eastAsia="宋体" w:hAnsi="宋体" w:hint="eastAsia"/>
          <w:color w:val="000000"/>
          <w:sz w:val="24"/>
          <w:szCs w:val="24"/>
        </w:rPr>
        <w:t>2</w:t>
      </w:r>
      <w:r w:rsidRPr="00C51E6F">
        <w:rPr>
          <w:rFonts w:ascii="宋体" w:eastAsia="宋体" w:hAnsi="宋体"/>
          <w:color w:val="000000"/>
          <w:sz w:val="24"/>
          <w:szCs w:val="24"/>
        </w:rPr>
        <w:t>年</w:t>
      </w:r>
      <w:r>
        <w:rPr>
          <w:rFonts w:ascii="宋体" w:eastAsia="宋体" w:hAnsi="宋体"/>
          <w:color w:val="000000"/>
          <w:sz w:val="24"/>
          <w:szCs w:val="24"/>
        </w:rPr>
        <w:t>1</w:t>
      </w:r>
      <w:r>
        <w:rPr>
          <w:rFonts w:ascii="宋体" w:eastAsia="宋体" w:hAnsi="宋体" w:hint="eastAsia"/>
          <w:color w:val="000000"/>
          <w:sz w:val="24"/>
          <w:szCs w:val="24"/>
        </w:rPr>
        <w:t>2</w:t>
      </w:r>
      <w:r w:rsidRPr="00C51E6F">
        <w:rPr>
          <w:rFonts w:ascii="宋体" w:eastAsia="宋体" w:hAnsi="宋体"/>
          <w:color w:val="000000"/>
          <w:sz w:val="24"/>
          <w:szCs w:val="24"/>
        </w:rPr>
        <w:t>月</w:t>
      </w:r>
      <w:r>
        <w:rPr>
          <w:rFonts w:ascii="宋体" w:eastAsia="宋体" w:hAnsi="宋体" w:hint="eastAsia"/>
          <w:color w:val="000000"/>
          <w:sz w:val="24"/>
          <w:szCs w:val="24"/>
        </w:rPr>
        <w:t>30</w:t>
      </w:r>
      <w:r w:rsidRPr="00C51E6F">
        <w:rPr>
          <w:rFonts w:ascii="宋体" w:eastAsia="宋体" w:hAnsi="宋体"/>
          <w:color w:val="000000"/>
          <w:sz w:val="24"/>
          <w:szCs w:val="24"/>
        </w:rPr>
        <w:t>日发布的相关公告。</w:t>
      </w:r>
    </w:p>
    <w:p w:rsidR="00C51E6F" w:rsidRPr="00C51E6F" w:rsidRDefault="00C51E6F" w:rsidP="00C51E6F">
      <w:pPr>
        <w:autoSpaceDE w:val="0"/>
        <w:autoSpaceDN w:val="0"/>
        <w:adjustRightInd w:val="0"/>
        <w:spacing w:line="360" w:lineRule="auto"/>
        <w:ind w:firstLineChars="200" w:firstLine="480"/>
        <w:jc w:val="left"/>
        <w:rPr>
          <w:rFonts w:ascii="宋体" w:eastAsia="宋体" w:hAnsi="宋体"/>
          <w:color w:val="000000"/>
          <w:sz w:val="24"/>
          <w:szCs w:val="24"/>
        </w:rPr>
      </w:pPr>
      <w:r w:rsidRPr="00C51E6F">
        <w:rPr>
          <w:rFonts w:ascii="宋体" w:eastAsia="宋体" w:hAnsi="宋体"/>
          <w:color w:val="000000"/>
          <w:sz w:val="24"/>
          <w:szCs w:val="24"/>
        </w:rPr>
        <w:t>2.</w:t>
      </w:r>
      <w:r w:rsidR="00304E23">
        <w:rPr>
          <w:rFonts w:ascii="宋体" w:eastAsia="宋体" w:hAnsi="宋体" w:hint="eastAsia"/>
          <w:color w:val="000000"/>
          <w:sz w:val="24"/>
          <w:szCs w:val="24"/>
        </w:rPr>
        <w:t>上述</w:t>
      </w:r>
      <w:r w:rsidR="00304E23">
        <w:rPr>
          <w:rFonts w:ascii="宋体" w:eastAsia="宋体" w:hAnsi="宋体"/>
          <w:color w:val="000000"/>
          <w:sz w:val="24"/>
          <w:szCs w:val="24"/>
        </w:rPr>
        <w:t>基金是否已开放申购、赎回、转换与定期定额投资业务，</w:t>
      </w:r>
      <w:r w:rsidR="00304E23">
        <w:rPr>
          <w:rFonts w:ascii="宋体" w:eastAsia="宋体" w:hAnsi="宋体" w:hint="eastAsia"/>
          <w:color w:val="000000"/>
          <w:sz w:val="24"/>
          <w:szCs w:val="24"/>
        </w:rPr>
        <w:t>请</w:t>
      </w:r>
      <w:r w:rsidRPr="00C51E6F">
        <w:rPr>
          <w:rFonts w:ascii="宋体" w:eastAsia="宋体" w:hAnsi="宋体"/>
          <w:color w:val="000000"/>
          <w:sz w:val="24"/>
          <w:szCs w:val="24"/>
        </w:rPr>
        <w:t>见本公司发</w:t>
      </w:r>
      <w:r w:rsidRPr="00C51E6F">
        <w:rPr>
          <w:rFonts w:ascii="宋体" w:eastAsia="宋体" w:hAnsi="宋体" w:hint="eastAsia"/>
          <w:color w:val="000000"/>
          <w:sz w:val="24"/>
          <w:szCs w:val="24"/>
        </w:rPr>
        <w:t>布的相关公告。</w:t>
      </w:r>
    </w:p>
    <w:p w:rsidR="00C51E6F" w:rsidRPr="00C51E6F" w:rsidRDefault="00C51E6F" w:rsidP="00C51E6F">
      <w:pPr>
        <w:autoSpaceDE w:val="0"/>
        <w:autoSpaceDN w:val="0"/>
        <w:adjustRightInd w:val="0"/>
        <w:spacing w:line="360" w:lineRule="auto"/>
        <w:ind w:firstLineChars="200" w:firstLine="480"/>
        <w:jc w:val="left"/>
        <w:rPr>
          <w:rFonts w:ascii="宋体" w:eastAsia="宋体" w:hAnsi="宋体"/>
          <w:color w:val="000000"/>
          <w:sz w:val="24"/>
          <w:szCs w:val="24"/>
        </w:rPr>
      </w:pPr>
      <w:r w:rsidRPr="00C51E6F">
        <w:rPr>
          <w:rFonts w:ascii="宋体" w:eastAsia="宋体" w:hAnsi="宋体"/>
          <w:color w:val="000000"/>
          <w:sz w:val="24"/>
          <w:szCs w:val="24"/>
        </w:rPr>
        <w:t>3．</w:t>
      </w:r>
      <w:r w:rsidR="0087120B" w:rsidRPr="0087120B">
        <w:rPr>
          <w:rFonts w:ascii="宋体" w:eastAsia="宋体" w:hAnsi="宋体" w:hint="eastAsia"/>
          <w:color w:val="000000"/>
          <w:sz w:val="24"/>
          <w:szCs w:val="24"/>
        </w:rPr>
        <w:t>在上述新增港股通交易日，各基金如因其他原因暂停申购、赎回、转换、定期定额投资、大额申购、大额转换转入业务或有其他交</w:t>
      </w:r>
      <w:r w:rsidR="0087120B">
        <w:rPr>
          <w:rFonts w:ascii="宋体" w:eastAsia="宋体" w:hAnsi="宋体" w:hint="eastAsia"/>
          <w:color w:val="000000"/>
          <w:sz w:val="24"/>
          <w:szCs w:val="24"/>
        </w:rPr>
        <w:t>易状态限制的，仍受相关交易状态限制，具体业务办理以相关公告为准</w:t>
      </w:r>
      <w:r w:rsidRPr="00C51E6F">
        <w:rPr>
          <w:rFonts w:ascii="宋体" w:eastAsia="宋体" w:hAnsi="宋体" w:hint="eastAsia"/>
          <w:color w:val="000000"/>
          <w:sz w:val="24"/>
          <w:szCs w:val="24"/>
        </w:rPr>
        <w:t>。</w:t>
      </w:r>
    </w:p>
    <w:p w:rsidR="005B386D" w:rsidRDefault="00C51E6F" w:rsidP="00C51E6F">
      <w:pPr>
        <w:autoSpaceDE w:val="0"/>
        <w:autoSpaceDN w:val="0"/>
        <w:adjustRightInd w:val="0"/>
        <w:spacing w:line="360" w:lineRule="auto"/>
        <w:ind w:firstLineChars="200" w:firstLine="480"/>
        <w:jc w:val="left"/>
        <w:rPr>
          <w:rFonts w:ascii="宋体" w:eastAsia="宋体" w:hAnsi="宋体"/>
          <w:color w:val="000000"/>
          <w:sz w:val="24"/>
          <w:szCs w:val="24"/>
        </w:rPr>
      </w:pPr>
      <w:r w:rsidRPr="00C51E6F">
        <w:rPr>
          <w:rFonts w:ascii="宋体" w:eastAsia="宋体" w:hAnsi="宋体"/>
          <w:color w:val="000000"/>
          <w:sz w:val="24"/>
          <w:szCs w:val="24"/>
        </w:rPr>
        <w:t>4．若港股通交易日安排发生变化，本公司将进行相应调整并公告。</w:t>
      </w:r>
    </w:p>
    <w:p w:rsidR="00304E23" w:rsidRPr="00304E23" w:rsidRDefault="00304E23" w:rsidP="00304E23">
      <w:pPr>
        <w:autoSpaceDE w:val="0"/>
        <w:autoSpaceDN w:val="0"/>
        <w:adjustRightInd w:val="0"/>
        <w:spacing w:line="360" w:lineRule="auto"/>
        <w:ind w:firstLineChars="200" w:firstLine="480"/>
        <w:jc w:val="left"/>
        <w:rPr>
          <w:rFonts w:ascii="宋体" w:eastAsia="宋体" w:hAnsi="宋体"/>
          <w:color w:val="000000"/>
          <w:sz w:val="24"/>
          <w:szCs w:val="24"/>
        </w:rPr>
      </w:pPr>
      <w:r w:rsidRPr="00304E23">
        <w:rPr>
          <w:rFonts w:ascii="宋体" w:eastAsia="宋体" w:hAnsi="宋体" w:hint="eastAsia"/>
          <w:color w:val="000000"/>
          <w:sz w:val="24"/>
          <w:szCs w:val="24"/>
        </w:rPr>
        <w:t>投资者可登录本公司网站（</w:t>
      </w:r>
      <w:r w:rsidRPr="00304E23">
        <w:rPr>
          <w:rFonts w:ascii="宋体" w:eastAsia="宋体" w:hAnsi="宋体"/>
          <w:color w:val="000000"/>
          <w:sz w:val="24"/>
          <w:szCs w:val="24"/>
        </w:rPr>
        <w:t>fund.pingan.com）或拨打本公司客户服务电话（400-800-4800）获取相关信息。</w:t>
      </w:r>
    </w:p>
    <w:p w:rsidR="00304E23" w:rsidRPr="00304E23" w:rsidRDefault="00304E23" w:rsidP="00304E23">
      <w:pPr>
        <w:autoSpaceDE w:val="0"/>
        <w:autoSpaceDN w:val="0"/>
        <w:adjustRightInd w:val="0"/>
        <w:spacing w:line="360" w:lineRule="auto"/>
        <w:ind w:firstLineChars="200" w:firstLine="480"/>
        <w:jc w:val="left"/>
        <w:rPr>
          <w:rFonts w:ascii="宋体" w:eastAsia="宋体" w:hAnsi="宋体"/>
          <w:color w:val="000000"/>
          <w:sz w:val="24"/>
          <w:szCs w:val="24"/>
        </w:rPr>
      </w:pPr>
      <w:r w:rsidRPr="00304E23">
        <w:rPr>
          <w:rFonts w:ascii="宋体" w:eastAsia="宋体" w:hAnsi="宋体" w:hint="eastAsia"/>
          <w:color w:val="000000"/>
          <w:sz w:val="24"/>
          <w:szCs w:val="24"/>
        </w:rPr>
        <w:t>风险提示：本公司承诺以诚实信用、勤勉尽责的原则管理和运用基金资产，但不保证基金一定盈利，也不保证最低收益。敬请投资者注意投资风险。投资者投资于上述基金前应认真阅读本基金的基金合同、招募说明书（更新）等相关法律文件。</w:t>
      </w:r>
    </w:p>
    <w:p w:rsidR="00304E23" w:rsidRDefault="00304E23" w:rsidP="00304E23">
      <w:pPr>
        <w:autoSpaceDE w:val="0"/>
        <w:autoSpaceDN w:val="0"/>
        <w:adjustRightInd w:val="0"/>
        <w:spacing w:line="360" w:lineRule="auto"/>
        <w:ind w:firstLineChars="200" w:firstLine="480"/>
        <w:jc w:val="left"/>
        <w:rPr>
          <w:rFonts w:ascii="宋体" w:eastAsia="宋体" w:hAnsi="宋体"/>
          <w:color w:val="000000"/>
          <w:sz w:val="24"/>
          <w:szCs w:val="24"/>
        </w:rPr>
      </w:pPr>
      <w:r w:rsidRPr="00304E23">
        <w:rPr>
          <w:rFonts w:ascii="宋体" w:eastAsia="宋体" w:hAnsi="宋体"/>
          <w:color w:val="000000"/>
          <w:sz w:val="24"/>
          <w:szCs w:val="24"/>
        </w:rPr>
        <w:t xml:space="preserve">   </w:t>
      </w:r>
    </w:p>
    <w:p w:rsidR="005B386D" w:rsidRDefault="00304E23" w:rsidP="00304E23">
      <w:pPr>
        <w:autoSpaceDE w:val="0"/>
        <w:autoSpaceDN w:val="0"/>
        <w:adjustRightInd w:val="0"/>
        <w:spacing w:line="360" w:lineRule="auto"/>
        <w:ind w:firstLineChars="200" w:firstLine="480"/>
        <w:jc w:val="left"/>
        <w:rPr>
          <w:rFonts w:ascii="宋体" w:eastAsia="宋体" w:hAnsi="宋体"/>
          <w:color w:val="000000"/>
          <w:sz w:val="24"/>
          <w:szCs w:val="24"/>
        </w:rPr>
      </w:pPr>
      <w:r w:rsidRPr="00304E23">
        <w:rPr>
          <w:rFonts w:ascii="宋体" w:eastAsia="宋体" w:hAnsi="宋体"/>
          <w:color w:val="000000"/>
          <w:sz w:val="24"/>
          <w:szCs w:val="24"/>
        </w:rPr>
        <w:t>特此公告。</w:t>
      </w:r>
    </w:p>
    <w:p w:rsidR="00295F7A" w:rsidRDefault="00295F7A" w:rsidP="00295F7A">
      <w:pPr>
        <w:autoSpaceDE w:val="0"/>
        <w:autoSpaceDN w:val="0"/>
        <w:adjustRightInd w:val="0"/>
        <w:spacing w:line="360" w:lineRule="auto"/>
        <w:ind w:firstLineChars="200" w:firstLine="480"/>
        <w:jc w:val="left"/>
        <w:rPr>
          <w:rFonts w:ascii="宋体" w:eastAsia="宋体" w:hAnsi="宋体"/>
          <w:color w:val="000000"/>
          <w:sz w:val="24"/>
          <w:szCs w:val="24"/>
        </w:rPr>
      </w:pPr>
    </w:p>
    <w:p w:rsidR="00304E23" w:rsidRDefault="00304E23" w:rsidP="00295F7A">
      <w:pPr>
        <w:autoSpaceDE w:val="0"/>
        <w:autoSpaceDN w:val="0"/>
        <w:adjustRightInd w:val="0"/>
        <w:spacing w:line="360" w:lineRule="auto"/>
        <w:ind w:firstLineChars="200" w:firstLine="480"/>
        <w:jc w:val="left"/>
        <w:rPr>
          <w:rFonts w:ascii="宋体" w:eastAsia="宋体" w:hAnsi="宋体"/>
          <w:color w:val="000000"/>
          <w:sz w:val="24"/>
          <w:szCs w:val="24"/>
        </w:rPr>
      </w:pPr>
    </w:p>
    <w:p w:rsidR="00304E23" w:rsidRPr="004246A4" w:rsidRDefault="00304E23" w:rsidP="00304E23">
      <w:pPr>
        <w:spacing w:line="560" w:lineRule="exact"/>
        <w:ind w:firstLineChars="200" w:firstLine="480"/>
        <w:jc w:val="right"/>
        <w:rPr>
          <w:rFonts w:ascii="宋体" w:eastAsia="宋体" w:hAnsi="宋体"/>
          <w:color w:val="000000"/>
          <w:sz w:val="24"/>
          <w:szCs w:val="24"/>
        </w:rPr>
      </w:pPr>
      <w:r w:rsidRPr="004246A4">
        <w:rPr>
          <w:rFonts w:ascii="宋体" w:eastAsia="宋体" w:hAnsi="宋体"/>
          <w:color w:val="000000"/>
          <w:sz w:val="24"/>
          <w:szCs w:val="24"/>
        </w:rPr>
        <w:t>平安基金管理有限公司</w:t>
      </w:r>
    </w:p>
    <w:p w:rsidR="00304E23" w:rsidRPr="00E83E9F" w:rsidRDefault="00304E23" w:rsidP="00304E23">
      <w:pPr>
        <w:spacing w:line="560" w:lineRule="exact"/>
        <w:ind w:firstLineChars="200" w:firstLine="480"/>
        <w:jc w:val="right"/>
        <w:rPr>
          <w:rFonts w:ascii="宋体" w:eastAsia="宋体" w:hAnsi="宋体"/>
          <w:color w:val="000000"/>
          <w:szCs w:val="21"/>
        </w:rPr>
      </w:pPr>
      <w:r>
        <w:rPr>
          <w:rFonts w:ascii="宋体" w:eastAsia="宋体" w:hAnsi="宋体"/>
          <w:color w:val="000000"/>
          <w:sz w:val="24"/>
          <w:szCs w:val="24"/>
        </w:rPr>
        <w:t>202</w:t>
      </w:r>
      <w:r>
        <w:rPr>
          <w:rFonts w:ascii="宋体" w:eastAsia="宋体" w:hAnsi="宋体" w:hint="eastAsia"/>
          <w:color w:val="000000"/>
          <w:sz w:val="24"/>
          <w:szCs w:val="24"/>
        </w:rPr>
        <w:t>3</w:t>
      </w:r>
      <w:r w:rsidRPr="004246A4">
        <w:rPr>
          <w:rFonts w:ascii="宋体" w:eastAsia="宋体" w:hAnsi="宋体"/>
          <w:color w:val="000000"/>
          <w:sz w:val="24"/>
          <w:szCs w:val="24"/>
        </w:rPr>
        <w:t>年</w:t>
      </w:r>
      <w:r w:rsidR="0087120B">
        <w:rPr>
          <w:rFonts w:ascii="宋体" w:eastAsia="宋体" w:hAnsi="宋体" w:hint="eastAsia"/>
          <w:color w:val="000000"/>
          <w:sz w:val="24"/>
          <w:szCs w:val="24"/>
        </w:rPr>
        <w:t>4</w:t>
      </w:r>
      <w:r w:rsidRPr="004246A4">
        <w:rPr>
          <w:rFonts w:ascii="宋体" w:eastAsia="宋体" w:hAnsi="宋体"/>
          <w:color w:val="000000"/>
          <w:sz w:val="24"/>
          <w:szCs w:val="24"/>
        </w:rPr>
        <w:t>月</w:t>
      </w:r>
      <w:r w:rsidR="0087120B">
        <w:rPr>
          <w:rFonts w:ascii="宋体" w:eastAsia="宋体" w:hAnsi="宋体" w:hint="eastAsia"/>
          <w:color w:val="000000"/>
          <w:sz w:val="24"/>
          <w:szCs w:val="24"/>
        </w:rPr>
        <w:t>6</w:t>
      </w:r>
      <w:bookmarkStart w:id="0" w:name="_GoBack"/>
      <w:bookmarkEnd w:id="0"/>
      <w:r w:rsidRPr="004246A4">
        <w:rPr>
          <w:rFonts w:ascii="宋体" w:eastAsia="宋体" w:hAnsi="宋体"/>
          <w:color w:val="000000"/>
          <w:sz w:val="24"/>
          <w:szCs w:val="24"/>
        </w:rPr>
        <w:t>日</w:t>
      </w:r>
    </w:p>
    <w:p w:rsidR="00304E23" w:rsidRPr="00304E23" w:rsidRDefault="00304E23" w:rsidP="00295F7A">
      <w:pPr>
        <w:autoSpaceDE w:val="0"/>
        <w:autoSpaceDN w:val="0"/>
        <w:adjustRightInd w:val="0"/>
        <w:spacing w:line="360" w:lineRule="auto"/>
        <w:ind w:firstLineChars="200" w:firstLine="480"/>
        <w:jc w:val="left"/>
        <w:rPr>
          <w:rFonts w:ascii="宋体" w:eastAsia="宋体" w:hAnsi="宋体"/>
          <w:color w:val="000000"/>
          <w:sz w:val="24"/>
          <w:szCs w:val="24"/>
        </w:rPr>
      </w:pPr>
    </w:p>
    <w:sectPr w:rsidR="00304E23" w:rsidRPr="00304E23" w:rsidSect="007667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170" w:rsidRDefault="00435170" w:rsidP="0087120B">
      <w:r>
        <w:separator/>
      </w:r>
    </w:p>
  </w:endnote>
  <w:endnote w:type="continuationSeparator" w:id="0">
    <w:p w:rsidR="00435170" w:rsidRDefault="00435170" w:rsidP="0087120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170" w:rsidRDefault="00435170" w:rsidP="0087120B">
      <w:r>
        <w:separator/>
      </w:r>
    </w:p>
  </w:footnote>
  <w:footnote w:type="continuationSeparator" w:id="0">
    <w:p w:rsidR="00435170" w:rsidRDefault="00435170" w:rsidP="008712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F7A"/>
    <w:rsid w:val="00002009"/>
    <w:rsid w:val="00295F7A"/>
    <w:rsid w:val="00304E23"/>
    <w:rsid w:val="0039307E"/>
    <w:rsid w:val="00435170"/>
    <w:rsid w:val="004D4C9A"/>
    <w:rsid w:val="00530771"/>
    <w:rsid w:val="005B386D"/>
    <w:rsid w:val="00766704"/>
    <w:rsid w:val="0087120B"/>
    <w:rsid w:val="00C51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712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7120B"/>
    <w:rPr>
      <w:sz w:val="18"/>
      <w:szCs w:val="18"/>
    </w:rPr>
  </w:style>
  <w:style w:type="paragraph" w:styleId="a5">
    <w:name w:val="footer"/>
    <w:basedOn w:val="a"/>
    <w:link w:val="Char0"/>
    <w:uiPriority w:val="99"/>
    <w:unhideWhenUsed/>
    <w:rsid w:val="0087120B"/>
    <w:pPr>
      <w:tabs>
        <w:tab w:val="center" w:pos="4153"/>
        <w:tab w:val="right" w:pos="8306"/>
      </w:tabs>
      <w:snapToGrid w:val="0"/>
      <w:jc w:val="left"/>
    </w:pPr>
    <w:rPr>
      <w:sz w:val="18"/>
      <w:szCs w:val="18"/>
    </w:rPr>
  </w:style>
  <w:style w:type="character" w:customStyle="1" w:styleId="Char0">
    <w:name w:val="页脚 Char"/>
    <w:basedOn w:val="a0"/>
    <w:link w:val="a5"/>
    <w:uiPriority w:val="99"/>
    <w:rsid w:val="0087120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1025</Characters>
  <Application>Microsoft Office Word</Application>
  <DocSecurity>4</DocSecurity>
  <Lines>8</Lines>
  <Paragraphs>2</Paragraphs>
  <ScaleCrop>false</ScaleCrop>
  <Company>PAIG</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宾晨羽(基金公司总部产品企划中心机构产品室)</dc:creator>
  <cp:keywords/>
  <dc:description/>
  <cp:lastModifiedBy>ZHONGM</cp:lastModifiedBy>
  <cp:revision>2</cp:revision>
  <dcterms:created xsi:type="dcterms:W3CDTF">2023-04-05T16:01:00Z</dcterms:created>
  <dcterms:modified xsi:type="dcterms:W3CDTF">2023-04-05T16:01:00Z</dcterms:modified>
</cp:coreProperties>
</file>