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37" w:rsidRDefault="004E5A37"/>
    <w:p w:rsidR="004E5A37" w:rsidRDefault="00005BC7">
      <w:pPr>
        <w:jc w:val="center"/>
        <w:rPr>
          <w:rFonts w:ascii="宋体" w:eastAsia="宋体" w:hAnsi="宋体"/>
          <w:b/>
          <w:sz w:val="30"/>
        </w:rPr>
      </w:pPr>
      <w:r>
        <w:rPr>
          <w:rFonts w:ascii="宋体" w:eastAsia="宋体" w:hAnsi="宋体" w:hint="eastAsia"/>
          <w:b/>
          <w:sz w:val="30"/>
        </w:rPr>
        <w:t>博时恒享债券型证券投资基金开放日常申购、赎回、转换、定期定额投资业务的公告</w:t>
      </w:r>
    </w:p>
    <w:p w:rsidR="004E5A37" w:rsidRDefault="00005BC7">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4</w:t>
      </w:r>
      <w:r>
        <w:rPr>
          <w:rFonts w:ascii="宋体" w:eastAsia="宋体" w:hAnsi="宋体"/>
          <w:b/>
          <w:sz w:val="24"/>
        </w:rPr>
        <w:t>月</w:t>
      </w:r>
      <w:r>
        <w:rPr>
          <w:rFonts w:ascii="宋体" w:eastAsia="宋体" w:hAnsi="宋体" w:hint="eastAsia"/>
          <w:b/>
          <w:sz w:val="24"/>
        </w:rPr>
        <w:t>4</w:t>
      </w:r>
      <w:r>
        <w:rPr>
          <w:rFonts w:ascii="宋体" w:eastAsia="宋体" w:hAnsi="宋体"/>
          <w:b/>
          <w:sz w:val="24"/>
        </w:rPr>
        <w:t>日</w:t>
      </w:r>
    </w:p>
    <w:p w:rsidR="004E5A37" w:rsidRDefault="004E5A37">
      <w:pPr>
        <w:jc w:val="center"/>
        <w:rPr>
          <w:rFonts w:ascii="宋体" w:eastAsia="宋体" w:hAnsi="宋体"/>
          <w:b/>
          <w:sz w:val="24"/>
        </w:rPr>
      </w:pPr>
    </w:p>
    <w:p w:rsidR="004E5A37" w:rsidRDefault="00005BC7">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40"/>
        <w:gridCol w:w="2841"/>
        <w:gridCol w:w="2841"/>
      </w:tblGrid>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基金名称</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博时恒享债券型证券投资基金</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基金简称</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博时恒享债券</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基金主代码</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017782</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基金运作方式</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契约型开放式</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基金合同生效日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30</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基金管理人名称</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博时基金管理有限公司</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基金托管人名称</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北京银行股份有限公司</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基金注册登记机构名称</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博时基金管理有限公司</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公告依据</w:t>
            </w:r>
          </w:p>
        </w:tc>
        <w:tc>
          <w:tcPr>
            <w:tcW w:w="5682" w:type="dxa"/>
            <w:gridSpan w:val="2"/>
            <w:vAlign w:val="center"/>
          </w:tcPr>
          <w:p w:rsidR="004E5A37" w:rsidRDefault="00005BC7">
            <w:pPr>
              <w:rPr>
                <w:rFonts w:ascii="宋体" w:eastAsia="宋体" w:hAnsi="宋体"/>
                <w:sz w:val="24"/>
              </w:rPr>
            </w:pPr>
            <w:r>
              <w:rPr>
                <w:rFonts w:ascii="宋体" w:eastAsia="宋体" w:hAnsi="宋体" w:hint="eastAsia"/>
                <w:sz w:val="24"/>
              </w:rPr>
              <w:t>《博时恒享债券型证券投资基金基金合同》、《博时恒享债券型证券投资基金招募说明书》等</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申购起始日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6</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赎回起始日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6</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转换转入起始日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6</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转换转出起始日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6</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定期定额投资起始日</w:t>
            </w:r>
          </w:p>
        </w:tc>
        <w:tc>
          <w:tcPr>
            <w:tcW w:w="5682" w:type="dxa"/>
            <w:gridSpan w:val="2"/>
            <w:vAlign w:val="center"/>
          </w:tcPr>
          <w:p w:rsidR="004E5A37" w:rsidRDefault="00005BC7">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4</w:t>
            </w:r>
            <w:r>
              <w:rPr>
                <w:rFonts w:ascii="宋体" w:eastAsia="宋体" w:hAnsi="宋体"/>
                <w:sz w:val="24"/>
              </w:rPr>
              <w:t>月</w:t>
            </w:r>
            <w:r>
              <w:rPr>
                <w:rFonts w:ascii="宋体" w:eastAsia="宋体" w:hAnsi="宋体"/>
                <w:sz w:val="24"/>
              </w:rPr>
              <w:t>6</w:t>
            </w:r>
            <w:r>
              <w:rPr>
                <w:rFonts w:ascii="宋体" w:eastAsia="宋体" w:hAnsi="宋体"/>
                <w:sz w:val="24"/>
              </w:rPr>
              <w:t>日</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下属基金份额的基金简称</w:t>
            </w:r>
          </w:p>
        </w:tc>
        <w:tc>
          <w:tcPr>
            <w:tcW w:w="2841" w:type="dxa"/>
            <w:vAlign w:val="center"/>
          </w:tcPr>
          <w:p w:rsidR="004E5A37" w:rsidRDefault="00005BC7">
            <w:pPr>
              <w:rPr>
                <w:rFonts w:ascii="宋体" w:eastAsia="宋体" w:hAnsi="宋体"/>
                <w:sz w:val="24"/>
              </w:rPr>
            </w:pPr>
            <w:r>
              <w:rPr>
                <w:rFonts w:ascii="宋体" w:eastAsia="宋体" w:hAnsi="宋体" w:hint="eastAsia"/>
                <w:sz w:val="24"/>
              </w:rPr>
              <w:t>博时恒享债券</w:t>
            </w:r>
            <w:r>
              <w:rPr>
                <w:rFonts w:ascii="宋体" w:eastAsia="宋体" w:hAnsi="宋体"/>
                <w:sz w:val="24"/>
              </w:rPr>
              <w:t>A</w:t>
            </w:r>
          </w:p>
        </w:tc>
        <w:tc>
          <w:tcPr>
            <w:tcW w:w="2841" w:type="dxa"/>
            <w:vAlign w:val="center"/>
          </w:tcPr>
          <w:p w:rsidR="004E5A37" w:rsidRDefault="00005BC7">
            <w:pPr>
              <w:rPr>
                <w:rFonts w:ascii="宋体" w:eastAsia="宋体" w:hAnsi="宋体"/>
                <w:sz w:val="24"/>
              </w:rPr>
            </w:pPr>
            <w:r>
              <w:rPr>
                <w:rFonts w:ascii="宋体" w:eastAsia="宋体" w:hAnsi="宋体" w:hint="eastAsia"/>
                <w:sz w:val="24"/>
              </w:rPr>
              <w:t>博时恒享债券</w:t>
            </w:r>
            <w:r>
              <w:rPr>
                <w:rFonts w:ascii="宋体" w:eastAsia="宋体" w:hAnsi="宋体"/>
                <w:sz w:val="24"/>
              </w:rPr>
              <w:t>C</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下属基金份额的交易代码</w:t>
            </w:r>
          </w:p>
        </w:tc>
        <w:tc>
          <w:tcPr>
            <w:tcW w:w="2841" w:type="dxa"/>
            <w:vAlign w:val="center"/>
          </w:tcPr>
          <w:p w:rsidR="004E5A37" w:rsidRDefault="00005BC7">
            <w:pPr>
              <w:rPr>
                <w:rFonts w:ascii="宋体" w:eastAsia="宋体" w:hAnsi="宋体"/>
                <w:sz w:val="24"/>
              </w:rPr>
            </w:pPr>
            <w:r>
              <w:rPr>
                <w:rFonts w:ascii="宋体" w:eastAsia="宋体" w:hAnsi="宋体"/>
                <w:sz w:val="24"/>
              </w:rPr>
              <w:t>017782</w:t>
            </w:r>
          </w:p>
        </w:tc>
        <w:tc>
          <w:tcPr>
            <w:tcW w:w="2841" w:type="dxa"/>
            <w:vAlign w:val="center"/>
          </w:tcPr>
          <w:p w:rsidR="004E5A37" w:rsidRDefault="00005BC7">
            <w:pPr>
              <w:rPr>
                <w:rFonts w:ascii="宋体" w:eastAsia="宋体" w:hAnsi="宋体"/>
                <w:sz w:val="24"/>
              </w:rPr>
            </w:pPr>
            <w:r>
              <w:rPr>
                <w:rFonts w:ascii="宋体" w:eastAsia="宋体" w:hAnsi="宋体"/>
                <w:sz w:val="24"/>
              </w:rPr>
              <w:t>017783</w:t>
            </w:r>
          </w:p>
        </w:tc>
      </w:tr>
      <w:tr w:rsidR="004E5A37">
        <w:tc>
          <w:tcPr>
            <w:tcW w:w="2840" w:type="dxa"/>
            <w:vAlign w:val="center"/>
          </w:tcPr>
          <w:p w:rsidR="004E5A37" w:rsidRDefault="00005BC7">
            <w:pPr>
              <w:rPr>
                <w:rFonts w:ascii="宋体" w:eastAsia="宋体" w:hAnsi="宋体"/>
                <w:sz w:val="24"/>
              </w:rPr>
            </w:pPr>
            <w:r>
              <w:rPr>
                <w:rFonts w:ascii="宋体" w:eastAsia="宋体" w:hAnsi="宋体" w:hint="eastAsia"/>
                <w:sz w:val="24"/>
              </w:rPr>
              <w:t>该类基金份额是否开放申购、赎回、转换、定期定额投资业务</w:t>
            </w:r>
          </w:p>
        </w:tc>
        <w:tc>
          <w:tcPr>
            <w:tcW w:w="2841" w:type="dxa"/>
            <w:vAlign w:val="center"/>
          </w:tcPr>
          <w:p w:rsidR="004E5A37" w:rsidRDefault="00005BC7">
            <w:pPr>
              <w:rPr>
                <w:rFonts w:ascii="宋体" w:eastAsia="宋体" w:hAnsi="宋体"/>
                <w:sz w:val="24"/>
              </w:rPr>
            </w:pPr>
            <w:r>
              <w:rPr>
                <w:rFonts w:ascii="宋体" w:eastAsia="宋体" w:hAnsi="宋体" w:hint="eastAsia"/>
                <w:sz w:val="24"/>
              </w:rPr>
              <w:t>是</w:t>
            </w:r>
          </w:p>
        </w:tc>
        <w:tc>
          <w:tcPr>
            <w:tcW w:w="2841" w:type="dxa"/>
            <w:vAlign w:val="center"/>
          </w:tcPr>
          <w:p w:rsidR="004E5A37" w:rsidRDefault="00005BC7">
            <w:pPr>
              <w:rPr>
                <w:rFonts w:ascii="宋体" w:eastAsia="宋体" w:hAnsi="宋体"/>
                <w:sz w:val="24"/>
              </w:rPr>
            </w:pPr>
            <w:r>
              <w:rPr>
                <w:rFonts w:ascii="宋体" w:eastAsia="宋体" w:hAnsi="宋体" w:hint="eastAsia"/>
                <w:sz w:val="24"/>
              </w:rPr>
              <w:t>是</w:t>
            </w:r>
          </w:p>
        </w:tc>
      </w:tr>
    </w:tbl>
    <w:p w:rsidR="004E5A37" w:rsidRDefault="004E5A37"/>
    <w:p w:rsidR="004E5A37" w:rsidRDefault="00005BC7">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、日常申购、赎回、转换、定期定额投资业务的办理时间</w:t>
      </w:r>
    </w:p>
    <w:p w:rsidR="004E5A37" w:rsidRDefault="00005BC7">
      <w:pPr>
        <w:pStyle w:val="a3"/>
        <w:spacing w:before="0" w:beforeAutospacing="0" w:after="0" w:afterAutospacing="0" w:line="360" w:lineRule="auto"/>
        <w:ind w:firstLine="420"/>
      </w:pPr>
      <w:r>
        <w:rPr>
          <w:rFonts w:hint="eastAsia"/>
        </w:rPr>
        <w:t>投资人在开放日办理申购和</w:t>
      </w:r>
      <w:r>
        <w:rPr>
          <w:rFonts w:hint="eastAsia"/>
        </w:rPr>
        <w:t>/</w:t>
      </w:r>
      <w:r>
        <w:rPr>
          <w:rFonts w:hint="eastAsia"/>
        </w:rPr>
        <w:t>或赎回的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w:t>
      </w:r>
      <w:r>
        <w:rPr>
          <w:rFonts w:hint="eastAsia"/>
        </w:rPr>
        <w:lastRenderedPageBreak/>
        <w:t>理人根据法律法规、中国证监会的要求或基金合同的规定公告暂停申购、赎回时除外。</w:t>
      </w:r>
    </w:p>
    <w:p w:rsidR="004E5A37" w:rsidRDefault="00005BC7">
      <w:pPr>
        <w:pStyle w:val="a3"/>
        <w:spacing w:before="0" w:beforeAutospacing="0" w:after="0" w:afterAutospacing="0" w:line="360" w:lineRule="auto"/>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w:t>
      </w:r>
      <w:r>
        <w:rPr>
          <w:rFonts w:hint="eastAsia"/>
        </w:rPr>
        <w:t>前依照《公开募集证券投资基金信息披露管理办法》的有关规定在规定媒介上公告。</w:t>
      </w:r>
    </w:p>
    <w:p w:rsidR="004E5A37" w:rsidRDefault="00005BC7">
      <w:pPr>
        <w:pStyle w:val="2"/>
        <w:rPr>
          <w:rFonts w:ascii="宋体" w:eastAsia="宋体" w:hAnsi="宋体"/>
          <w:sz w:val="24"/>
        </w:rPr>
      </w:pPr>
      <w:r>
        <w:rPr>
          <w:rFonts w:ascii="宋体" w:eastAsia="宋体" w:hAnsi="宋体"/>
          <w:sz w:val="24"/>
        </w:rPr>
        <w:t>3</w:t>
      </w:r>
      <w:r>
        <w:rPr>
          <w:rFonts w:ascii="宋体" w:eastAsia="宋体" w:hAnsi="宋体"/>
          <w:sz w:val="24"/>
        </w:rPr>
        <w:t>、日常申购业务</w:t>
      </w:r>
    </w:p>
    <w:p w:rsidR="004E5A37" w:rsidRDefault="00005BC7">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4E5A37" w:rsidRDefault="00005BC7">
      <w:pPr>
        <w:pStyle w:val="a3"/>
        <w:spacing w:before="0" w:beforeAutospacing="0" w:after="0" w:afterAutospacing="0" w:line="360" w:lineRule="auto"/>
        <w:ind w:firstLine="420"/>
      </w:pPr>
      <w:r>
        <w:rPr>
          <w:rFonts w:hint="eastAsia"/>
        </w:rPr>
        <w:t>投资人首次申购本基金</w:t>
      </w:r>
      <w:r>
        <w:rPr>
          <w:rFonts w:hint="eastAsia"/>
        </w:rPr>
        <w:t>A</w:t>
      </w:r>
      <w:r>
        <w:rPr>
          <w:rFonts w:hint="eastAsia"/>
        </w:rPr>
        <w:t>类基金份额或</w:t>
      </w:r>
      <w:r>
        <w:rPr>
          <w:rFonts w:hint="eastAsia"/>
        </w:rPr>
        <w:t>C</w:t>
      </w:r>
      <w:r>
        <w:rPr>
          <w:rFonts w:hint="eastAsia"/>
        </w:rPr>
        <w:t>类基金份额的最低金额为</w:t>
      </w:r>
      <w:r>
        <w:rPr>
          <w:rFonts w:hint="eastAsia"/>
        </w:rPr>
        <w:t>1.00</w:t>
      </w:r>
      <w:r>
        <w:rPr>
          <w:rFonts w:hint="eastAsia"/>
        </w:rPr>
        <w:t>元（含申购费），追加申购单笔最低金额为</w:t>
      </w:r>
      <w:r>
        <w:rPr>
          <w:rFonts w:hint="eastAsia"/>
        </w:rPr>
        <w:t>1.00</w:t>
      </w:r>
      <w:r>
        <w:rPr>
          <w:rFonts w:hint="eastAsia"/>
        </w:rPr>
        <w:t>元（含申购费）；详情请见当地销售机构公告。</w:t>
      </w:r>
      <w:r>
        <w:rPr>
          <w:rFonts w:hint="eastAsia"/>
        </w:rPr>
        <w:t xml:space="preserve"> </w:t>
      </w:r>
    </w:p>
    <w:p w:rsidR="004E5A37" w:rsidRDefault="00005BC7">
      <w:pPr>
        <w:pStyle w:val="3"/>
        <w:rPr>
          <w:rFonts w:ascii="宋体" w:eastAsia="宋体" w:hAnsi="宋体"/>
          <w:sz w:val="24"/>
        </w:rPr>
      </w:pPr>
      <w:r>
        <w:rPr>
          <w:rFonts w:ascii="宋体" w:eastAsia="宋体" w:hAnsi="宋体"/>
          <w:sz w:val="24"/>
        </w:rPr>
        <w:t>3.2</w:t>
      </w:r>
      <w:r>
        <w:rPr>
          <w:rFonts w:ascii="宋体" w:eastAsia="宋体" w:hAnsi="宋体"/>
          <w:sz w:val="24"/>
        </w:rPr>
        <w:t>申购费率</w:t>
      </w:r>
    </w:p>
    <w:p w:rsidR="004E5A37" w:rsidRDefault="00005BC7">
      <w:pPr>
        <w:adjustRightInd w:val="0"/>
        <w:snapToGrid w:val="0"/>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本基金</w:t>
      </w:r>
      <w:r>
        <w:rPr>
          <w:rFonts w:ascii="宋体" w:eastAsia="宋体" w:hAnsi="宋体" w:cs="宋体" w:hint="eastAsia"/>
          <w:kern w:val="0"/>
          <w:sz w:val="24"/>
          <w:szCs w:val="24"/>
        </w:rPr>
        <w:t>A</w:t>
      </w:r>
      <w:r>
        <w:rPr>
          <w:rFonts w:ascii="宋体" w:eastAsia="宋体" w:hAnsi="宋体" w:cs="宋体" w:hint="eastAsia"/>
          <w:kern w:val="0"/>
          <w:sz w:val="24"/>
          <w:szCs w:val="24"/>
        </w:rPr>
        <w:t>类基金份额在申购时收取基金申购费用；</w:t>
      </w:r>
      <w:r>
        <w:rPr>
          <w:rFonts w:ascii="宋体" w:eastAsia="宋体" w:hAnsi="宋体" w:cs="宋体" w:hint="eastAsia"/>
          <w:kern w:val="0"/>
          <w:sz w:val="24"/>
          <w:szCs w:val="24"/>
        </w:rPr>
        <w:t>C</w:t>
      </w:r>
      <w:r>
        <w:rPr>
          <w:rFonts w:ascii="宋体" w:eastAsia="宋体" w:hAnsi="宋体" w:cs="宋体" w:hint="eastAsia"/>
          <w:kern w:val="0"/>
          <w:sz w:val="24"/>
          <w:szCs w:val="24"/>
        </w:rPr>
        <w:t>类基金份额不收取申购费用。</w:t>
      </w:r>
    </w:p>
    <w:tbl>
      <w:tblPr>
        <w:tblW w:w="5000" w:type="pct"/>
        <w:jc w:val="center"/>
        <w:tblCellMar>
          <w:top w:w="45" w:type="dxa"/>
          <w:left w:w="45" w:type="dxa"/>
          <w:bottom w:w="45" w:type="dxa"/>
          <w:right w:w="45" w:type="dxa"/>
        </w:tblCellMar>
        <w:tblLook w:val="04A0"/>
      </w:tblPr>
      <w:tblGrid>
        <w:gridCol w:w="3483"/>
        <w:gridCol w:w="2463"/>
        <w:gridCol w:w="2450"/>
      </w:tblGrid>
      <w:tr w:rsidR="004E5A37">
        <w:trPr>
          <w:jc w:val="center"/>
        </w:trPr>
        <w:tc>
          <w:tcPr>
            <w:tcW w:w="2074" w:type="pct"/>
            <w:tcBorders>
              <w:top w:val="single" w:sz="8" w:space="0" w:color="auto"/>
              <w:left w:val="single" w:sz="8" w:space="0" w:color="auto"/>
              <w:bottom w:val="single" w:sz="8" w:space="0" w:color="auto"/>
              <w:right w:val="single" w:sz="8" w:space="0" w:color="auto"/>
            </w:tcBorders>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金额（</w:t>
            </w:r>
            <w:r>
              <w:rPr>
                <w:rFonts w:ascii="宋体" w:eastAsia="宋体" w:hAnsi="宋体" w:cs="宋体" w:hint="eastAsia"/>
                <w:kern w:val="0"/>
                <w:sz w:val="24"/>
                <w:szCs w:val="24"/>
              </w:rPr>
              <w:t>M</w:t>
            </w:r>
            <w:r>
              <w:rPr>
                <w:rFonts w:ascii="宋体" w:eastAsia="宋体" w:hAnsi="宋体" w:cs="宋体" w:hint="eastAsia"/>
                <w:kern w:val="0"/>
                <w:sz w:val="24"/>
                <w:szCs w:val="24"/>
              </w:rPr>
              <w:t>）</w:t>
            </w:r>
          </w:p>
        </w:tc>
        <w:tc>
          <w:tcPr>
            <w:tcW w:w="1467" w:type="pct"/>
            <w:tcBorders>
              <w:top w:val="single" w:sz="8" w:space="0" w:color="auto"/>
              <w:left w:val="nil"/>
              <w:bottom w:val="single" w:sz="8" w:space="0" w:color="auto"/>
              <w:right w:val="single" w:sz="8" w:space="0" w:color="auto"/>
            </w:tcBorders>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类申购费率</w:t>
            </w:r>
          </w:p>
        </w:tc>
        <w:tc>
          <w:tcPr>
            <w:tcW w:w="1459" w:type="pct"/>
            <w:tcBorders>
              <w:top w:val="single" w:sz="8" w:space="0" w:color="auto"/>
              <w:left w:val="nil"/>
              <w:bottom w:val="single" w:sz="8" w:space="0" w:color="auto"/>
              <w:right w:val="single" w:sz="8" w:space="0" w:color="auto"/>
            </w:tcBorders>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类申购费率</w:t>
            </w:r>
          </w:p>
        </w:tc>
      </w:tr>
      <w:tr w:rsidR="004E5A37">
        <w:trPr>
          <w:jc w:val="center"/>
        </w:trPr>
        <w:tc>
          <w:tcPr>
            <w:tcW w:w="2074" w:type="pct"/>
            <w:tcBorders>
              <w:top w:val="nil"/>
              <w:left w:val="single" w:sz="8" w:space="0" w:color="auto"/>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M</w:t>
            </w:r>
            <w:r>
              <w:rPr>
                <w:rFonts w:ascii="宋体" w:eastAsia="宋体" w:hAnsi="宋体" w:cs="宋体" w:hint="eastAsia"/>
                <w:kern w:val="0"/>
                <w:sz w:val="24"/>
                <w:szCs w:val="24"/>
              </w:rPr>
              <w:t>＜</w:t>
            </w:r>
            <w:r>
              <w:rPr>
                <w:rFonts w:ascii="宋体" w:eastAsia="宋体" w:hAnsi="宋体" w:cs="宋体" w:hint="eastAsia"/>
                <w:kern w:val="0"/>
                <w:sz w:val="24"/>
                <w:szCs w:val="24"/>
              </w:rPr>
              <w:t>100</w:t>
            </w:r>
            <w:r>
              <w:rPr>
                <w:rFonts w:ascii="宋体" w:eastAsia="宋体" w:hAnsi="宋体" w:cs="宋体" w:hint="eastAsia"/>
                <w:kern w:val="0"/>
                <w:sz w:val="24"/>
                <w:szCs w:val="24"/>
              </w:rPr>
              <w:t>万元</w:t>
            </w:r>
          </w:p>
        </w:tc>
        <w:tc>
          <w:tcPr>
            <w:tcW w:w="1467" w:type="pct"/>
            <w:tcBorders>
              <w:top w:val="nil"/>
              <w:left w:val="nil"/>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0.80%</w:t>
            </w:r>
          </w:p>
        </w:tc>
        <w:tc>
          <w:tcPr>
            <w:tcW w:w="1459" w:type="pct"/>
            <w:vMerge w:val="restart"/>
            <w:tcBorders>
              <w:top w:val="nil"/>
              <w:left w:val="nil"/>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0.00%</w:t>
            </w:r>
          </w:p>
        </w:tc>
      </w:tr>
      <w:tr w:rsidR="004E5A37">
        <w:trPr>
          <w:jc w:val="center"/>
        </w:trPr>
        <w:tc>
          <w:tcPr>
            <w:tcW w:w="2074" w:type="pct"/>
            <w:tcBorders>
              <w:top w:val="nil"/>
              <w:left w:val="single" w:sz="8" w:space="0" w:color="auto"/>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100</w:t>
            </w:r>
            <w:r>
              <w:rPr>
                <w:rFonts w:ascii="宋体" w:eastAsia="宋体" w:hAnsi="宋体" w:cs="宋体" w:hint="eastAsia"/>
                <w:kern w:val="0"/>
                <w:sz w:val="24"/>
                <w:szCs w:val="24"/>
              </w:rPr>
              <w:t>万元≤</w:t>
            </w:r>
            <w:r>
              <w:rPr>
                <w:rFonts w:ascii="宋体" w:eastAsia="宋体" w:hAnsi="宋体" w:cs="宋体" w:hint="eastAsia"/>
                <w:kern w:val="0"/>
                <w:sz w:val="24"/>
                <w:szCs w:val="24"/>
              </w:rPr>
              <w:t>M</w:t>
            </w:r>
            <w:r>
              <w:rPr>
                <w:rFonts w:ascii="宋体" w:eastAsia="宋体" w:hAnsi="宋体" w:cs="宋体" w:hint="eastAsia"/>
                <w:kern w:val="0"/>
                <w:sz w:val="24"/>
                <w:szCs w:val="24"/>
              </w:rPr>
              <w:t>＜</w:t>
            </w:r>
            <w:r>
              <w:rPr>
                <w:rFonts w:ascii="宋体" w:eastAsia="宋体" w:hAnsi="宋体" w:cs="宋体" w:hint="eastAsia"/>
                <w:kern w:val="0"/>
                <w:sz w:val="24"/>
                <w:szCs w:val="24"/>
              </w:rPr>
              <w:t>300</w:t>
            </w:r>
            <w:r>
              <w:rPr>
                <w:rFonts w:ascii="宋体" w:eastAsia="宋体" w:hAnsi="宋体" w:cs="宋体" w:hint="eastAsia"/>
                <w:kern w:val="0"/>
                <w:sz w:val="24"/>
                <w:szCs w:val="24"/>
              </w:rPr>
              <w:t>万元</w:t>
            </w:r>
          </w:p>
        </w:tc>
        <w:tc>
          <w:tcPr>
            <w:tcW w:w="1467" w:type="pct"/>
            <w:tcBorders>
              <w:top w:val="nil"/>
              <w:left w:val="nil"/>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0.60%</w:t>
            </w:r>
          </w:p>
        </w:tc>
        <w:tc>
          <w:tcPr>
            <w:tcW w:w="1459" w:type="pct"/>
            <w:vMerge/>
            <w:tcBorders>
              <w:left w:val="nil"/>
              <w:right w:val="single" w:sz="8" w:space="0" w:color="auto"/>
            </w:tcBorders>
          </w:tcPr>
          <w:p w:rsidR="004E5A37" w:rsidRDefault="004E5A37">
            <w:pPr>
              <w:spacing w:line="300" w:lineRule="atLeast"/>
              <w:ind w:firstLine="420"/>
              <w:jc w:val="center"/>
              <w:rPr>
                <w:rFonts w:ascii="宋体" w:eastAsia="宋体" w:hAnsi="宋体" w:cs="宋体"/>
                <w:kern w:val="0"/>
                <w:sz w:val="24"/>
                <w:szCs w:val="24"/>
              </w:rPr>
            </w:pPr>
          </w:p>
        </w:tc>
      </w:tr>
      <w:tr w:rsidR="004E5A37">
        <w:trPr>
          <w:jc w:val="center"/>
        </w:trPr>
        <w:tc>
          <w:tcPr>
            <w:tcW w:w="2074" w:type="pct"/>
            <w:tcBorders>
              <w:top w:val="nil"/>
              <w:left w:val="single" w:sz="8" w:space="0" w:color="auto"/>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300</w:t>
            </w:r>
            <w:r>
              <w:rPr>
                <w:rFonts w:ascii="宋体" w:eastAsia="宋体" w:hAnsi="宋体" w:cs="宋体" w:hint="eastAsia"/>
                <w:kern w:val="0"/>
                <w:sz w:val="24"/>
                <w:szCs w:val="24"/>
              </w:rPr>
              <w:t>万元≤</w:t>
            </w:r>
            <w:r>
              <w:rPr>
                <w:rFonts w:ascii="宋体" w:eastAsia="宋体" w:hAnsi="宋体" w:cs="宋体" w:hint="eastAsia"/>
                <w:kern w:val="0"/>
                <w:sz w:val="24"/>
                <w:szCs w:val="24"/>
              </w:rPr>
              <w:t>M</w:t>
            </w:r>
            <w:r>
              <w:rPr>
                <w:rFonts w:ascii="宋体" w:eastAsia="宋体" w:hAnsi="宋体" w:cs="宋体" w:hint="eastAsia"/>
                <w:kern w:val="0"/>
                <w:sz w:val="24"/>
                <w:szCs w:val="24"/>
              </w:rPr>
              <w:t>＜</w:t>
            </w:r>
            <w:r>
              <w:rPr>
                <w:rFonts w:ascii="宋体" w:eastAsia="宋体" w:hAnsi="宋体" w:cs="宋体" w:hint="eastAsia"/>
                <w:kern w:val="0"/>
                <w:sz w:val="24"/>
                <w:szCs w:val="24"/>
              </w:rPr>
              <w:t>500</w:t>
            </w:r>
            <w:r>
              <w:rPr>
                <w:rFonts w:ascii="宋体" w:eastAsia="宋体" w:hAnsi="宋体" w:cs="宋体" w:hint="eastAsia"/>
                <w:kern w:val="0"/>
                <w:sz w:val="24"/>
                <w:szCs w:val="24"/>
              </w:rPr>
              <w:t>万元</w:t>
            </w:r>
          </w:p>
        </w:tc>
        <w:tc>
          <w:tcPr>
            <w:tcW w:w="1467" w:type="pct"/>
            <w:tcBorders>
              <w:top w:val="nil"/>
              <w:left w:val="nil"/>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0.40%</w:t>
            </w:r>
          </w:p>
        </w:tc>
        <w:tc>
          <w:tcPr>
            <w:tcW w:w="1459" w:type="pct"/>
            <w:vMerge/>
            <w:tcBorders>
              <w:left w:val="nil"/>
              <w:right w:val="single" w:sz="8" w:space="0" w:color="auto"/>
            </w:tcBorders>
          </w:tcPr>
          <w:p w:rsidR="004E5A37" w:rsidRDefault="004E5A37">
            <w:pPr>
              <w:spacing w:line="300" w:lineRule="atLeast"/>
              <w:ind w:firstLine="420"/>
              <w:jc w:val="center"/>
              <w:rPr>
                <w:rFonts w:ascii="宋体" w:eastAsia="宋体" w:hAnsi="宋体" w:cs="宋体"/>
                <w:kern w:val="0"/>
                <w:sz w:val="24"/>
                <w:szCs w:val="24"/>
              </w:rPr>
            </w:pPr>
          </w:p>
        </w:tc>
      </w:tr>
      <w:tr w:rsidR="004E5A37">
        <w:trPr>
          <w:jc w:val="center"/>
        </w:trPr>
        <w:tc>
          <w:tcPr>
            <w:tcW w:w="2074" w:type="pct"/>
            <w:tcBorders>
              <w:top w:val="nil"/>
              <w:left w:val="single" w:sz="8" w:space="0" w:color="auto"/>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M</w:t>
            </w:r>
            <w:r>
              <w:rPr>
                <w:rFonts w:ascii="宋体" w:eastAsia="宋体" w:hAnsi="宋体" w:cs="宋体" w:hint="eastAsia"/>
                <w:kern w:val="0"/>
                <w:sz w:val="24"/>
                <w:szCs w:val="24"/>
              </w:rPr>
              <w:t>≥</w:t>
            </w:r>
            <w:r>
              <w:rPr>
                <w:rFonts w:ascii="宋体" w:eastAsia="宋体" w:hAnsi="宋体" w:cs="宋体" w:hint="eastAsia"/>
                <w:kern w:val="0"/>
                <w:sz w:val="24"/>
                <w:szCs w:val="24"/>
              </w:rPr>
              <w:t>500</w:t>
            </w:r>
            <w:r>
              <w:rPr>
                <w:rFonts w:ascii="宋体" w:eastAsia="宋体" w:hAnsi="宋体" w:cs="宋体" w:hint="eastAsia"/>
                <w:kern w:val="0"/>
                <w:sz w:val="24"/>
                <w:szCs w:val="24"/>
              </w:rPr>
              <w:t>万元</w:t>
            </w:r>
          </w:p>
        </w:tc>
        <w:tc>
          <w:tcPr>
            <w:tcW w:w="1467" w:type="pct"/>
            <w:tcBorders>
              <w:top w:val="nil"/>
              <w:left w:val="nil"/>
              <w:bottom w:val="single" w:sz="8" w:space="0" w:color="auto"/>
              <w:right w:val="single" w:sz="8" w:space="0" w:color="auto"/>
            </w:tcBorders>
            <w:vAlign w:val="center"/>
          </w:tcPr>
          <w:p w:rsidR="004E5A37" w:rsidRDefault="00005BC7">
            <w:pPr>
              <w:spacing w:line="300" w:lineRule="atLeast"/>
              <w:ind w:firstLine="420"/>
              <w:jc w:val="center"/>
              <w:rPr>
                <w:rFonts w:ascii="宋体" w:eastAsia="宋体" w:hAnsi="宋体" w:cs="宋体"/>
                <w:kern w:val="0"/>
                <w:sz w:val="24"/>
                <w:szCs w:val="24"/>
              </w:rPr>
            </w:pPr>
            <w:r>
              <w:rPr>
                <w:rFonts w:ascii="宋体" w:eastAsia="宋体" w:hAnsi="宋体" w:cs="宋体" w:hint="eastAsia"/>
                <w:kern w:val="0"/>
                <w:sz w:val="24"/>
                <w:szCs w:val="24"/>
              </w:rPr>
              <w:t>1000</w:t>
            </w:r>
            <w:r>
              <w:rPr>
                <w:rFonts w:ascii="宋体" w:eastAsia="宋体" w:hAnsi="宋体" w:cs="宋体" w:hint="eastAsia"/>
                <w:kern w:val="0"/>
                <w:sz w:val="24"/>
                <w:szCs w:val="24"/>
              </w:rPr>
              <w:t>元</w:t>
            </w:r>
            <w:r>
              <w:rPr>
                <w:rFonts w:ascii="宋体" w:eastAsia="宋体" w:hAnsi="宋体" w:cs="宋体" w:hint="eastAsia"/>
                <w:kern w:val="0"/>
                <w:sz w:val="24"/>
                <w:szCs w:val="24"/>
              </w:rPr>
              <w:t>/</w:t>
            </w:r>
            <w:r>
              <w:rPr>
                <w:rFonts w:ascii="宋体" w:eastAsia="宋体" w:hAnsi="宋体" w:cs="宋体" w:hint="eastAsia"/>
                <w:kern w:val="0"/>
                <w:sz w:val="24"/>
                <w:szCs w:val="24"/>
              </w:rPr>
              <w:t>笔</w:t>
            </w:r>
          </w:p>
        </w:tc>
        <w:tc>
          <w:tcPr>
            <w:tcW w:w="1459" w:type="pct"/>
            <w:vMerge/>
            <w:tcBorders>
              <w:left w:val="nil"/>
              <w:bottom w:val="single" w:sz="8" w:space="0" w:color="auto"/>
              <w:right w:val="single" w:sz="8" w:space="0" w:color="auto"/>
            </w:tcBorders>
          </w:tcPr>
          <w:p w:rsidR="004E5A37" w:rsidRDefault="004E5A37">
            <w:pPr>
              <w:spacing w:line="300" w:lineRule="atLeast"/>
              <w:ind w:firstLine="420"/>
              <w:jc w:val="center"/>
              <w:rPr>
                <w:rFonts w:ascii="宋体" w:eastAsia="宋体" w:hAnsi="宋体" w:cs="宋体"/>
                <w:kern w:val="0"/>
                <w:sz w:val="24"/>
                <w:szCs w:val="24"/>
              </w:rPr>
            </w:pPr>
          </w:p>
        </w:tc>
      </w:tr>
    </w:tbl>
    <w:p w:rsidR="004E5A37" w:rsidRDefault="00005BC7">
      <w:pPr>
        <w:adjustRightInd w:val="0"/>
        <w:snapToGrid w:val="0"/>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基金管理人可以针对特定投资人（如养老金客户等）开展费率优惠活动，具体见基金管理人相关公告。</w:t>
      </w:r>
    </w:p>
    <w:p w:rsidR="004E5A37" w:rsidRDefault="00005BC7">
      <w:pPr>
        <w:adjustRightInd w:val="0"/>
        <w:snapToGrid w:val="0"/>
        <w:spacing w:line="360" w:lineRule="auto"/>
        <w:ind w:firstLine="420"/>
        <w:rPr>
          <w:rFonts w:ascii="宋体" w:eastAsia="宋体" w:hAnsi="宋体" w:cs="宋体"/>
          <w:kern w:val="0"/>
          <w:sz w:val="24"/>
          <w:szCs w:val="24"/>
        </w:rPr>
      </w:pPr>
      <w:r>
        <w:rPr>
          <w:rFonts w:ascii="宋体" w:eastAsia="宋体" w:hAnsi="宋体" w:cs="宋体" w:hint="eastAsia"/>
          <w:kern w:val="0"/>
          <w:sz w:val="24"/>
          <w:szCs w:val="24"/>
        </w:rPr>
        <w:t>本基金的申购费用由投资人承担，主要用于本基金的市场推广、销售、登记等各项费用，不列入基金财产。</w:t>
      </w:r>
    </w:p>
    <w:p w:rsidR="004E5A37" w:rsidRDefault="00005BC7">
      <w:pPr>
        <w:pStyle w:val="3"/>
        <w:rPr>
          <w:rFonts w:ascii="宋体" w:eastAsia="宋体" w:hAnsi="宋体"/>
          <w:sz w:val="24"/>
        </w:rPr>
      </w:pPr>
      <w:r>
        <w:rPr>
          <w:rFonts w:ascii="宋体" w:eastAsia="宋体" w:hAnsi="宋体" w:hint="eastAsia"/>
          <w:sz w:val="24"/>
        </w:rPr>
        <w:lastRenderedPageBreak/>
        <w:t>3.3</w:t>
      </w:r>
      <w:r>
        <w:rPr>
          <w:rFonts w:ascii="宋体" w:eastAsia="宋体" w:hAnsi="宋体" w:hint="eastAsia"/>
          <w:sz w:val="24"/>
        </w:rPr>
        <w:t>其他与申购相关的事项</w:t>
      </w:r>
    </w:p>
    <w:p w:rsidR="004E5A37" w:rsidRDefault="00005BC7">
      <w:pPr>
        <w:pStyle w:val="a3"/>
        <w:spacing w:before="0" w:beforeAutospacing="0" w:after="0" w:afterAutospacing="0" w:line="360" w:lineRule="auto"/>
        <w:ind w:firstLine="420"/>
      </w:pPr>
      <w:r>
        <w:rPr>
          <w:rFonts w:hint="eastAsia"/>
        </w:rPr>
        <w:t>（</w:t>
      </w:r>
      <w:r>
        <w:rPr>
          <w:rFonts w:hint="eastAsia"/>
        </w:rPr>
        <w:t>1</w:t>
      </w:r>
      <w:r>
        <w:rPr>
          <w:rFonts w:hint="eastAsia"/>
        </w:rPr>
        <w:t>）基金管理人可根据有关法律规定和市场情况，调整申购金额的数量限制，基金管理人必须最迟在调整前依照《公开募集证券投资基金信息披露管理办法》的有关规定在规定媒介上公告。</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2</w:t>
      </w:r>
      <w:r>
        <w:rPr>
          <w:rFonts w:hint="eastAsia"/>
        </w:rPr>
        <w:t>）基金管理人可以在法律法规和基金合同规定范围内调整申购费率。费率如发生变更，基金管理人应在调整前依照《公开募集证券投资基金信息披露管理办法》的有关规定在规定媒介上公告。</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4</w:t>
      </w:r>
      <w:r>
        <w:rPr>
          <w:rFonts w:ascii="宋体" w:eastAsia="宋体" w:hAnsi="宋体"/>
          <w:sz w:val="24"/>
        </w:rPr>
        <w:t>、日常赎回业务</w:t>
      </w:r>
    </w:p>
    <w:p w:rsidR="004E5A37" w:rsidRDefault="00005BC7">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4E5A37" w:rsidRDefault="00005BC7">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份，若某笔赎回导致单个交易账户的某一类别基金份额余额少于</w:t>
      </w:r>
      <w:r>
        <w:rPr>
          <w:rFonts w:hint="eastAsia"/>
        </w:rPr>
        <w:t>1</w:t>
      </w:r>
      <w:r>
        <w:rPr>
          <w:rFonts w:hint="eastAsia"/>
        </w:rPr>
        <w:t>份时，该类基金份额余额部分基金份额必须一同赎回</w:t>
      </w:r>
      <w:r>
        <w:rPr>
          <w:rFonts w:hint="eastAsia"/>
        </w:rPr>
        <w:t>。</w:t>
      </w:r>
      <w:r>
        <w:rPr>
          <w:rFonts w:hint="eastAsia"/>
        </w:rPr>
        <w:t xml:space="preserve"> </w:t>
      </w:r>
    </w:p>
    <w:p w:rsidR="004E5A37" w:rsidRDefault="00005BC7">
      <w:pPr>
        <w:pStyle w:val="a3"/>
        <w:spacing w:before="0" w:beforeAutospacing="0" w:after="0" w:afterAutospacing="0" w:line="360" w:lineRule="auto"/>
        <w:ind w:firstLine="420"/>
      </w:pPr>
      <w:r>
        <w:rPr>
          <w:rFonts w:hint="eastAsia"/>
        </w:rPr>
        <w:t>投资人通过销售机构赎回基金份额时，本基金单笔某一类份额赎回申请不得低于</w:t>
      </w:r>
      <w:r>
        <w:rPr>
          <w:rFonts w:hint="eastAsia"/>
        </w:rPr>
        <w:t>1</w:t>
      </w:r>
      <w:r>
        <w:rPr>
          <w:rFonts w:hint="eastAsia"/>
        </w:rPr>
        <w:t>份，若投资者单个交易账户持有的某类基金份额余额不足</w:t>
      </w:r>
      <w:r>
        <w:rPr>
          <w:rFonts w:hint="eastAsia"/>
        </w:rPr>
        <w:t>1</w:t>
      </w:r>
      <w:r>
        <w:rPr>
          <w:rFonts w:hint="eastAsia"/>
        </w:rPr>
        <w:t>份，将不受此限制，但投资者在</w:t>
      </w:r>
      <w:r>
        <w:rPr>
          <w:rFonts w:hint="eastAsia"/>
        </w:rPr>
        <w:t>提交赎回申请时须将该类基金份额全部赎回。各销售机构在符合上述规定的前提下，可根据自己的情况调整单笔赎回申请限制，具体以销售机构公布的为准，投资人需遵循销售机构的相关规定。</w:t>
      </w:r>
      <w:r>
        <w:rPr>
          <w:rFonts w:hint="eastAsia"/>
        </w:rPr>
        <w:t xml:space="preserve"> </w:t>
      </w:r>
    </w:p>
    <w:p w:rsidR="004E5A37" w:rsidRDefault="00005BC7">
      <w:pPr>
        <w:pStyle w:val="3"/>
        <w:rPr>
          <w:rFonts w:ascii="宋体" w:eastAsia="宋体" w:hAnsi="宋体"/>
          <w:sz w:val="24"/>
        </w:rPr>
      </w:pPr>
      <w:r>
        <w:rPr>
          <w:rFonts w:ascii="宋体" w:eastAsia="宋体" w:hAnsi="宋体"/>
          <w:sz w:val="24"/>
        </w:rPr>
        <w:t>4.2</w:t>
      </w:r>
      <w:r>
        <w:rPr>
          <w:rFonts w:ascii="宋体" w:eastAsia="宋体" w:hAnsi="宋体"/>
          <w:sz w:val="24"/>
        </w:rPr>
        <w:t>赎回费率</w:t>
      </w:r>
    </w:p>
    <w:tbl>
      <w:tblPr>
        <w:tblW w:w="8435" w:type="dxa"/>
        <w:jc w:val="center"/>
        <w:tblLook w:val="04A0"/>
      </w:tblPr>
      <w:tblGrid>
        <w:gridCol w:w="2837"/>
        <w:gridCol w:w="2812"/>
        <w:gridCol w:w="2786"/>
      </w:tblGrid>
      <w:tr w:rsidR="004E5A37">
        <w:trPr>
          <w:trHeight w:val="270"/>
          <w:jc w:val="center"/>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4E5A37" w:rsidRDefault="00005BC7">
            <w:pPr>
              <w:rPr>
                <w:rFonts w:ascii="宋体" w:eastAsia="宋体" w:hAnsi="宋体" w:cs="宋体"/>
                <w:kern w:val="0"/>
                <w:sz w:val="24"/>
                <w:szCs w:val="24"/>
              </w:rPr>
            </w:pPr>
            <w:r>
              <w:rPr>
                <w:rFonts w:ascii="宋体" w:eastAsia="宋体" w:hAnsi="宋体" w:cs="宋体" w:hint="eastAsia"/>
                <w:kern w:val="0"/>
                <w:sz w:val="24"/>
                <w:szCs w:val="24"/>
              </w:rPr>
              <w:t>持有基金份额期限（</w:t>
            </w:r>
            <w:r>
              <w:rPr>
                <w:rFonts w:ascii="宋体" w:eastAsia="宋体" w:hAnsi="宋体" w:cs="宋体" w:hint="eastAsia"/>
                <w:kern w:val="0"/>
                <w:sz w:val="24"/>
                <w:szCs w:val="24"/>
              </w:rPr>
              <w:t>Y</w:t>
            </w:r>
            <w:r>
              <w:rPr>
                <w:rFonts w:ascii="宋体" w:eastAsia="宋体" w:hAnsi="宋体" w:cs="宋体" w:hint="eastAsia"/>
                <w:kern w:val="0"/>
                <w:sz w:val="24"/>
                <w:szCs w:val="24"/>
              </w:rPr>
              <w:t>）</w:t>
            </w:r>
          </w:p>
        </w:tc>
        <w:tc>
          <w:tcPr>
            <w:tcW w:w="2812" w:type="dxa"/>
            <w:tcBorders>
              <w:top w:val="single" w:sz="4" w:space="0" w:color="auto"/>
              <w:left w:val="nil"/>
              <w:bottom w:val="single" w:sz="4" w:space="0" w:color="auto"/>
              <w:right w:val="single" w:sz="4" w:space="0" w:color="auto"/>
            </w:tcBorders>
            <w:shd w:val="clear" w:color="auto" w:fill="auto"/>
            <w:vAlign w:val="center"/>
          </w:tcPr>
          <w:p w:rsidR="004E5A37" w:rsidRDefault="00005BC7">
            <w:pP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类基金份额赎回费率</w:t>
            </w:r>
          </w:p>
        </w:tc>
        <w:tc>
          <w:tcPr>
            <w:tcW w:w="2786" w:type="dxa"/>
            <w:tcBorders>
              <w:top w:val="single" w:sz="4" w:space="0" w:color="auto"/>
              <w:left w:val="nil"/>
              <w:bottom w:val="single" w:sz="4" w:space="0" w:color="auto"/>
              <w:right w:val="single" w:sz="4" w:space="0" w:color="auto"/>
            </w:tcBorders>
            <w:shd w:val="clear" w:color="auto" w:fill="auto"/>
            <w:vAlign w:val="center"/>
          </w:tcPr>
          <w:p w:rsidR="004E5A37" w:rsidRDefault="00005BC7">
            <w:pP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类基金份额赎回费率</w:t>
            </w:r>
          </w:p>
        </w:tc>
      </w:tr>
      <w:tr w:rsidR="004E5A37">
        <w:trPr>
          <w:trHeight w:val="270"/>
          <w:jc w:val="center"/>
        </w:trPr>
        <w:tc>
          <w:tcPr>
            <w:tcW w:w="2837" w:type="dxa"/>
            <w:tcBorders>
              <w:top w:val="nil"/>
              <w:left w:val="single" w:sz="4" w:space="0" w:color="auto"/>
              <w:bottom w:val="single" w:sz="4" w:space="0" w:color="auto"/>
              <w:right w:val="single" w:sz="4" w:space="0" w:color="auto"/>
            </w:tcBorders>
            <w:shd w:val="clear" w:color="auto" w:fill="auto"/>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Y</w:t>
            </w: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日</w:t>
            </w:r>
          </w:p>
        </w:tc>
        <w:tc>
          <w:tcPr>
            <w:tcW w:w="2812" w:type="dxa"/>
            <w:tcBorders>
              <w:top w:val="nil"/>
              <w:left w:val="nil"/>
              <w:bottom w:val="single" w:sz="4" w:space="0" w:color="auto"/>
              <w:right w:val="single" w:sz="4" w:space="0" w:color="auto"/>
            </w:tcBorders>
            <w:shd w:val="clear" w:color="auto" w:fill="auto"/>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2786" w:type="dxa"/>
            <w:tcBorders>
              <w:top w:val="nil"/>
              <w:left w:val="nil"/>
              <w:bottom w:val="single" w:sz="4" w:space="0" w:color="auto"/>
              <w:right w:val="single" w:sz="4" w:space="0" w:color="auto"/>
            </w:tcBorders>
            <w:shd w:val="clear" w:color="auto" w:fill="auto"/>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1.50%</w:t>
            </w:r>
          </w:p>
        </w:tc>
      </w:tr>
      <w:tr w:rsidR="004E5A37">
        <w:trPr>
          <w:trHeight w:val="270"/>
          <w:jc w:val="center"/>
        </w:trPr>
        <w:tc>
          <w:tcPr>
            <w:tcW w:w="2837" w:type="dxa"/>
            <w:tcBorders>
              <w:top w:val="nil"/>
              <w:left w:val="single" w:sz="4" w:space="0" w:color="auto"/>
              <w:bottom w:val="single" w:sz="4" w:space="0" w:color="auto"/>
              <w:right w:val="single" w:sz="4" w:space="0" w:color="auto"/>
            </w:tcBorders>
            <w:shd w:val="clear" w:color="auto" w:fill="auto"/>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Y</w:t>
            </w:r>
            <w:r>
              <w:rPr>
                <w:rFonts w:ascii="宋体" w:eastAsia="宋体" w:hAnsi="宋体" w:cs="宋体" w:hint="eastAsia"/>
                <w:kern w:val="0"/>
                <w:sz w:val="24"/>
                <w:szCs w:val="24"/>
              </w:rPr>
              <w:t>≥</w:t>
            </w:r>
            <w:r>
              <w:rPr>
                <w:rFonts w:ascii="宋体" w:eastAsia="宋体" w:hAnsi="宋体" w:cs="宋体" w:hint="eastAsia"/>
                <w:kern w:val="0"/>
                <w:sz w:val="24"/>
                <w:szCs w:val="24"/>
              </w:rPr>
              <w:t>7</w:t>
            </w:r>
            <w:r>
              <w:rPr>
                <w:rFonts w:ascii="宋体" w:eastAsia="宋体" w:hAnsi="宋体" w:cs="宋体" w:hint="eastAsia"/>
                <w:kern w:val="0"/>
                <w:sz w:val="24"/>
                <w:szCs w:val="24"/>
              </w:rPr>
              <w:t>日</w:t>
            </w:r>
          </w:p>
        </w:tc>
        <w:tc>
          <w:tcPr>
            <w:tcW w:w="2812" w:type="dxa"/>
            <w:tcBorders>
              <w:top w:val="nil"/>
              <w:left w:val="nil"/>
              <w:bottom w:val="single" w:sz="4" w:space="0" w:color="auto"/>
              <w:right w:val="single" w:sz="4" w:space="0" w:color="auto"/>
            </w:tcBorders>
            <w:shd w:val="clear" w:color="auto" w:fill="auto"/>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0.00%</w:t>
            </w:r>
          </w:p>
        </w:tc>
        <w:tc>
          <w:tcPr>
            <w:tcW w:w="2786" w:type="dxa"/>
            <w:tcBorders>
              <w:top w:val="nil"/>
              <w:left w:val="single" w:sz="4" w:space="0" w:color="auto"/>
              <w:bottom w:val="single" w:sz="4" w:space="0" w:color="auto"/>
              <w:right w:val="single" w:sz="4" w:space="0" w:color="auto"/>
            </w:tcBorders>
            <w:vAlign w:val="center"/>
          </w:tcPr>
          <w:p w:rsidR="004E5A37" w:rsidRDefault="00005BC7">
            <w:pPr>
              <w:ind w:firstLine="420"/>
              <w:jc w:val="center"/>
              <w:rPr>
                <w:rFonts w:ascii="宋体" w:eastAsia="宋体" w:hAnsi="宋体" w:cs="宋体"/>
                <w:kern w:val="0"/>
                <w:sz w:val="24"/>
                <w:szCs w:val="24"/>
              </w:rPr>
            </w:pPr>
            <w:r>
              <w:rPr>
                <w:rFonts w:ascii="宋体" w:eastAsia="宋体" w:hAnsi="宋体" w:cs="宋体" w:hint="eastAsia"/>
                <w:kern w:val="0"/>
                <w:sz w:val="24"/>
                <w:szCs w:val="24"/>
              </w:rPr>
              <w:t>0.00%</w:t>
            </w:r>
          </w:p>
        </w:tc>
      </w:tr>
    </w:tbl>
    <w:p w:rsidR="004E5A37" w:rsidRDefault="00005BC7">
      <w:pPr>
        <w:adjustRightInd w:val="0"/>
        <w:snapToGrid w:val="0"/>
        <w:spacing w:line="500" w:lineRule="exact"/>
        <w:ind w:firstLine="420"/>
        <w:rPr>
          <w:rFonts w:ascii="宋体" w:eastAsia="宋体" w:hAnsi="宋体" w:cs="宋体"/>
          <w:kern w:val="0"/>
          <w:sz w:val="24"/>
          <w:szCs w:val="24"/>
        </w:rPr>
      </w:pPr>
      <w:r>
        <w:rPr>
          <w:rFonts w:ascii="宋体" w:eastAsia="宋体" w:hAnsi="宋体" w:cs="宋体" w:hint="eastAsia"/>
          <w:kern w:val="0"/>
          <w:sz w:val="24"/>
          <w:szCs w:val="24"/>
        </w:rPr>
        <w:t>赎回费用由赎回基金份额的基金份额持有人承担，在基金份额持有人赎回基金份额时收取。对于持续持有期少于</w:t>
      </w:r>
      <w:r>
        <w:rPr>
          <w:rFonts w:ascii="宋体" w:eastAsia="宋体" w:hAnsi="宋体" w:cs="宋体" w:hint="eastAsia"/>
          <w:kern w:val="0"/>
          <w:sz w:val="24"/>
          <w:szCs w:val="24"/>
        </w:rPr>
        <w:t>7</w:t>
      </w:r>
      <w:r>
        <w:rPr>
          <w:rFonts w:ascii="宋体" w:eastAsia="宋体" w:hAnsi="宋体" w:cs="宋体" w:hint="eastAsia"/>
          <w:kern w:val="0"/>
          <w:sz w:val="24"/>
          <w:szCs w:val="24"/>
        </w:rPr>
        <w:t>日的投资人收取的赎回费全额计入基金财产。</w:t>
      </w:r>
    </w:p>
    <w:p w:rsidR="004E5A37" w:rsidRDefault="00005BC7">
      <w:pPr>
        <w:spacing w:line="500" w:lineRule="exact"/>
        <w:ind w:firstLine="420"/>
        <w:rPr>
          <w:kern w:val="0"/>
          <w:szCs w:val="21"/>
        </w:rPr>
      </w:pPr>
      <w:r>
        <w:rPr>
          <w:rFonts w:ascii="宋体" w:eastAsia="宋体" w:hAnsi="宋体" w:cs="宋体" w:hint="eastAsia"/>
          <w:kern w:val="0"/>
          <w:sz w:val="24"/>
          <w:szCs w:val="24"/>
        </w:rPr>
        <w:t>基金管理人可以针对特定投资人（如养老金客户等）开展费率优惠活动，具体见基金管理人相关公告。</w:t>
      </w:r>
    </w:p>
    <w:p w:rsidR="004E5A37" w:rsidRDefault="00005BC7">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4E5A37" w:rsidRDefault="00005BC7">
      <w:pPr>
        <w:pStyle w:val="a3"/>
        <w:spacing w:before="0" w:beforeAutospacing="0" w:after="0" w:afterAutospacing="0" w:line="360" w:lineRule="auto"/>
        <w:ind w:firstLine="420"/>
      </w:pPr>
      <w:r>
        <w:rPr>
          <w:rFonts w:hint="eastAsia"/>
        </w:rPr>
        <w:t>（</w:t>
      </w:r>
      <w:r>
        <w:rPr>
          <w:rFonts w:hint="eastAsia"/>
        </w:rPr>
        <w:t>1</w:t>
      </w:r>
      <w:r>
        <w:rPr>
          <w:rFonts w:hint="eastAsia"/>
        </w:rPr>
        <w:t>）基金管理人可根据有关法律规定和市场情况，调整赎回金额的数量限制，基金管理人必须最迟在调整前依照《公开募集证券投资基金信息披露管理办法》的有关规定在规定媒介上公告。</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2</w:t>
      </w:r>
      <w:r>
        <w:rPr>
          <w:rFonts w:hint="eastAsia"/>
        </w:rPr>
        <w:t>）基金管理人可以在法律法规和基金合同规定范围内调整赎回费率。费率如发生变更，基金管理人应在调整前依照《公开募集证券投资基金信息披露管理办法》的有关规定在规定媒介上公告。</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5</w:t>
      </w:r>
      <w:r>
        <w:rPr>
          <w:rFonts w:ascii="宋体" w:eastAsia="宋体" w:hAnsi="宋体"/>
          <w:sz w:val="24"/>
        </w:rPr>
        <w:t>、日常转换业务</w:t>
      </w:r>
    </w:p>
    <w:p w:rsidR="004E5A37" w:rsidRDefault="00005BC7">
      <w:pPr>
        <w:pStyle w:val="3"/>
        <w:rPr>
          <w:rFonts w:ascii="宋体" w:eastAsia="宋体" w:hAnsi="宋体"/>
          <w:sz w:val="24"/>
        </w:rPr>
      </w:pPr>
      <w:r>
        <w:rPr>
          <w:rFonts w:ascii="宋体" w:eastAsia="宋体" w:hAnsi="宋体" w:hint="eastAsia"/>
          <w:sz w:val="24"/>
        </w:rPr>
        <w:t>5.1</w:t>
      </w:r>
      <w:r>
        <w:rPr>
          <w:rFonts w:ascii="宋体" w:eastAsia="宋体" w:hAnsi="宋体" w:hint="eastAsia"/>
          <w:sz w:val="24"/>
        </w:rPr>
        <w:t>转换费率</w:t>
      </w:r>
    </w:p>
    <w:p w:rsidR="004E5A37" w:rsidRDefault="00005BC7">
      <w:pPr>
        <w:pStyle w:val="a3"/>
        <w:spacing w:before="0" w:beforeAutospacing="0" w:after="0" w:afterAutospacing="0" w:line="360" w:lineRule="auto"/>
        <w:ind w:firstLine="420"/>
      </w:pPr>
      <w:r>
        <w:rPr>
          <w:rFonts w:hint="eastAsia"/>
        </w:rPr>
        <w:t>基金转换费</w:t>
      </w:r>
      <w:r>
        <w:rPr>
          <w:rFonts w:hint="eastAsia"/>
        </w:rPr>
        <w:t>用由转出基金赎回费和申购费补差两部分构成，其中：申购费补差具体收取情况，视每次转换时的两只基金的申购费率的差异情况而定。基金转换费用由基金持有人承担。</w:t>
      </w:r>
      <w:r>
        <w:rPr>
          <w:rFonts w:hint="eastAsia"/>
        </w:rPr>
        <w:t xml:space="preserve"> </w:t>
      </w:r>
    </w:p>
    <w:p w:rsidR="004E5A37" w:rsidRDefault="00005BC7">
      <w:pPr>
        <w:pStyle w:val="3"/>
        <w:rPr>
          <w:rFonts w:ascii="宋体" w:eastAsia="宋体" w:hAnsi="宋体"/>
          <w:sz w:val="24"/>
        </w:rPr>
      </w:pPr>
      <w:r>
        <w:rPr>
          <w:rFonts w:ascii="宋体" w:eastAsia="宋体" w:hAnsi="宋体"/>
          <w:sz w:val="24"/>
        </w:rPr>
        <w:t>5.2</w:t>
      </w:r>
      <w:r>
        <w:rPr>
          <w:rFonts w:ascii="宋体" w:eastAsia="宋体" w:hAnsi="宋体"/>
          <w:sz w:val="24"/>
        </w:rPr>
        <w:t>其他与转换相关的事项</w:t>
      </w:r>
    </w:p>
    <w:p w:rsidR="004E5A37" w:rsidRDefault="00005BC7">
      <w:pPr>
        <w:pStyle w:val="a3"/>
        <w:spacing w:before="0" w:beforeAutospacing="0" w:after="0" w:afterAutospacing="0" w:line="360" w:lineRule="auto"/>
        <w:ind w:firstLine="420"/>
      </w:pPr>
      <w:r>
        <w:rPr>
          <w:rFonts w:hint="eastAsia"/>
        </w:rPr>
        <w:t>1</w:t>
      </w:r>
      <w:r>
        <w:rPr>
          <w:rFonts w:hint="eastAsia"/>
        </w:rPr>
        <w:t>）业务规则</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①基金转换只能在同一销售机构进行。转换的两只基金必须都是该销售机构代理的同一基金管理人管理的、在同一注册登记机构处注册登记的基金。</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②前端收费模式的开放式基金只能转换到前端收费模式的其它基金（申购费为零的基金视同为前端收费模式），后端收费模式的基金可以转换到前端或后端收费模式的其它基金，非</w:t>
      </w:r>
      <w:r>
        <w:rPr>
          <w:rFonts w:hint="eastAsia"/>
        </w:rPr>
        <w:t>QDII</w:t>
      </w:r>
      <w:r>
        <w:rPr>
          <w:rFonts w:hint="eastAsia"/>
        </w:rPr>
        <w:t>基金不能与</w:t>
      </w:r>
      <w:r>
        <w:rPr>
          <w:rFonts w:hint="eastAsia"/>
        </w:rPr>
        <w:t>QDII</w:t>
      </w:r>
      <w:r>
        <w:rPr>
          <w:rFonts w:hint="eastAsia"/>
        </w:rPr>
        <w:t>基金进行互转。</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③基金转换的目标基金份额按新交易计算持有时间。基金转出视为赎回，转入视为申购。基金转换后可赎回的时间为</w:t>
      </w:r>
      <w:r>
        <w:rPr>
          <w:rFonts w:hint="eastAsia"/>
        </w:rPr>
        <w:t>T</w:t>
      </w:r>
      <w:r>
        <w:rPr>
          <w:rFonts w:hint="eastAsia"/>
        </w:rPr>
        <w:t>＋</w:t>
      </w:r>
      <w:r>
        <w:rPr>
          <w:rFonts w:hint="eastAsia"/>
        </w:rPr>
        <w:t>2</w:t>
      </w:r>
      <w:r>
        <w:rPr>
          <w:rFonts w:hint="eastAsia"/>
        </w:rPr>
        <w:t>日。</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④基金分红时再投资的份额可在权益登记日的</w:t>
      </w:r>
      <w:r>
        <w:rPr>
          <w:rFonts w:hint="eastAsia"/>
        </w:rPr>
        <w:t>T</w:t>
      </w:r>
      <w:r>
        <w:rPr>
          <w:rFonts w:hint="eastAsia"/>
        </w:rPr>
        <w:t>＋</w:t>
      </w:r>
      <w:r>
        <w:rPr>
          <w:rFonts w:hint="eastAsia"/>
        </w:rPr>
        <w:t>2</w:t>
      </w:r>
      <w:r>
        <w:rPr>
          <w:rFonts w:hint="eastAsia"/>
        </w:rPr>
        <w:t>日提交基金转换申请。</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⑤基金转换以申请当日基金份额净值为基础计算。投资者采用“份额转换”的原则提交申请。转出基金份额必须是可用份额，并遵循“先进先</w:t>
      </w:r>
      <w:r>
        <w:rPr>
          <w:rFonts w:hint="eastAsia"/>
        </w:rPr>
        <w:t>出”的原则。</w:t>
      </w:r>
      <w:r>
        <w:rPr>
          <w:rFonts w:hint="eastAsia"/>
        </w:rPr>
        <w:t xml:space="preserve"> </w:t>
      </w:r>
    </w:p>
    <w:p w:rsidR="004E5A37" w:rsidRDefault="00005BC7">
      <w:pPr>
        <w:pStyle w:val="a3"/>
        <w:spacing w:before="0" w:beforeAutospacing="0" w:after="0" w:afterAutospacing="0" w:line="360" w:lineRule="auto"/>
        <w:ind w:firstLine="420"/>
      </w:pPr>
      <w:r>
        <w:rPr>
          <w:rFonts w:hint="eastAsia"/>
        </w:rPr>
        <w:t>2</w:t>
      </w:r>
      <w:r>
        <w:rPr>
          <w:rFonts w:hint="eastAsia"/>
        </w:rPr>
        <w:t>）暂停基金转换的情形及处理</w:t>
      </w:r>
      <w:r>
        <w:rPr>
          <w:rFonts w:hint="eastAsia"/>
        </w:rPr>
        <w:t xml:space="preserve"> </w:t>
      </w:r>
    </w:p>
    <w:p w:rsidR="004E5A37" w:rsidRDefault="00005BC7">
      <w:pPr>
        <w:pStyle w:val="a3"/>
        <w:spacing w:before="0" w:beforeAutospacing="0" w:after="0" w:afterAutospacing="0" w:line="360" w:lineRule="auto"/>
        <w:ind w:firstLine="420"/>
      </w:pPr>
      <w:r>
        <w:rPr>
          <w:rFonts w:hint="eastAsia"/>
        </w:rPr>
        <w:t>基金转换视同为转出基金的赎回和转入基金的申购，因此暂停基金转换适用有关转出基金和转入基金关于暂停或拒绝申购、暂停赎回的有关规定。</w:t>
      </w:r>
      <w:r>
        <w:rPr>
          <w:rFonts w:hint="eastAsia"/>
        </w:rPr>
        <w:t xml:space="preserve"> </w:t>
      </w:r>
    </w:p>
    <w:p w:rsidR="004E5A37" w:rsidRDefault="00005BC7">
      <w:pPr>
        <w:pStyle w:val="a3"/>
        <w:spacing w:before="0" w:beforeAutospacing="0" w:after="0" w:afterAutospacing="0" w:line="360" w:lineRule="auto"/>
        <w:ind w:firstLine="420"/>
      </w:pPr>
      <w:r>
        <w:rPr>
          <w:rFonts w:hint="eastAsia"/>
        </w:rPr>
        <w:t>出现法律、法规、规章规定的其它情形或其它在《基金合同》、《招募说明书》已载明并获中国证监会批准的特殊情形时，基金管理人可以暂停基金转换业务。</w:t>
      </w:r>
      <w:r>
        <w:rPr>
          <w:rFonts w:hint="eastAsia"/>
        </w:rPr>
        <w:t xml:space="preserve"> </w:t>
      </w:r>
    </w:p>
    <w:p w:rsidR="004E5A37" w:rsidRDefault="00005BC7">
      <w:pPr>
        <w:pStyle w:val="a3"/>
        <w:spacing w:before="0" w:beforeAutospacing="0" w:after="0" w:afterAutospacing="0" w:line="360" w:lineRule="auto"/>
        <w:ind w:firstLine="420"/>
      </w:pPr>
      <w:r>
        <w:rPr>
          <w:rFonts w:hint="eastAsia"/>
        </w:rPr>
        <w:t>3</w:t>
      </w:r>
      <w:r>
        <w:rPr>
          <w:rFonts w:hint="eastAsia"/>
        </w:rPr>
        <w:t>）重要提示</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①本基金转换业务适用于可以销售包括本基金在内的两只以上（含两只），且基金注册登记机构为同一机构的博时旗下基金的销售机构。</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②转换业务的收费计算公式及举例参见</w:t>
      </w:r>
      <w:r>
        <w:rPr>
          <w:rFonts w:hint="eastAsia"/>
        </w:rPr>
        <w:t>2010</w:t>
      </w:r>
      <w:r>
        <w:rPr>
          <w:rFonts w:hint="eastAsia"/>
        </w:rPr>
        <w:t>年</w:t>
      </w:r>
      <w:r>
        <w:rPr>
          <w:rFonts w:hint="eastAsia"/>
        </w:rPr>
        <w:t>3</w:t>
      </w:r>
      <w:r>
        <w:rPr>
          <w:rFonts w:hint="eastAsia"/>
        </w:rPr>
        <w:t>月</w:t>
      </w:r>
      <w:r>
        <w:rPr>
          <w:rFonts w:hint="eastAsia"/>
        </w:rPr>
        <w:t>16</w:t>
      </w:r>
      <w:r>
        <w:rPr>
          <w:rFonts w:hint="eastAsia"/>
        </w:rPr>
        <w:t>日刊登于本公司网站的《博时基金管理有限公司关于旗下开放式基金转换业务的公告》。</w:t>
      </w:r>
      <w:r>
        <w:rPr>
          <w:rFonts w:hint="eastAsia"/>
        </w:rPr>
        <w:t xml:space="preserve"> </w:t>
      </w:r>
    </w:p>
    <w:p w:rsidR="004E5A37" w:rsidRDefault="00005BC7">
      <w:pPr>
        <w:pStyle w:val="a3"/>
        <w:spacing w:before="0" w:beforeAutospacing="0" w:after="0" w:afterAutospacing="0" w:line="360" w:lineRule="auto"/>
        <w:ind w:firstLine="420"/>
      </w:pPr>
      <w:r>
        <w:rPr>
          <w:rFonts w:hint="eastAsia"/>
        </w:rPr>
        <w:t>③本公司管理基金的转换业务的解释权归本公司。</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6</w:t>
      </w:r>
      <w:r>
        <w:rPr>
          <w:rFonts w:ascii="宋体" w:eastAsia="宋体" w:hAnsi="宋体"/>
          <w:sz w:val="24"/>
        </w:rPr>
        <w:t>、定期定额投资业务</w:t>
      </w:r>
    </w:p>
    <w:p w:rsidR="004E5A37" w:rsidRDefault="00005BC7">
      <w:pPr>
        <w:pStyle w:val="a3"/>
        <w:spacing w:before="0" w:beforeAutospacing="0" w:after="0" w:afterAutospacing="0" w:line="360" w:lineRule="auto"/>
        <w:ind w:firstLine="420"/>
      </w:pPr>
      <w:r>
        <w:rPr>
          <w:rFonts w:hint="eastAsia"/>
        </w:rPr>
        <w:t>（</w:t>
      </w:r>
      <w:r>
        <w:rPr>
          <w:rFonts w:hint="eastAsia"/>
        </w:rPr>
        <w:t>1</w:t>
      </w:r>
      <w:r>
        <w:rPr>
          <w:rFonts w:hint="eastAsia"/>
        </w:rPr>
        <w:t>）适用投资者范围</w:t>
      </w:r>
      <w:r>
        <w:rPr>
          <w:rFonts w:hint="eastAsia"/>
        </w:rPr>
        <w:t xml:space="preserve"> </w:t>
      </w:r>
    </w:p>
    <w:p w:rsidR="004E5A37" w:rsidRDefault="00005BC7">
      <w:pPr>
        <w:pStyle w:val="a3"/>
        <w:spacing w:before="0" w:beforeAutospacing="0" w:after="0" w:afterAutospacing="0" w:line="360" w:lineRule="auto"/>
        <w:ind w:firstLine="420"/>
      </w:pPr>
      <w:r>
        <w:rPr>
          <w:rFonts w:hint="eastAsia"/>
        </w:rPr>
        <w:t>个人投资者、机构投资者、合格境外机构投资者和人民币合格境外机构投资者以及法律法规或中国证监会规定允许购买证券投资基金的其他投资者。</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2</w:t>
      </w:r>
      <w:r>
        <w:rPr>
          <w:rFonts w:hint="eastAsia"/>
        </w:rPr>
        <w:t>）申购费率</w:t>
      </w:r>
      <w:r>
        <w:rPr>
          <w:rFonts w:hint="eastAsia"/>
        </w:rPr>
        <w:t xml:space="preserve"> </w:t>
      </w:r>
    </w:p>
    <w:p w:rsidR="004E5A37" w:rsidRDefault="00005BC7">
      <w:pPr>
        <w:pStyle w:val="a3"/>
        <w:spacing w:before="0" w:beforeAutospacing="0" w:after="0" w:afterAutospacing="0" w:line="360" w:lineRule="auto"/>
        <w:ind w:firstLine="420"/>
      </w:pPr>
      <w:r>
        <w:rPr>
          <w:rFonts w:hint="eastAsia"/>
        </w:rPr>
        <w:t>本基金定期定额投资的申购费率与普通申购业务的费率相同，见上文。</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3</w:t>
      </w:r>
      <w:r>
        <w:rPr>
          <w:rFonts w:hint="eastAsia"/>
        </w:rPr>
        <w:t>）扣款日期和扣款金额</w:t>
      </w:r>
      <w:r>
        <w:rPr>
          <w:rFonts w:hint="eastAsia"/>
        </w:rPr>
        <w:t xml:space="preserve"> </w:t>
      </w:r>
    </w:p>
    <w:p w:rsidR="004E5A37" w:rsidRDefault="00005BC7">
      <w:pPr>
        <w:pStyle w:val="a3"/>
        <w:spacing w:before="0" w:beforeAutospacing="0" w:after="0" w:afterAutospacing="0" w:line="360" w:lineRule="auto"/>
        <w:ind w:firstLine="420"/>
      </w:pPr>
      <w:r>
        <w:rPr>
          <w:rFonts w:hint="eastAsia"/>
        </w:rPr>
        <w:t>投资者须遵循各销售机构有关扣款日期的规定，定投金额</w:t>
      </w:r>
      <w:r>
        <w:rPr>
          <w:rFonts w:hint="eastAsia"/>
        </w:rPr>
        <w:t>A</w:t>
      </w:r>
      <w:r>
        <w:rPr>
          <w:rFonts w:hint="eastAsia"/>
        </w:rPr>
        <w:t>类基金份额每次不少于人民币</w:t>
      </w:r>
      <w:r>
        <w:rPr>
          <w:rFonts w:hint="eastAsia"/>
        </w:rPr>
        <w:t>1.00</w:t>
      </w:r>
      <w:r>
        <w:rPr>
          <w:rFonts w:hint="eastAsia"/>
        </w:rPr>
        <w:t>元（含</w:t>
      </w:r>
      <w:r>
        <w:rPr>
          <w:rFonts w:hint="eastAsia"/>
        </w:rPr>
        <w:t>1.00</w:t>
      </w:r>
      <w:r>
        <w:rPr>
          <w:rFonts w:hint="eastAsia"/>
        </w:rPr>
        <w:t>元），定投金额</w:t>
      </w:r>
      <w:r>
        <w:rPr>
          <w:rFonts w:hint="eastAsia"/>
        </w:rPr>
        <w:t>C</w:t>
      </w:r>
      <w:r>
        <w:rPr>
          <w:rFonts w:hint="eastAsia"/>
        </w:rPr>
        <w:t>类基金份额每次不少于人民币</w:t>
      </w:r>
      <w:r>
        <w:rPr>
          <w:rFonts w:hint="eastAsia"/>
        </w:rPr>
        <w:t>1.00</w:t>
      </w:r>
      <w:r>
        <w:rPr>
          <w:rFonts w:hint="eastAsia"/>
        </w:rPr>
        <w:t>元（含</w:t>
      </w:r>
      <w:r>
        <w:rPr>
          <w:rFonts w:hint="eastAsia"/>
        </w:rPr>
        <w:t>1.00</w:t>
      </w:r>
      <w:r>
        <w:rPr>
          <w:rFonts w:hint="eastAsia"/>
        </w:rPr>
        <w:t>元）。</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4</w:t>
      </w:r>
      <w:r>
        <w:rPr>
          <w:rFonts w:hint="eastAsia"/>
        </w:rPr>
        <w:t>）重要提示</w:t>
      </w:r>
      <w:r>
        <w:rPr>
          <w:rFonts w:hint="eastAsia"/>
        </w:rPr>
        <w:t xml:space="preserve"> </w:t>
      </w:r>
    </w:p>
    <w:p w:rsidR="004E5A37" w:rsidRDefault="00005BC7">
      <w:pPr>
        <w:pStyle w:val="a3"/>
        <w:spacing w:before="0" w:beforeAutospacing="0" w:after="0" w:afterAutospacing="0" w:line="360" w:lineRule="auto"/>
        <w:ind w:firstLine="420"/>
      </w:pPr>
      <w:r>
        <w:rPr>
          <w:rFonts w:hint="eastAsia"/>
        </w:rPr>
        <w:t>1</w:t>
      </w:r>
      <w:r>
        <w:rPr>
          <w:rFonts w:hint="eastAsia"/>
        </w:rPr>
        <w:t>）凡申请办理本基金“定期定额投资计划”的投资者须首先开立本公司开放式基金基金账户。</w:t>
      </w:r>
      <w:r>
        <w:rPr>
          <w:rFonts w:hint="eastAsia"/>
        </w:rPr>
        <w:t xml:space="preserve"> </w:t>
      </w:r>
    </w:p>
    <w:p w:rsidR="004E5A37" w:rsidRDefault="00005BC7">
      <w:pPr>
        <w:pStyle w:val="a3"/>
        <w:spacing w:before="0" w:beforeAutospacing="0" w:after="0" w:afterAutospacing="0" w:line="360" w:lineRule="auto"/>
        <w:ind w:firstLine="420"/>
      </w:pPr>
      <w:r>
        <w:rPr>
          <w:rFonts w:hint="eastAsia"/>
        </w:rPr>
        <w:t>2</w:t>
      </w:r>
      <w:r>
        <w:rPr>
          <w:rFonts w:hint="eastAsia"/>
        </w:rPr>
        <w:t>）本基金定期定额投资计划的每月实际扣款日即为基金申购申请日，并以该日（</w:t>
      </w:r>
      <w:r>
        <w:rPr>
          <w:rFonts w:hint="eastAsia"/>
        </w:rPr>
        <w:t>T</w:t>
      </w:r>
      <w:r>
        <w:rPr>
          <w:rFonts w:hint="eastAsia"/>
        </w:rPr>
        <w:t>日）的基金份额净值为基准计算申购份额。投资者可以从</w:t>
      </w:r>
      <w:r>
        <w:rPr>
          <w:rFonts w:hint="eastAsia"/>
        </w:rPr>
        <w:t>T+2</w:t>
      </w:r>
      <w:r>
        <w:rPr>
          <w:rFonts w:hint="eastAsia"/>
        </w:rPr>
        <w:t>日起通过本定期定额投资计划办理网点、致电本公司客服电话或登录本公司网站查询其每次申购申请的确认情况。申购份额将在确认成功后直接计入投资者的基金账户。</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7</w:t>
      </w:r>
      <w:r>
        <w:rPr>
          <w:rFonts w:ascii="宋体" w:eastAsia="宋体" w:hAnsi="宋体"/>
          <w:sz w:val="24"/>
        </w:rPr>
        <w:t>、基金销售机构</w:t>
      </w:r>
    </w:p>
    <w:p w:rsidR="004E5A37" w:rsidRDefault="00005BC7">
      <w:pPr>
        <w:pStyle w:val="3"/>
        <w:rPr>
          <w:rFonts w:ascii="宋体" w:eastAsia="宋体" w:hAnsi="宋体"/>
          <w:sz w:val="24"/>
        </w:rPr>
      </w:pPr>
      <w:r>
        <w:rPr>
          <w:rFonts w:ascii="宋体" w:eastAsia="宋体" w:hAnsi="宋体" w:hint="eastAsia"/>
          <w:sz w:val="24"/>
        </w:rPr>
        <w:t>7.1</w:t>
      </w:r>
      <w:r>
        <w:rPr>
          <w:rFonts w:ascii="宋体" w:eastAsia="宋体" w:hAnsi="宋体" w:hint="eastAsia"/>
          <w:sz w:val="24"/>
        </w:rPr>
        <w:t>场外销售机构</w:t>
      </w:r>
    </w:p>
    <w:p w:rsidR="004E5A37" w:rsidRDefault="00005BC7">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4E5A37" w:rsidRDefault="00005BC7">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4E5A37" w:rsidRDefault="00005BC7">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博时基金管理有限公司直销定期投资业务规则》等办理相关开户、申购、赎回、转换和定期定额投资等业务。</w:t>
      </w:r>
      <w:r>
        <w:rPr>
          <w:rFonts w:hint="eastAsia"/>
        </w:rPr>
        <w:t xml:space="preserve"> </w:t>
      </w:r>
    </w:p>
    <w:p w:rsidR="004E5A37" w:rsidRDefault="00005BC7">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）场外非直销机构</w:t>
      </w:r>
    </w:p>
    <w:p w:rsidR="004E5A37" w:rsidRDefault="00005BC7">
      <w:pPr>
        <w:pStyle w:val="a3"/>
        <w:spacing w:before="0" w:beforeAutospacing="0" w:after="0" w:afterAutospacing="0" w:line="360" w:lineRule="auto"/>
        <w:ind w:firstLine="420"/>
      </w:pPr>
      <w:r>
        <w:rPr>
          <w:rFonts w:hint="eastAsia"/>
        </w:rPr>
        <w:t>北京农村商业银行股份有限公司、渤海银行股份有限公司、江苏苏州农村商业银行股份有限公司、苏州银行股份有限公司、鼎信汇金（北京）投资管理有限公司、深圳市新兰德证券投资咨询有限公司、厦门市鑫鼎盛控股有限公司、上海挖财基金销售有限公司、腾安基金销售（深圳）有限公司、北京度小满基金销售有限公司、博时财富基金销售有限公司、诺亚正行基金销售有限公司、上海天天基金销售有限公司、蚂蚁（杭州）基金销售有限公司、浙江同花顺基金销售有限公司、上海利得基金销售有限公司、嘉实财富管理有限公司、泛华普益基金销售有限公司、南京苏宁基金销售</w:t>
      </w:r>
      <w:r>
        <w:rPr>
          <w:rFonts w:hint="eastAsia"/>
        </w:rPr>
        <w:t>有限公司、北京中植基金销售有限公司、北京汇成基金销售有限公司、北京新浪仓石基金销售有限公司、上海联泰基金销售有限公司、上海基煜基金销售有限公司、上海陆金所基金销售有限公司、和耕传承基金销售有限公司、奕丰基金销售有限公司、中证金牛（北京）基金销售有限公司、京东肯特瑞基金销售有限公司、深圳市金斧子基金销售有限公司、北京雪球基金销售有限公司、弘业期货股份有限公司、东方财富证券股份有限公司、华瑞保险销售有限公司、玄元保险代理有限公司、阳光人寿保险股份有限公司、锦州银行股份有限公司、佛山农村商业银行股份有限公司</w:t>
      </w:r>
      <w:r>
        <w:rPr>
          <w:rFonts w:hint="eastAsia"/>
        </w:rPr>
        <w:t xml:space="preserve"> </w:t>
      </w:r>
    </w:p>
    <w:p w:rsidR="004E5A37" w:rsidRDefault="00005BC7">
      <w:pPr>
        <w:pStyle w:val="a3"/>
        <w:spacing w:before="0" w:beforeAutospacing="0" w:after="0" w:afterAutospacing="0" w:line="360" w:lineRule="auto"/>
        <w:ind w:firstLine="420"/>
      </w:pPr>
      <w:r>
        <w:rPr>
          <w:rFonts w:hint="eastAsia"/>
        </w:rPr>
        <w:t>除</w:t>
      </w:r>
      <w:r>
        <w:rPr>
          <w:rFonts w:hint="eastAsia"/>
        </w:rPr>
        <w:t>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8</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4E5A37" w:rsidRDefault="00005BC7">
      <w:pPr>
        <w:pStyle w:val="a3"/>
        <w:spacing w:before="0" w:beforeAutospacing="0" w:after="0" w:afterAutospacing="0" w:line="360" w:lineRule="auto"/>
        <w:ind w:firstLine="420"/>
      </w:pPr>
      <w:r>
        <w:rPr>
          <w:rFonts w:hint="eastAsia"/>
        </w:rPr>
        <w:t>《基金合同》生效后，在开始办理基金份额申购或者赎回前，基金管理人应当至少每周在规定网站公告一次各类基金份额净值和各类基金份额累计净值。</w:t>
      </w:r>
      <w:r>
        <w:rPr>
          <w:rFonts w:hint="eastAsia"/>
        </w:rPr>
        <w:t xml:space="preserve"> </w:t>
      </w:r>
    </w:p>
    <w:p w:rsidR="004E5A37" w:rsidRDefault="00005BC7">
      <w:pPr>
        <w:pStyle w:val="a3"/>
        <w:spacing w:before="0" w:beforeAutospacing="0" w:after="0" w:afterAutospacing="0" w:line="360" w:lineRule="auto"/>
        <w:ind w:firstLine="420"/>
      </w:pPr>
      <w:r>
        <w:rPr>
          <w:rFonts w:hint="eastAsia"/>
        </w:rPr>
        <w:t>在开始办理基金份额申购或者赎回后，基金管理人应当在不晚于每个开放日的次日，通过规定网站、基金销售机构网站或者营业网点披露开放日的各类基金份额净值和</w:t>
      </w:r>
      <w:r>
        <w:rPr>
          <w:rFonts w:hint="eastAsia"/>
        </w:rPr>
        <w:t>各类基金份额累计净值。</w:t>
      </w:r>
      <w:r>
        <w:rPr>
          <w:rFonts w:hint="eastAsia"/>
        </w:rPr>
        <w:t xml:space="preserve"> </w:t>
      </w:r>
    </w:p>
    <w:p w:rsidR="004E5A37" w:rsidRDefault="00005BC7">
      <w:pPr>
        <w:pStyle w:val="a3"/>
        <w:spacing w:before="0" w:beforeAutospacing="0" w:after="0" w:afterAutospacing="0" w:line="360" w:lineRule="auto"/>
        <w:ind w:firstLine="420"/>
      </w:pPr>
      <w:r>
        <w:rPr>
          <w:rFonts w:hint="eastAsia"/>
        </w:rPr>
        <w:t>基金管理人应当在不晚于半年度和年度最后一日的次日，在规定网站公告半年度和年度最后一日各类基金份额净值和各类基金份额累计净值。</w:t>
      </w:r>
      <w:r>
        <w:rPr>
          <w:rFonts w:hint="eastAsia"/>
        </w:rPr>
        <w:t xml:space="preserve"> </w:t>
      </w:r>
    </w:p>
    <w:p w:rsidR="004E5A37" w:rsidRDefault="00005BC7">
      <w:pPr>
        <w:pStyle w:val="2"/>
        <w:rPr>
          <w:rFonts w:ascii="宋体" w:eastAsia="宋体" w:hAnsi="宋体"/>
          <w:sz w:val="24"/>
        </w:rPr>
      </w:pPr>
      <w:r>
        <w:rPr>
          <w:rFonts w:ascii="宋体" w:eastAsia="宋体" w:hAnsi="宋体"/>
          <w:sz w:val="24"/>
        </w:rPr>
        <w:t>9</w:t>
      </w:r>
      <w:r>
        <w:rPr>
          <w:rFonts w:ascii="宋体" w:eastAsia="宋体" w:hAnsi="宋体"/>
          <w:sz w:val="24"/>
        </w:rPr>
        <w:t>、其他需要提示的事项</w:t>
      </w:r>
    </w:p>
    <w:p w:rsidR="004E5A37" w:rsidRDefault="00005BC7">
      <w:pPr>
        <w:pStyle w:val="a3"/>
        <w:spacing w:before="0" w:beforeAutospacing="0" w:after="0" w:afterAutospacing="0" w:line="360" w:lineRule="auto"/>
        <w:ind w:firstLine="420"/>
      </w:pPr>
      <w:r>
        <w:rPr>
          <w:rFonts w:hint="eastAsia"/>
        </w:rPr>
        <w:t>（</w:t>
      </w:r>
      <w:r>
        <w:rPr>
          <w:rFonts w:hint="eastAsia"/>
        </w:rPr>
        <w:t>1</w:t>
      </w:r>
      <w:r>
        <w:rPr>
          <w:rFonts w:hint="eastAsia"/>
        </w:rPr>
        <w:t>）上述销售机构业务受理具体情况以代销机构公告或代销系统规则为准。</w:t>
      </w:r>
      <w:r>
        <w:rPr>
          <w:rFonts w:hint="eastAsia"/>
        </w:rPr>
        <w:t xml:space="preserve"> </w:t>
      </w:r>
    </w:p>
    <w:p w:rsidR="004E5A37" w:rsidRDefault="00005BC7">
      <w:pPr>
        <w:pStyle w:val="a3"/>
        <w:spacing w:before="0" w:beforeAutospacing="0" w:after="0" w:afterAutospacing="0" w:line="360" w:lineRule="auto"/>
        <w:ind w:firstLine="420"/>
      </w:pPr>
      <w:r>
        <w:rPr>
          <w:rFonts w:hint="eastAsia"/>
        </w:rPr>
        <w:t>（</w:t>
      </w:r>
      <w:r>
        <w:rPr>
          <w:rFonts w:hint="eastAsia"/>
        </w:rPr>
        <w:t>2</w:t>
      </w:r>
      <w:r>
        <w:rPr>
          <w:rFonts w:hint="eastAsia"/>
        </w:rPr>
        <w:t>）本公告仅对本基金日常申购、赎回、转换、定期定额投资业务的有关事项和规定予以说明。投资者欲了解本基金的详细情况，请详细阅读发布在本公司网站</w:t>
      </w:r>
      <w:r>
        <w:rPr>
          <w:rFonts w:hint="eastAsia"/>
        </w:rPr>
        <w:t>[http://www.bosera.com/]</w:t>
      </w:r>
      <w:r>
        <w:rPr>
          <w:rFonts w:hint="eastAsia"/>
        </w:rPr>
        <w:t>和中国证监会基金电子披露网站（</w:t>
      </w:r>
      <w:r>
        <w:rPr>
          <w:rFonts w:hint="eastAsia"/>
        </w:rPr>
        <w:t>http://eid.csrc.gov.c</w:t>
      </w:r>
      <w:r>
        <w:rPr>
          <w:rFonts w:hint="eastAsia"/>
        </w:rPr>
        <w:t>n/fund</w:t>
      </w:r>
      <w:r>
        <w:rPr>
          <w:rFonts w:hint="eastAsia"/>
        </w:rPr>
        <w:t>）上的《博时恒享债券型证券投资基金招募说明书》。</w:t>
      </w:r>
      <w:r>
        <w:rPr>
          <w:rFonts w:hint="eastAsia"/>
        </w:rPr>
        <w:t xml:space="preserve"> </w:t>
      </w:r>
    </w:p>
    <w:p w:rsidR="004E5A37" w:rsidRDefault="004E5A37">
      <w:pPr>
        <w:pStyle w:val="a3"/>
        <w:spacing w:before="0" w:beforeAutospacing="0" w:after="0" w:afterAutospacing="0" w:line="360" w:lineRule="auto"/>
        <w:ind w:firstLine="420"/>
      </w:pPr>
    </w:p>
    <w:p w:rsidR="004E5A37" w:rsidRDefault="00005BC7">
      <w:pPr>
        <w:pStyle w:val="a3"/>
        <w:spacing w:before="0" w:beforeAutospacing="0" w:after="0" w:afterAutospacing="0" w:line="360" w:lineRule="auto"/>
        <w:ind w:firstLine="420"/>
      </w:pPr>
      <w:r>
        <w:rPr>
          <w:rFonts w:hint="eastAsia"/>
        </w:rPr>
        <w:t>特此公告。</w:t>
      </w:r>
      <w:r>
        <w:rPr>
          <w:rFonts w:hint="eastAsia"/>
        </w:rPr>
        <w:t xml:space="preserve"> </w:t>
      </w:r>
    </w:p>
    <w:p w:rsidR="004E5A37" w:rsidRDefault="004E5A37">
      <w:pPr>
        <w:pStyle w:val="a3"/>
        <w:spacing w:before="0" w:beforeAutospacing="0" w:after="0" w:afterAutospacing="0" w:line="360" w:lineRule="auto"/>
        <w:ind w:firstLine="420"/>
      </w:pPr>
    </w:p>
    <w:p w:rsidR="004E5A37" w:rsidRDefault="004E5A37">
      <w:pPr>
        <w:pStyle w:val="a3"/>
        <w:spacing w:before="0" w:beforeAutospacing="0" w:after="0" w:afterAutospacing="0" w:line="360" w:lineRule="auto"/>
        <w:ind w:firstLine="420"/>
      </w:pPr>
    </w:p>
    <w:p w:rsidR="004E5A37" w:rsidRDefault="004E5A37">
      <w:pPr>
        <w:pStyle w:val="a3"/>
        <w:spacing w:before="0" w:beforeAutospacing="0" w:after="0" w:afterAutospacing="0" w:line="360" w:lineRule="auto"/>
        <w:ind w:firstLine="420"/>
      </w:pPr>
    </w:p>
    <w:p w:rsidR="004E5A37" w:rsidRDefault="00005BC7">
      <w:pPr>
        <w:pStyle w:val="a3"/>
        <w:spacing w:before="0" w:beforeAutospacing="0" w:after="0" w:afterAutospacing="0" w:line="360" w:lineRule="auto"/>
        <w:ind w:firstLine="420"/>
        <w:jc w:val="right"/>
      </w:pPr>
      <w:r>
        <w:rPr>
          <w:rFonts w:hint="eastAsia"/>
        </w:rPr>
        <w:t>博时基金管理有限公司</w:t>
      </w:r>
    </w:p>
    <w:p w:rsidR="004E5A37" w:rsidRDefault="00005BC7">
      <w:pPr>
        <w:pStyle w:val="a3"/>
        <w:spacing w:before="0" w:beforeAutospacing="0" w:after="0" w:afterAutospacing="0" w:line="360" w:lineRule="auto"/>
        <w:ind w:firstLine="420"/>
        <w:jc w:val="right"/>
      </w:pPr>
      <w:r>
        <w:t>2023</w:t>
      </w:r>
      <w:r>
        <w:t>年</w:t>
      </w:r>
      <w:r>
        <w:t>4</w:t>
      </w:r>
      <w:r>
        <w:t>月</w:t>
      </w:r>
      <w:r>
        <w:rPr>
          <w:rFonts w:hint="eastAsia"/>
        </w:rPr>
        <w:t>4</w:t>
      </w:r>
      <w:r>
        <w:t>日</w:t>
      </w:r>
    </w:p>
    <w:p w:rsidR="004E5A37" w:rsidRDefault="004E5A37">
      <w:pPr>
        <w:pStyle w:val="a3"/>
        <w:spacing w:before="0" w:beforeAutospacing="0" w:after="0" w:afterAutospacing="0" w:line="360" w:lineRule="auto"/>
        <w:ind w:firstLine="420"/>
        <w:jc w:val="right"/>
      </w:pPr>
      <w:bookmarkStart w:id="0" w:name="_GoBack"/>
      <w:bookmarkEnd w:id="0"/>
    </w:p>
    <w:sectPr w:rsidR="004E5A37" w:rsidSect="004E5A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181"/>
    <w:rsid w:val="00005BC7"/>
    <w:rsid w:val="004E5A37"/>
    <w:rsid w:val="008466B9"/>
    <w:rsid w:val="00AE7181"/>
    <w:rsid w:val="0BEB56AB"/>
    <w:rsid w:val="6C282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37"/>
    <w:pPr>
      <w:widowControl w:val="0"/>
      <w:jc w:val="both"/>
    </w:pPr>
    <w:rPr>
      <w:kern w:val="2"/>
      <w:sz w:val="21"/>
      <w:szCs w:val="22"/>
    </w:rPr>
  </w:style>
  <w:style w:type="paragraph" w:styleId="2">
    <w:name w:val="heading 2"/>
    <w:basedOn w:val="a"/>
    <w:next w:val="a"/>
    <w:link w:val="2Char"/>
    <w:uiPriority w:val="9"/>
    <w:unhideWhenUsed/>
    <w:qFormat/>
    <w:rsid w:val="004E5A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E5A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A3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4E5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4E5A3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E5A37"/>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4</DocSecurity>
  <Lines>31</Lines>
  <Paragraphs>8</Paragraphs>
  <ScaleCrop>false</ScaleCrop>
  <Company>mycompany</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2023-04-03T16:04:00Z</dcterms:created>
  <dcterms:modified xsi:type="dcterms:W3CDTF">2023-04-03T16:04:00Z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2259CC8FE3B04BC081F685782A71C64D</vt:lpwstr>
  </property>
</Properties>
</file>