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B9" w:rsidRPr="00C9143F" w:rsidRDefault="00830DCF" w:rsidP="007A3A44">
      <w:pPr>
        <w:spacing w:before="100" w:beforeAutospacing="1" w:after="100" w:afterAutospacing="1"/>
        <w:jc w:val="center"/>
        <w:rPr>
          <w:rFonts w:hAnsi="宋体" w:hint="eastAsia"/>
          <w:b/>
          <w:sz w:val="30"/>
          <w:szCs w:val="30"/>
        </w:rPr>
      </w:pPr>
      <w:r w:rsidRPr="00C9143F">
        <w:rPr>
          <w:rFonts w:hAnsi="宋体" w:hint="eastAsia"/>
          <w:b/>
          <w:sz w:val="30"/>
          <w:szCs w:val="30"/>
        </w:rPr>
        <w:t>国海富兰克林基金管理有限公司</w:t>
      </w:r>
      <w:r w:rsidR="00080617" w:rsidRPr="00C9143F">
        <w:rPr>
          <w:rFonts w:hAnsi="宋体" w:hint="eastAsia"/>
          <w:b/>
          <w:sz w:val="30"/>
          <w:szCs w:val="30"/>
        </w:rPr>
        <w:t>旗下</w:t>
      </w:r>
      <w:r w:rsidR="00EC3D0E" w:rsidRPr="00C9143F">
        <w:rPr>
          <w:rFonts w:hAnsi="宋体" w:hint="eastAsia"/>
          <w:b/>
          <w:sz w:val="30"/>
          <w:szCs w:val="30"/>
        </w:rPr>
        <w:t>部分</w:t>
      </w:r>
      <w:r w:rsidR="00080617" w:rsidRPr="00C9143F">
        <w:rPr>
          <w:rFonts w:hAnsi="宋体" w:hint="eastAsia"/>
          <w:b/>
          <w:sz w:val="30"/>
          <w:szCs w:val="30"/>
        </w:rPr>
        <w:t>基金参加</w:t>
      </w:r>
      <w:r w:rsidR="0012330F" w:rsidRPr="0012330F">
        <w:rPr>
          <w:rFonts w:hAnsi="宋体" w:hint="eastAsia"/>
          <w:b/>
          <w:sz w:val="30"/>
          <w:szCs w:val="30"/>
        </w:rPr>
        <w:t>兴业证券股份有限公司</w:t>
      </w:r>
      <w:r w:rsidR="00080617" w:rsidRPr="00C9143F">
        <w:rPr>
          <w:rFonts w:hAnsi="宋体" w:hint="eastAsia"/>
          <w:b/>
          <w:sz w:val="30"/>
          <w:szCs w:val="30"/>
        </w:rPr>
        <w:t>申购及定期定额投资费率优惠活动的公告</w:t>
      </w:r>
    </w:p>
    <w:p w:rsidR="005A47B9" w:rsidRPr="00C9143F" w:rsidRDefault="005A47B9">
      <w:pPr>
        <w:rPr>
          <w:rFonts w:ascii="ˎ̥" w:hAnsi="ˎ̥" w:hint="eastAsia"/>
          <w:b/>
          <w:bCs/>
          <w:color w:val="005691"/>
          <w:spacing w:val="24"/>
          <w:szCs w:val="21"/>
        </w:rPr>
      </w:pPr>
    </w:p>
    <w:p w:rsidR="00C42506" w:rsidRPr="00C9143F" w:rsidRDefault="00C27169" w:rsidP="00C84E4B">
      <w:pPr>
        <w:widowControl/>
        <w:spacing w:line="360" w:lineRule="auto"/>
        <w:ind w:firstLineChars="200" w:firstLine="480"/>
        <w:jc w:val="left"/>
        <w:rPr>
          <w:rFonts w:hAnsi="宋体" w:hint="eastAsia"/>
          <w:sz w:val="24"/>
        </w:rPr>
      </w:pPr>
      <w:r w:rsidRPr="00C9143F">
        <w:rPr>
          <w:rFonts w:hAnsi="宋体" w:hint="eastAsia"/>
          <w:sz w:val="24"/>
        </w:rPr>
        <w:t>为答谢广大客户长期以来的信任与支持</w:t>
      </w:r>
      <w:r w:rsidR="00445F9B" w:rsidRPr="00C9143F">
        <w:rPr>
          <w:rFonts w:hAnsi="宋体" w:hint="eastAsia"/>
          <w:sz w:val="24"/>
        </w:rPr>
        <w:t>，</w:t>
      </w:r>
      <w:r w:rsidR="00DA5610" w:rsidRPr="00C9143F">
        <w:rPr>
          <w:rFonts w:hAnsi="宋体" w:hint="eastAsia"/>
          <w:sz w:val="24"/>
        </w:rPr>
        <w:t>经</w:t>
      </w:r>
      <w:r w:rsidR="005A47B9" w:rsidRPr="00C9143F">
        <w:rPr>
          <w:rFonts w:hAnsi="宋体"/>
          <w:sz w:val="24"/>
        </w:rPr>
        <w:t>国</w:t>
      </w:r>
      <w:r w:rsidR="005A47B9" w:rsidRPr="00C9143F">
        <w:rPr>
          <w:rFonts w:hAnsi="宋体" w:hint="eastAsia"/>
          <w:sz w:val="24"/>
        </w:rPr>
        <w:t>海富兰克林</w:t>
      </w:r>
      <w:r w:rsidR="005A47B9" w:rsidRPr="00C9143F">
        <w:rPr>
          <w:rFonts w:hAnsi="宋体"/>
          <w:sz w:val="24"/>
        </w:rPr>
        <w:t>基金管理有限公司（以下简称“本公司”）</w:t>
      </w:r>
      <w:r w:rsidR="00DA5610" w:rsidRPr="00C9143F">
        <w:rPr>
          <w:rFonts w:hAnsi="宋体" w:hint="eastAsia"/>
          <w:sz w:val="24"/>
        </w:rPr>
        <w:t>与</w:t>
      </w:r>
      <w:r w:rsidR="0012330F" w:rsidRPr="0012330F">
        <w:rPr>
          <w:rFonts w:ascii="宋体" w:hAnsi="宋体" w:cs="Arial" w:hint="eastAsia"/>
          <w:sz w:val="24"/>
        </w:rPr>
        <w:t>兴业证券股份有限公司</w:t>
      </w:r>
      <w:r w:rsidR="00DA5610" w:rsidRPr="00C9143F">
        <w:rPr>
          <w:rFonts w:hAnsi="宋体"/>
          <w:sz w:val="24"/>
        </w:rPr>
        <w:t>（以下简称“</w:t>
      </w:r>
      <w:r w:rsidR="0012330F">
        <w:rPr>
          <w:rFonts w:hAnsi="宋体"/>
          <w:sz w:val="24"/>
        </w:rPr>
        <w:t>兴业</w:t>
      </w:r>
      <w:r w:rsidR="004814A5">
        <w:rPr>
          <w:rFonts w:hAnsi="宋体"/>
          <w:sz w:val="24"/>
        </w:rPr>
        <w:t>证券</w:t>
      </w:r>
      <w:r w:rsidR="00CD020D" w:rsidRPr="00C9143F">
        <w:rPr>
          <w:rFonts w:hAnsi="宋体"/>
          <w:sz w:val="24"/>
        </w:rPr>
        <w:t>”</w:t>
      </w:r>
      <w:r w:rsidR="00DA5610" w:rsidRPr="00C9143F">
        <w:rPr>
          <w:rFonts w:hAnsi="宋体"/>
          <w:sz w:val="24"/>
        </w:rPr>
        <w:t>）</w:t>
      </w:r>
      <w:r w:rsidR="00DA5610" w:rsidRPr="00C9143F">
        <w:rPr>
          <w:rFonts w:hAnsi="宋体" w:hint="eastAsia"/>
          <w:sz w:val="24"/>
        </w:rPr>
        <w:t>协商一致，</w:t>
      </w:r>
      <w:r w:rsidRPr="00C9143F">
        <w:rPr>
          <w:rFonts w:hAnsi="宋体" w:hint="eastAsia"/>
          <w:sz w:val="24"/>
        </w:rPr>
        <w:t>决定</w:t>
      </w:r>
      <w:r w:rsidR="00371278" w:rsidRPr="00C9143F">
        <w:rPr>
          <w:rFonts w:hAnsi="宋体" w:hint="eastAsia"/>
          <w:sz w:val="24"/>
        </w:rPr>
        <w:t>自</w:t>
      </w:r>
      <w:r w:rsidR="00CD020D" w:rsidRPr="00C9143F">
        <w:rPr>
          <w:rFonts w:hAnsi="宋体" w:hint="eastAsia"/>
          <w:sz w:val="24"/>
        </w:rPr>
        <w:t>20</w:t>
      </w:r>
      <w:r w:rsidR="009B3F52" w:rsidRPr="00C9143F">
        <w:rPr>
          <w:rFonts w:hAnsi="宋体"/>
          <w:sz w:val="24"/>
        </w:rPr>
        <w:t>2</w:t>
      </w:r>
      <w:r w:rsidR="004814A5">
        <w:rPr>
          <w:rFonts w:hAnsi="宋体"/>
          <w:sz w:val="24"/>
        </w:rPr>
        <w:t>3</w:t>
      </w:r>
      <w:r w:rsidR="00EC3D0E" w:rsidRPr="00C9143F">
        <w:rPr>
          <w:rFonts w:hAnsi="宋体" w:hint="eastAsia"/>
          <w:sz w:val="24"/>
        </w:rPr>
        <w:t>年</w:t>
      </w:r>
      <w:r w:rsidR="004814A5">
        <w:rPr>
          <w:rFonts w:hAnsi="宋体"/>
          <w:sz w:val="24"/>
        </w:rPr>
        <w:t>3</w:t>
      </w:r>
      <w:r w:rsidR="00371278" w:rsidRPr="00C9143F">
        <w:rPr>
          <w:rFonts w:hAnsi="宋体" w:hint="eastAsia"/>
          <w:sz w:val="24"/>
        </w:rPr>
        <w:t>月</w:t>
      </w:r>
      <w:r w:rsidR="00FD0849">
        <w:rPr>
          <w:rFonts w:hAnsi="宋体" w:hint="eastAsia"/>
          <w:sz w:val="24"/>
        </w:rPr>
        <w:t>3</w:t>
      </w:r>
      <w:r w:rsidR="00CD47C4">
        <w:rPr>
          <w:rFonts w:hAnsi="宋体"/>
          <w:sz w:val="24"/>
        </w:rPr>
        <w:t>1</w:t>
      </w:r>
      <w:r w:rsidR="00371278" w:rsidRPr="00C9143F">
        <w:rPr>
          <w:rFonts w:hAnsi="宋体" w:hint="eastAsia"/>
          <w:sz w:val="24"/>
        </w:rPr>
        <w:t>日</w:t>
      </w:r>
      <w:r w:rsidR="00901A56" w:rsidRPr="00C9143F">
        <w:rPr>
          <w:rFonts w:hAnsi="宋体" w:hint="eastAsia"/>
          <w:sz w:val="24"/>
        </w:rPr>
        <w:t>起</w:t>
      </w:r>
      <w:r w:rsidR="00D67F9B" w:rsidRPr="00C9143F">
        <w:rPr>
          <w:rFonts w:hAnsi="宋体" w:hint="eastAsia"/>
          <w:sz w:val="24"/>
        </w:rPr>
        <w:t>，本公司旗下</w:t>
      </w:r>
      <w:r w:rsidR="00EC3D0E" w:rsidRPr="00C9143F">
        <w:rPr>
          <w:rFonts w:hAnsi="宋体" w:hint="eastAsia"/>
          <w:sz w:val="24"/>
        </w:rPr>
        <w:t>部分基金</w:t>
      </w:r>
      <w:r w:rsidRPr="00C9143F">
        <w:rPr>
          <w:rFonts w:hAnsi="宋体" w:hint="eastAsia"/>
          <w:sz w:val="24"/>
        </w:rPr>
        <w:t>参加</w:t>
      </w:r>
      <w:r w:rsidR="0012330F">
        <w:rPr>
          <w:rFonts w:hAnsi="宋体" w:hint="eastAsia"/>
          <w:sz w:val="24"/>
        </w:rPr>
        <w:t>兴业</w:t>
      </w:r>
      <w:r w:rsidR="004814A5" w:rsidRPr="004814A5">
        <w:rPr>
          <w:rFonts w:hAnsi="宋体" w:hint="eastAsia"/>
          <w:sz w:val="24"/>
        </w:rPr>
        <w:t>证券</w:t>
      </w:r>
      <w:r w:rsidR="00C42506" w:rsidRPr="00C9143F">
        <w:rPr>
          <w:rFonts w:hAnsi="宋体"/>
          <w:sz w:val="24"/>
        </w:rPr>
        <w:t>申购</w:t>
      </w:r>
      <w:r w:rsidR="00A05746" w:rsidRPr="00C9143F">
        <w:rPr>
          <w:rFonts w:hAnsi="宋体" w:hint="eastAsia"/>
          <w:sz w:val="24"/>
        </w:rPr>
        <w:t>及</w:t>
      </w:r>
      <w:r w:rsidR="00DA5610" w:rsidRPr="00C9143F">
        <w:rPr>
          <w:rFonts w:hAnsi="宋体" w:hint="eastAsia"/>
          <w:sz w:val="24"/>
        </w:rPr>
        <w:t>定期定额申购</w:t>
      </w:r>
      <w:r w:rsidR="00C42506" w:rsidRPr="00C9143F">
        <w:rPr>
          <w:rFonts w:hAnsi="宋体"/>
          <w:sz w:val="24"/>
        </w:rPr>
        <w:t>费率优惠活动。</w:t>
      </w:r>
    </w:p>
    <w:p w:rsidR="00EC3D0E" w:rsidRPr="00C9143F" w:rsidRDefault="00EC3D0E" w:rsidP="00C84E4B">
      <w:pPr>
        <w:widowControl/>
        <w:numPr>
          <w:ilvl w:val="0"/>
          <w:numId w:val="1"/>
        </w:numPr>
        <w:tabs>
          <w:tab w:val="clear" w:pos="780"/>
          <w:tab w:val="num" w:pos="360"/>
        </w:tabs>
        <w:spacing w:after="100" w:afterAutospacing="1" w:line="360" w:lineRule="auto"/>
        <w:ind w:leftChars="171" w:left="359" w:firstLine="0"/>
        <w:jc w:val="left"/>
        <w:rPr>
          <w:rFonts w:hAnsi="宋体" w:hint="eastAsia"/>
          <w:sz w:val="24"/>
        </w:rPr>
      </w:pPr>
      <w:r w:rsidRPr="00C9143F">
        <w:rPr>
          <w:rFonts w:hAnsi="宋体" w:hint="eastAsia"/>
          <w:sz w:val="24"/>
        </w:rPr>
        <w:t>活动时间：</w:t>
      </w:r>
    </w:p>
    <w:p w:rsidR="00EC3D0E" w:rsidRPr="00C9143F" w:rsidRDefault="00CD020D" w:rsidP="00C84E4B">
      <w:pPr>
        <w:widowControl/>
        <w:spacing w:after="100" w:afterAutospacing="1" w:line="360" w:lineRule="auto"/>
        <w:ind w:leftChars="171" w:left="359" w:firstLineChars="200" w:firstLine="480"/>
        <w:jc w:val="left"/>
        <w:rPr>
          <w:rFonts w:ascii="宋体" w:hAnsi="宋体" w:cs="宋体"/>
          <w:spacing w:val="10"/>
          <w:kern w:val="0"/>
          <w:sz w:val="24"/>
        </w:rPr>
      </w:pPr>
      <w:r w:rsidRPr="00C9143F">
        <w:rPr>
          <w:rFonts w:hAnsi="宋体" w:hint="eastAsia"/>
          <w:sz w:val="24"/>
        </w:rPr>
        <w:t>20</w:t>
      </w:r>
      <w:r w:rsidR="009B3F52" w:rsidRPr="00C9143F">
        <w:rPr>
          <w:rFonts w:hAnsi="宋体"/>
          <w:sz w:val="24"/>
        </w:rPr>
        <w:t>2</w:t>
      </w:r>
      <w:r w:rsidR="004814A5">
        <w:rPr>
          <w:rFonts w:hAnsi="宋体"/>
          <w:sz w:val="24"/>
        </w:rPr>
        <w:t>3</w:t>
      </w:r>
      <w:r w:rsidR="00EC3D0E" w:rsidRPr="00C9143F">
        <w:rPr>
          <w:rFonts w:hAnsi="宋体" w:hint="eastAsia"/>
          <w:sz w:val="24"/>
        </w:rPr>
        <w:t>年</w:t>
      </w:r>
      <w:r w:rsidR="004814A5">
        <w:rPr>
          <w:rFonts w:hAnsi="宋体"/>
          <w:sz w:val="24"/>
        </w:rPr>
        <w:t>3</w:t>
      </w:r>
      <w:r w:rsidR="00EC3D0E" w:rsidRPr="00C9143F">
        <w:rPr>
          <w:rFonts w:hAnsi="宋体" w:hint="eastAsia"/>
          <w:sz w:val="24"/>
        </w:rPr>
        <w:t>月</w:t>
      </w:r>
      <w:r w:rsidR="00CD47C4">
        <w:rPr>
          <w:rFonts w:hAnsi="宋体"/>
          <w:sz w:val="24"/>
        </w:rPr>
        <w:t>31</w:t>
      </w:r>
      <w:r w:rsidR="00EC3D0E" w:rsidRPr="00C9143F">
        <w:rPr>
          <w:rFonts w:hAnsi="宋体" w:hint="eastAsia"/>
          <w:sz w:val="24"/>
        </w:rPr>
        <w:t>日起，具体结束时间以</w:t>
      </w:r>
      <w:r w:rsidR="0012330F">
        <w:rPr>
          <w:rFonts w:hAnsi="宋体" w:hint="eastAsia"/>
          <w:sz w:val="24"/>
        </w:rPr>
        <w:t>兴业</w:t>
      </w:r>
      <w:r w:rsidR="0012330F" w:rsidRPr="004814A5">
        <w:rPr>
          <w:rFonts w:hAnsi="宋体" w:hint="eastAsia"/>
          <w:sz w:val="24"/>
        </w:rPr>
        <w:t>证券</w:t>
      </w:r>
      <w:r w:rsidR="00EC3D0E" w:rsidRPr="00C9143F">
        <w:rPr>
          <w:rFonts w:hAnsi="宋体" w:hint="eastAsia"/>
          <w:sz w:val="24"/>
        </w:rPr>
        <w:t>公告为准。</w:t>
      </w:r>
    </w:p>
    <w:p w:rsidR="00EC3D0E" w:rsidRPr="00C9143F" w:rsidRDefault="00EC3D0E" w:rsidP="00C84E4B">
      <w:pPr>
        <w:widowControl/>
        <w:numPr>
          <w:ilvl w:val="0"/>
          <w:numId w:val="1"/>
        </w:numPr>
        <w:tabs>
          <w:tab w:val="clear" w:pos="780"/>
          <w:tab w:val="num" w:pos="360"/>
        </w:tabs>
        <w:spacing w:after="100" w:afterAutospacing="1" w:line="360" w:lineRule="auto"/>
        <w:ind w:leftChars="171" w:left="359" w:firstLine="0"/>
        <w:jc w:val="left"/>
        <w:rPr>
          <w:rFonts w:hAnsi="宋体" w:hint="eastAsia"/>
          <w:sz w:val="24"/>
        </w:rPr>
      </w:pPr>
      <w:r w:rsidRPr="00C9143F">
        <w:rPr>
          <w:rFonts w:hAnsi="宋体" w:hint="eastAsia"/>
          <w:sz w:val="24"/>
        </w:rPr>
        <w:t>具体参加活动基金：</w:t>
      </w:r>
    </w:p>
    <w:tbl>
      <w:tblPr>
        <w:tblW w:w="8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6415"/>
        <w:gridCol w:w="1241"/>
      </w:tblGrid>
      <w:tr w:rsidR="00BB78E8" w:rsidRPr="00C9143F" w:rsidTr="00836871">
        <w:trPr>
          <w:jc w:val="center"/>
        </w:trPr>
        <w:tc>
          <w:tcPr>
            <w:tcW w:w="696" w:type="dxa"/>
            <w:vAlign w:val="center"/>
          </w:tcPr>
          <w:p w:rsidR="00EC3D0E" w:rsidRPr="00C9143F" w:rsidRDefault="00EC3D0E" w:rsidP="00576AB9">
            <w:pPr>
              <w:spacing w:line="360" w:lineRule="auto"/>
              <w:jc w:val="center"/>
              <w:rPr>
                <w:b/>
                <w:bCs/>
                <w:sz w:val="24"/>
              </w:rPr>
            </w:pPr>
            <w:r w:rsidRPr="00C9143F">
              <w:rPr>
                <w:rFonts w:hint="eastAsia"/>
                <w:b/>
                <w:bCs/>
                <w:sz w:val="24"/>
              </w:rPr>
              <w:t>序号</w:t>
            </w:r>
          </w:p>
        </w:tc>
        <w:tc>
          <w:tcPr>
            <w:tcW w:w="6415" w:type="dxa"/>
            <w:vAlign w:val="center"/>
          </w:tcPr>
          <w:p w:rsidR="00EC3D0E" w:rsidRPr="00C9143F" w:rsidRDefault="00EC3D0E" w:rsidP="00576AB9">
            <w:pPr>
              <w:spacing w:line="360" w:lineRule="auto"/>
              <w:jc w:val="center"/>
              <w:rPr>
                <w:b/>
                <w:bCs/>
                <w:sz w:val="24"/>
              </w:rPr>
            </w:pPr>
            <w:r w:rsidRPr="00C9143F">
              <w:rPr>
                <w:rFonts w:hint="eastAsia"/>
                <w:b/>
                <w:bCs/>
                <w:sz w:val="24"/>
              </w:rPr>
              <w:t>基金名称</w:t>
            </w:r>
          </w:p>
        </w:tc>
        <w:tc>
          <w:tcPr>
            <w:tcW w:w="1241" w:type="dxa"/>
            <w:vAlign w:val="center"/>
          </w:tcPr>
          <w:p w:rsidR="00EC3D0E" w:rsidRPr="00C9143F" w:rsidRDefault="00EC3D0E" w:rsidP="00576AB9">
            <w:pPr>
              <w:spacing w:line="360" w:lineRule="auto"/>
              <w:jc w:val="center"/>
              <w:rPr>
                <w:b/>
                <w:bCs/>
                <w:sz w:val="24"/>
              </w:rPr>
            </w:pPr>
            <w:r w:rsidRPr="00C9143F">
              <w:rPr>
                <w:rFonts w:hint="eastAsia"/>
                <w:b/>
                <w:bCs/>
                <w:sz w:val="24"/>
              </w:rPr>
              <w:t>基金代码</w:t>
            </w:r>
          </w:p>
        </w:tc>
      </w:tr>
      <w:tr w:rsidR="0012330F" w:rsidRPr="00C9143F" w:rsidTr="00836871">
        <w:trPr>
          <w:jc w:val="center"/>
        </w:trPr>
        <w:tc>
          <w:tcPr>
            <w:tcW w:w="696" w:type="dxa"/>
          </w:tcPr>
          <w:p w:rsidR="0012330F" w:rsidRPr="00C9143F" w:rsidRDefault="0012330F" w:rsidP="0012330F">
            <w:pPr>
              <w:pStyle w:val="aa"/>
              <w:numPr>
                <w:ilvl w:val="0"/>
                <w:numId w:val="5"/>
              </w:numPr>
              <w:spacing w:line="360" w:lineRule="auto"/>
              <w:ind w:firstLineChars="0"/>
              <w:jc w:val="right"/>
              <w:rPr>
                <w:sz w:val="24"/>
              </w:rPr>
            </w:pPr>
          </w:p>
        </w:tc>
        <w:tc>
          <w:tcPr>
            <w:tcW w:w="6415" w:type="dxa"/>
            <w:vAlign w:val="center"/>
          </w:tcPr>
          <w:p w:rsidR="0012330F" w:rsidRPr="00C9143F" w:rsidRDefault="0012330F" w:rsidP="0012330F">
            <w:pPr>
              <w:jc w:val="left"/>
              <w:rPr>
                <w:rFonts w:hint="eastAsia"/>
              </w:rPr>
            </w:pPr>
            <w:r>
              <w:rPr>
                <w:rFonts w:hint="eastAsia"/>
                <w:color w:val="000000"/>
                <w:sz w:val="22"/>
                <w:szCs w:val="22"/>
              </w:rPr>
              <w:t>富兰克林国海焦点驱动灵活配置混合型证券投资基金（</w:t>
            </w:r>
            <w:r>
              <w:rPr>
                <w:rFonts w:hint="eastAsia"/>
                <w:color w:val="000000"/>
                <w:sz w:val="22"/>
                <w:szCs w:val="22"/>
              </w:rPr>
              <w:t>A</w:t>
            </w:r>
            <w:r>
              <w:rPr>
                <w:rFonts w:hint="eastAsia"/>
                <w:color w:val="000000"/>
                <w:sz w:val="22"/>
                <w:szCs w:val="22"/>
              </w:rPr>
              <w:t>类）</w:t>
            </w:r>
          </w:p>
        </w:tc>
        <w:tc>
          <w:tcPr>
            <w:tcW w:w="1241" w:type="dxa"/>
            <w:vAlign w:val="center"/>
          </w:tcPr>
          <w:p w:rsidR="0012330F" w:rsidRPr="00C9143F" w:rsidRDefault="00563336" w:rsidP="0012330F">
            <w:pPr>
              <w:jc w:val="center"/>
              <w:rPr>
                <w:rFonts w:hint="eastAsia"/>
              </w:rPr>
            </w:pPr>
            <w:r w:rsidRPr="00E11D44">
              <w:rPr>
                <w:bCs/>
              </w:rPr>
              <w:t>000065</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Pr="00666004" w:rsidRDefault="0012330F" w:rsidP="0012330F">
            <w:pPr>
              <w:jc w:val="left"/>
              <w:rPr>
                <w:rFonts w:hint="eastAsia"/>
              </w:rPr>
            </w:pPr>
            <w:r>
              <w:rPr>
                <w:rFonts w:hint="eastAsia"/>
                <w:color w:val="000000"/>
                <w:sz w:val="22"/>
                <w:szCs w:val="22"/>
              </w:rPr>
              <w:t>富兰克林国海岁岁恒丰定期开放债券型证券投资基金（</w:t>
            </w:r>
            <w:r>
              <w:rPr>
                <w:rFonts w:hint="eastAsia"/>
                <w:color w:val="000000"/>
                <w:sz w:val="22"/>
                <w:szCs w:val="22"/>
              </w:rPr>
              <w:t>A</w:t>
            </w:r>
            <w:r>
              <w:rPr>
                <w:rFonts w:hint="eastAsia"/>
                <w:color w:val="000000"/>
                <w:sz w:val="22"/>
                <w:szCs w:val="22"/>
              </w:rPr>
              <w:t>类）</w:t>
            </w:r>
          </w:p>
        </w:tc>
        <w:tc>
          <w:tcPr>
            <w:tcW w:w="1241" w:type="dxa"/>
            <w:vAlign w:val="center"/>
          </w:tcPr>
          <w:p w:rsidR="0012330F" w:rsidRPr="00666004" w:rsidRDefault="00563336" w:rsidP="0012330F">
            <w:pPr>
              <w:jc w:val="center"/>
            </w:pPr>
            <w:r w:rsidRPr="00E11D44">
              <w:rPr>
                <w:bCs/>
              </w:rPr>
              <w:t>000351</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Pr="00666004" w:rsidRDefault="0012330F" w:rsidP="0012330F">
            <w:pPr>
              <w:jc w:val="left"/>
              <w:rPr>
                <w:rFonts w:hint="eastAsia"/>
              </w:rPr>
            </w:pPr>
            <w:r>
              <w:rPr>
                <w:rFonts w:hint="eastAsia"/>
                <w:color w:val="000000"/>
                <w:sz w:val="22"/>
                <w:szCs w:val="22"/>
              </w:rPr>
              <w:t>富兰克林国海健康优质生活股票型证券投资基金</w:t>
            </w:r>
          </w:p>
        </w:tc>
        <w:tc>
          <w:tcPr>
            <w:tcW w:w="1241" w:type="dxa"/>
            <w:vAlign w:val="center"/>
          </w:tcPr>
          <w:p w:rsidR="0012330F" w:rsidRPr="00666004" w:rsidRDefault="00563336" w:rsidP="0012330F">
            <w:pPr>
              <w:jc w:val="center"/>
            </w:pPr>
            <w:r w:rsidRPr="00E11D44">
              <w:t>000761</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Pr="00666004" w:rsidRDefault="0012330F" w:rsidP="0012330F">
            <w:pPr>
              <w:jc w:val="left"/>
              <w:rPr>
                <w:rFonts w:hint="eastAsia"/>
              </w:rPr>
            </w:pPr>
            <w:r>
              <w:rPr>
                <w:rFonts w:hint="eastAsia"/>
                <w:color w:val="000000"/>
                <w:sz w:val="22"/>
                <w:szCs w:val="22"/>
              </w:rPr>
              <w:t>富兰克林国海大中华精选混合型证券投资基金</w:t>
            </w:r>
            <w:r>
              <w:rPr>
                <w:rFonts w:hint="eastAsia"/>
                <w:color w:val="000000"/>
                <w:sz w:val="22"/>
                <w:szCs w:val="22"/>
              </w:rPr>
              <w:t>-</w:t>
            </w:r>
            <w:r>
              <w:rPr>
                <w:rFonts w:hint="eastAsia"/>
                <w:color w:val="000000"/>
                <w:sz w:val="22"/>
                <w:szCs w:val="22"/>
              </w:rPr>
              <w:t>人民币</w:t>
            </w:r>
          </w:p>
        </w:tc>
        <w:tc>
          <w:tcPr>
            <w:tcW w:w="1241" w:type="dxa"/>
            <w:vAlign w:val="center"/>
          </w:tcPr>
          <w:p w:rsidR="0012330F" w:rsidRPr="00666004" w:rsidRDefault="00563336" w:rsidP="0012330F">
            <w:pPr>
              <w:jc w:val="center"/>
            </w:pPr>
            <w:r w:rsidRPr="00E11D44">
              <w:t>000934</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Pr="00666004" w:rsidRDefault="0012330F" w:rsidP="0012330F">
            <w:pPr>
              <w:jc w:val="left"/>
              <w:rPr>
                <w:rFonts w:hint="eastAsia"/>
              </w:rPr>
            </w:pPr>
            <w:r>
              <w:rPr>
                <w:rFonts w:hint="eastAsia"/>
                <w:color w:val="000000"/>
                <w:sz w:val="22"/>
                <w:szCs w:val="22"/>
              </w:rPr>
              <w:t>富兰克林国海金融地产灵活配置混合型证券投资基金（</w:t>
            </w:r>
            <w:r>
              <w:rPr>
                <w:rFonts w:hint="eastAsia"/>
                <w:color w:val="000000"/>
                <w:sz w:val="22"/>
                <w:szCs w:val="22"/>
              </w:rPr>
              <w:t>A</w:t>
            </w:r>
            <w:r>
              <w:rPr>
                <w:rFonts w:hint="eastAsia"/>
                <w:color w:val="000000"/>
                <w:sz w:val="22"/>
                <w:szCs w:val="22"/>
              </w:rPr>
              <w:t>类）</w:t>
            </w:r>
          </w:p>
        </w:tc>
        <w:tc>
          <w:tcPr>
            <w:tcW w:w="1241" w:type="dxa"/>
            <w:vAlign w:val="center"/>
          </w:tcPr>
          <w:p w:rsidR="0012330F" w:rsidRPr="00666004" w:rsidRDefault="00563336" w:rsidP="0012330F">
            <w:pPr>
              <w:jc w:val="center"/>
            </w:pPr>
            <w:r w:rsidRPr="00E11D44">
              <w:t>001392</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Pr="00666004" w:rsidRDefault="0012330F" w:rsidP="0012330F">
            <w:pPr>
              <w:jc w:val="left"/>
              <w:rPr>
                <w:rFonts w:hint="eastAsia"/>
              </w:rPr>
            </w:pPr>
            <w:r>
              <w:rPr>
                <w:rFonts w:hint="eastAsia"/>
                <w:color w:val="000000"/>
                <w:sz w:val="22"/>
                <w:szCs w:val="22"/>
              </w:rPr>
              <w:t>富兰克林国海沪港深成长精选股票型证券投资基金（</w:t>
            </w:r>
            <w:r>
              <w:rPr>
                <w:rFonts w:hint="eastAsia"/>
                <w:color w:val="000000"/>
                <w:sz w:val="22"/>
                <w:szCs w:val="22"/>
              </w:rPr>
              <w:t>A</w:t>
            </w:r>
            <w:r>
              <w:rPr>
                <w:rFonts w:hint="eastAsia"/>
                <w:color w:val="000000"/>
                <w:sz w:val="22"/>
                <w:szCs w:val="22"/>
              </w:rPr>
              <w:t>类）</w:t>
            </w:r>
          </w:p>
        </w:tc>
        <w:tc>
          <w:tcPr>
            <w:tcW w:w="1241" w:type="dxa"/>
            <w:vAlign w:val="center"/>
          </w:tcPr>
          <w:p w:rsidR="0012330F" w:rsidRPr="00666004" w:rsidRDefault="00563336" w:rsidP="0012330F">
            <w:pPr>
              <w:jc w:val="center"/>
            </w:pPr>
            <w:r w:rsidRPr="00E11D44">
              <w:t>001605</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Pr="00666004" w:rsidRDefault="0012330F" w:rsidP="0012330F">
            <w:pPr>
              <w:jc w:val="left"/>
              <w:rPr>
                <w:rFonts w:hint="eastAsia"/>
              </w:rPr>
            </w:pPr>
            <w:r>
              <w:rPr>
                <w:rFonts w:hint="eastAsia"/>
                <w:color w:val="000000"/>
                <w:sz w:val="22"/>
                <w:szCs w:val="22"/>
              </w:rPr>
              <w:t>富兰克林国海新机遇灵活配置混合型证券投资基金（</w:t>
            </w:r>
            <w:r>
              <w:rPr>
                <w:rFonts w:hint="eastAsia"/>
                <w:color w:val="000000"/>
                <w:sz w:val="22"/>
                <w:szCs w:val="22"/>
              </w:rPr>
              <w:t>A</w:t>
            </w:r>
            <w:r>
              <w:rPr>
                <w:rFonts w:hint="eastAsia"/>
                <w:color w:val="000000"/>
                <w:sz w:val="22"/>
                <w:szCs w:val="22"/>
              </w:rPr>
              <w:t>类）</w:t>
            </w:r>
          </w:p>
        </w:tc>
        <w:tc>
          <w:tcPr>
            <w:tcW w:w="1241" w:type="dxa"/>
            <w:vAlign w:val="center"/>
          </w:tcPr>
          <w:p w:rsidR="0012330F" w:rsidRPr="00666004" w:rsidRDefault="00563336" w:rsidP="0012330F">
            <w:pPr>
              <w:jc w:val="center"/>
            </w:pPr>
            <w:r w:rsidRPr="00E11D44">
              <w:t>002087</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Default="0012330F" w:rsidP="0012330F">
            <w:pPr>
              <w:jc w:val="left"/>
              <w:rPr>
                <w:rFonts w:hint="eastAsia"/>
                <w:color w:val="000000"/>
                <w:sz w:val="22"/>
                <w:szCs w:val="22"/>
              </w:rPr>
            </w:pPr>
            <w:r>
              <w:rPr>
                <w:rFonts w:hint="eastAsia"/>
                <w:color w:val="000000"/>
                <w:sz w:val="22"/>
                <w:szCs w:val="22"/>
              </w:rPr>
              <w:t>富兰克林国海恒瑞债券型证券投资基金（</w:t>
            </w:r>
            <w:r>
              <w:rPr>
                <w:rFonts w:hint="eastAsia"/>
                <w:color w:val="000000"/>
                <w:sz w:val="22"/>
                <w:szCs w:val="22"/>
              </w:rPr>
              <w:t>A</w:t>
            </w:r>
            <w:r>
              <w:rPr>
                <w:rFonts w:hint="eastAsia"/>
                <w:color w:val="000000"/>
                <w:sz w:val="22"/>
                <w:szCs w:val="22"/>
              </w:rPr>
              <w:t>类）</w:t>
            </w:r>
          </w:p>
        </w:tc>
        <w:tc>
          <w:tcPr>
            <w:tcW w:w="1241" w:type="dxa"/>
            <w:vAlign w:val="center"/>
          </w:tcPr>
          <w:p w:rsidR="0012330F" w:rsidRPr="00666004" w:rsidRDefault="00563336" w:rsidP="0012330F">
            <w:pPr>
              <w:jc w:val="center"/>
            </w:pPr>
            <w:r w:rsidRPr="00E11D44">
              <w:t>002361</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Default="0012330F" w:rsidP="0012330F">
            <w:pPr>
              <w:jc w:val="left"/>
              <w:rPr>
                <w:rFonts w:hint="eastAsia"/>
                <w:color w:val="000000"/>
                <w:sz w:val="22"/>
                <w:szCs w:val="22"/>
              </w:rPr>
            </w:pPr>
            <w:r>
              <w:rPr>
                <w:rFonts w:hint="eastAsia"/>
                <w:color w:val="000000"/>
                <w:sz w:val="22"/>
                <w:szCs w:val="22"/>
              </w:rPr>
              <w:t>富兰克林国海天颐混合型证券投资基金（</w:t>
            </w:r>
            <w:r>
              <w:rPr>
                <w:rFonts w:hint="eastAsia"/>
                <w:color w:val="000000"/>
                <w:sz w:val="22"/>
                <w:szCs w:val="22"/>
              </w:rPr>
              <w:t>A</w:t>
            </w:r>
            <w:r>
              <w:rPr>
                <w:rFonts w:hint="eastAsia"/>
                <w:color w:val="000000"/>
                <w:sz w:val="22"/>
                <w:szCs w:val="22"/>
              </w:rPr>
              <w:t>类）</w:t>
            </w:r>
          </w:p>
        </w:tc>
        <w:tc>
          <w:tcPr>
            <w:tcW w:w="1241" w:type="dxa"/>
            <w:vAlign w:val="center"/>
          </w:tcPr>
          <w:p w:rsidR="0012330F" w:rsidRPr="00666004" w:rsidRDefault="00563336" w:rsidP="0012330F">
            <w:pPr>
              <w:jc w:val="center"/>
            </w:pPr>
            <w:r w:rsidRPr="00E11D44">
              <w:t>005652</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Default="0012330F" w:rsidP="0012330F">
            <w:pPr>
              <w:jc w:val="left"/>
              <w:rPr>
                <w:rFonts w:hint="eastAsia"/>
                <w:color w:val="000000"/>
                <w:sz w:val="22"/>
                <w:szCs w:val="22"/>
              </w:rPr>
            </w:pPr>
            <w:r>
              <w:rPr>
                <w:rFonts w:hint="eastAsia"/>
                <w:color w:val="000000"/>
                <w:sz w:val="22"/>
                <w:szCs w:val="22"/>
              </w:rPr>
              <w:t>富兰克林国海匠心精选混合型证券投资基金（</w:t>
            </w:r>
            <w:r>
              <w:rPr>
                <w:rFonts w:hint="eastAsia"/>
                <w:color w:val="000000"/>
                <w:sz w:val="22"/>
                <w:szCs w:val="22"/>
              </w:rPr>
              <w:t>A</w:t>
            </w:r>
            <w:r>
              <w:rPr>
                <w:rFonts w:hint="eastAsia"/>
                <w:color w:val="000000"/>
                <w:sz w:val="22"/>
                <w:szCs w:val="22"/>
              </w:rPr>
              <w:t>类）</w:t>
            </w:r>
          </w:p>
        </w:tc>
        <w:tc>
          <w:tcPr>
            <w:tcW w:w="1241" w:type="dxa"/>
            <w:vAlign w:val="center"/>
          </w:tcPr>
          <w:p w:rsidR="0012330F" w:rsidRPr="00666004" w:rsidRDefault="00563336" w:rsidP="0012330F">
            <w:pPr>
              <w:jc w:val="center"/>
            </w:pPr>
            <w:r w:rsidRPr="00E11D44">
              <w:t>011980</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Default="0012330F" w:rsidP="0012330F">
            <w:pPr>
              <w:jc w:val="left"/>
              <w:rPr>
                <w:rFonts w:hint="eastAsia"/>
                <w:color w:val="000000"/>
                <w:sz w:val="22"/>
                <w:szCs w:val="22"/>
              </w:rPr>
            </w:pPr>
            <w:r>
              <w:rPr>
                <w:rFonts w:hint="eastAsia"/>
                <w:color w:val="000000"/>
                <w:sz w:val="22"/>
                <w:szCs w:val="22"/>
              </w:rPr>
              <w:t>富兰克林国海中国收益证券投资基金</w:t>
            </w:r>
          </w:p>
        </w:tc>
        <w:tc>
          <w:tcPr>
            <w:tcW w:w="1241" w:type="dxa"/>
            <w:vAlign w:val="center"/>
          </w:tcPr>
          <w:p w:rsidR="0012330F" w:rsidRPr="00666004" w:rsidRDefault="00563336" w:rsidP="0012330F">
            <w:pPr>
              <w:jc w:val="center"/>
            </w:pPr>
            <w:r w:rsidRPr="00E11D44">
              <w:rPr>
                <w:bCs/>
              </w:rPr>
              <w:t>450001</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Default="0012330F" w:rsidP="0012330F">
            <w:pPr>
              <w:jc w:val="left"/>
              <w:rPr>
                <w:rFonts w:hint="eastAsia"/>
                <w:color w:val="000000"/>
                <w:sz w:val="22"/>
                <w:szCs w:val="22"/>
              </w:rPr>
            </w:pPr>
            <w:r>
              <w:rPr>
                <w:rFonts w:hint="eastAsia"/>
                <w:color w:val="000000"/>
                <w:sz w:val="22"/>
                <w:szCs w:val="22"/>
              </w:rPr>
              <w:t>富兰克林国海弹性市值混合型证券投资基金</w:t>
            </w:r>
          </w:p>
        </w:tc>
        <w:tc>
          <w:tcPr>
            <w:tcW w:w="1241" w:type="dxa"/>
            <w:vAlign w:val="center"/>
          </w:tcPr>
          <w:p w:rsidR="0012330F" w:rsidRPr="00666004" w:rsidRDefault="00563336" w:rsidP="0012330F">
            <w:pPr>
              <w:jc w:val="center"/>
            </w:pPr>
            <w:r w:rsidRPr="00E11D44">
              <w:rPr>
                <w:bCs/>
              </w:rPr>
              <w:t>450002</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Default="0012330F" w:rsidP="0012330F">
            <w:pPr>
              <w:jc w:val="left"/>
              <w:rPr>
                <w:rFonts w:hint="eastAsia"/>
                <w:color w:val="000000"/>
                <w:sz w:val="22"/>
                <w:szCs w:val="22"/>
              </w:rPr>
            </w:pPr>
            <w:r>
              <w:rPr>
                <w:rFonts w:hint="eastAsia"/>
                <w:color w:val="000000"/>
                <w:sz w:val="22"/>
                <w:szCs w:val="22"/>
              </w:rPr>
              <w:t>富兰克林国海潜力组合混合型证券投资基金（</w:t>
            </w:r>
            <w:r>
              <w:rPr>
                <w:rFonts w:hint="eastAsia"/>
                <w:color w:val="000000"/>
                <w:sz w:val="22"/>
                <w:szCs w:val="22"/>
              </w:rPr>
              <w:t>A</w:t>
            </w:r>
            <w:r>
              <w:rPr>
                <w:rFonts w:hint="eastAsia"/>
                <w:color w:val="000000"/>
                <w:sz w:val="22"/>
                <w:szCs w:val="22"/>
              </w:rPr>
              <w:t>类）</w:t>
            </w:r>
            <w:r>
              <w:rPr>
                <w:rFonts w:hint="eastAsia"/>
                <w:color w:val="000000"/>
                <w:sz w:val="22"/>
                <w:szCs w:val="22"/>
              </w:rPr>
              <w:t>-</w:t>
            </w:r>
            <w:r>
              <w:rPr>
                <w:rFonts w:hint="eastAsia"/>
                <w:color w:val="000000"/>
                <w:sz w:val="22"/>
                <w:szCs w:val="22"/>
              </w:rPr>
              <w:t>人民币</w:t>
            </w:r>
          </w:p>
        </w:tc>
        <w:tc>
          <w:tcPr>
            <w:tcW w:w="1241" w:type="dxa"/>
            <w:vAlign w:val="center"/>
          </w:tcPr>
          <w:p w:rsidR="0012330F" w:rsidRPr="00666004" w:rsidRDefault="00563336" w:rsidP="0012330F">
            <w:pPr>
              <w:jc w:val="center"/>
            </w:pPr>
            <w:r w:rsidRPr="00E11D44">
              <w:rPr>
                <w:bCs/>
              </w:rPr>
              <w:t>450003</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Default="0012330F" w:rsidP="0012330F">
            <w:pPr>
              <w:jc w:val="left"/>
              <w:rPr>
                <w:rFonts w:hint="eastAsia"/>
                <w:color w:val="000000"/>
                <w:sz w:val="22"/>
                <w:szCs w:val="22"/>
              </w:rPr>
            </w:pPr>
            <w:r>
              <w:rPr>
                <w:rFonts w:hint="eastAsia"/>
                <w:color w:val="000000"/>
                <w:sz w:val="22"/>
                <w:szCs w:val="22"/>
              </w:rPr>
              <w:t>富兰克林国海深化价值混合型证券投资基金（</w:t>
            </w:r>
            <w:r>
              <w:rPr>
                <w:rFonts w:hint="eastAsia"/>
                <w:color w:val="000000"/>
                <w:sz w:val="22"/>
                <w:szCs w:val="22"/>
              </w:rPr>
              <w:t>A</w:t>
            </w:r>
            <w:r>
              <w:rPr>
                <w:rFonts w:hint="eastAsia"/>
                <w:color w:val="000000"/>
                <w:sz w:val="22"/>
                <w:szCs w:val="22"/>
              </w:rPr>
              <w:t>类）</w:t>
            </w:r>
          </w:p>
        </w:tc>
        <w:tc>
          <w:tcPr>
            <w:tcW w:w="1241" w:type="dxa"/>
            <w:vAlign w:val="center"/>
          </w:tcPr>
          <w:p w:rsidR="0012330F" w:rsidRPr="00666004" w:rsidRDefault="00563336" w:rsidP="0012330F">
            <w:pPr>
              <w:jc w:val="center"/>
            </w:pPr>
            <w:r w:rsidRPr="00E11D44">
              <w:rPr>
                <w:bCs/>
              </w:rPr>
              <w:t>450004</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Default="0012330F" w:rsidP="0012330F">
            <w:pPr>
              <w:jc w:val="left"/>
              <w:rPr>
                <w:rFonts w:hint="eastAsia"/>
                <w:color w:val="000000"/>
                <w:sz w:val="22"/>
                <w:szCs w:val="22"/>
              </w:rPr>
            </w:pPr>
            <w:r>
              <w:rPr>
                <w:rFonts w:hint="eastAsia"/>
                <w:color w:val="000000"/>
                <w:sz w:val="22"/>
                <w:szCs w:val="22"/>
              </w:rPr>
              <w:t>富兰克林国海强化收益债券型证券投资基金（</w:t>
            </w:r>
            <w:r>
              <w:rPr>
                <w:rFonts w:hint="eastAsia"/>
                <w:color w:val="000000"/>
                <w:sz w:val="22"/>
                <w:szCs w:val="22"/>
              </w:rPr>
              <w:t>A</w:t>
            </w:r>
            <w:r>
              <w:rPr>
                <w:rFonts w:hint="eastAsia"/>
                <w:color w:val="000000"/>
                <w:sz w:val="22"/>
                <w:szCs w:val="22"/>
              </w:rPr>
              <w:t>类）</w:t>
            </w:r>
          </w:p>
        </w:tc>
        <w:tc>
          <w:tcPr>
            <w:tcW w:w="1241" w:type="dxa"/>
            <w:vAlign w:val="center"/>
          </w:tcPr>
          <w:p w:rsidR="0012330F" w:rsidRPr="00666004" w:rsidRDefault="00563336" w:rsidP="0012330F">
            <w:pPr>
              <w:jc w:val="center"/>
            </w:pPr>
            <w:r w:rsidRPr="00E11D44">
              <w:rPr>
                <w:bCs/>
              </w:rPr>
              <w:t>450005</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Default="0012330F" w:rsidP="0012330F">
            <w:pPr>
              <w:jc w:val="left"/>
              <w:rPr>
                <w:rFonts w:hint="eastAsia"/>
                <w:color w:val="000000"/>
                <w:sz w:val="22"/>
                <w:szCs w:val="22"/>
              </w:rPr>
            </w:pPr>
            <w:r>
              <w:rPr>
                <w:rFonts w:hint="eastAsia"/>
                <w:color w:val="000000"/>
                <w:sz w:val="22"/>
                <w:szCs w:val="22"/>
              </w:rPr>
              <w:t>富兰克林国海成长动力混合型证券投资基金</w:t>
            </w:r>
          </w:p>
        </w:tc>
        <w:tc>
          <w:tcPr>
            <w:tcW w:w="1241" w:type="dxa"/>
            <w:vAlign w:val="center"/>
          </w:tcPr>
          <w:p w:rsidR="0012330F" w:rsidRPr="00666004" w:rsidRDefault="00563336" w:rsidP="0012330F">
            <w:pPr>
              <w:jc w:val="center"/>
            </w:pPr>
            <w:r w:rsidRPr="00E11D44">
              <w:rPr>
                <w:bCs/>
              </w:rPr>
              <w:t>450007</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Default="0012330F" w:rsidP="0012330F">
            <w:pPr>
              <w:jc w:val="left"/>
              <w:rPr>
                <w:rFonts w:hint="eastAsia"/>
                <w:color w:val="000000"/>
                <w:sz w:val="22"/>
                <w:szCs w:val="22"/>
              </w:rPr>
            </w:pPr>
            <w:r>
              <w:rPr>
                <w:rFonts w:hint="eastAsia"/>
                <w:color w:val="000000"/>
                <w:sz w:val="22"/>
                <w:szCs w:val="22"/>
              </w:rPr>
              <w:t>富兰克林国海沪深</w:t>
            </w:r>
            <w:r>
              <w:rPr>
                <w:rFonts w:hint="eastAsia"/>
                <w:color w:val="000000"/>
                <w:sz w:val="22"/>
                <w:szCs w:val="22"/>
              </w:rPr>
              <w:t>300</w:t>
            </w:r>
            <w:r>
              <w:rPr>
                <w:rFonts w:hint="eastAsia"/>
                <w:color w:val="000000"/>
                <w:sz w:val="22"/>
                <w:szCs w:val="22"/>
              </w:rPr>
              <w:t>指数增强型证券投资基金</w:t>
            </w:r>
          </w:p>
        </w:tc>
        <w:tc>
          <w:tcPr>
            <w:tcW w:w="1241" w:type="dxa"/>
            <w:vAlign w:val="center"/>
          </w:tcPr>
          <w:p w:rsidR="0012330F" w:rsidRPr="00666004" w:rsidRDefault="00563336" w:rsidP="0012330F">
            <w:pPr>
              <w:jc w:val="center"/>
            </w:pPr>
            <w:r w:rsidRPr="00E11D44">
              <w:rPr>
                <w:bCs/>
              </w:rPr>
              <w:t>450008</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Default="0012330F" w:rsidP="0012330F">
            <w:pPr>
              <w:jc w:val="left"/>
              <w:rPr>
                <w:rFonts w:hint="eastAsia"/>
                <w:color w:val="000000"/>
                <w:sz w:val="22"/>
                <w:szCs w:val="22"/>
              </w:rPr>
            </w:pPr>
            <w:r>
              <w:rPr>
                <w:rFonts w:hint="eastAsia"/>
                <w:color w:val="000000"/>
                <w:sz w:val="22"/>
                <w:szCs w:val="22"/>
              </w:rPr>
              <w:t>富兰克林国海中小盘股票型证券投资基金（</w:t>
            </w:r>
            <w:r>
              <w:rPr>
                <w:rFonts w:hint="eastAsia"/>
                <w:color w:val="000000"/>
                <w:sz w:val="22"/>
                <w:szCs w:val="22"/>
              </w:rPr>
              <w:t>A</w:t>
            </w:r>
            <w:r>
              <w:rPr>
                <w:rFonts w:hint="eastAsia"/>
                <w:color w:val="000000"/>
                <w:sz w:val="22"/>
                <w:szCs w:val="22"/>
              </w:rPr>
              <w:t>类）</w:t>
            </w:r>
          </w:p>
        </w:tc>
        <w:tc>
          <w:tcPr>
            <w:tcW w:w="1241" w:type="dxa"/>
            <w:vAlign w:val="center"/>
          </w:tcPr>
          <w:p w:rsidR="0012330F" w:rsidRPr="00666004" w:rsidRDefault="00563336" w:rsidP="0012330F">
            <w:pPr>
              <w:jc w:val="center"/>
            </w:pPr>
            <w:r w:rsidRPr="00E11D44">
              <w:rPr>
                <w:bCs/>
              </w:rPr>
              <w:t>450009</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Default="0012330F" w:rsidP="0012330F">
            <w:pPr>
              <w:jc w:val="left"/>
              <w:rPr>
                <w:rFonts w:hint="eastAsia"/>
                <w:color w:val="000000"/>
                <w:sz w:val="22"/>
                <w:szCs w:val="22"/>
              </w:rPr>
            </w:pPr>
            <w:r>
              <w:rPr>
                <w:rFonts w:hint="eastAsia"/>
                <w:color w:val="000000"/>
                <w:sz w:val="22"/>
                <w:szCs w:val="22"/>
              </w:rPr>
              <w:t>富兰克林国海策略回报灵活配置混合型证券投资基金</w:t>
            </w:r>
          </w:p>
        </w:tc>
        <w:tc>
          <w:tcPr>
            <w:tcW w:w="1241" w:type="dxa"/>
            <w:vAlign w:val="center"/>
          </w:tcPr>
          <w:p w:rsidR="0012330F" w:rsidRPr="00666004" w:rsidRDefault="00563336" w:rsidP="0012330F">
            <w:pPr>
              <w:jc w:val="center"/>
            </w:pPr>
            <w:r w:rsidRPr="00E11D44">
              <w:rPr>
                <w:bCs/>
              </w:rPr>
              <w:t>450010</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Default="0012330F" w:rsidP="0012330F">
            <w:pPr>
              <w:jc w:val="left"/>
              <w:rPr>
                <w:rFonts w:hint="eastAsia"/>
                <w:color w:val="000000"/>
                <w:sz w:val="22"/>
                <w:szCs w:val="22"/>
              </w:rPr>
            </w:pPr>
            <w:r>
              <w:rPr>
                <w:rFonts w:hint="eastAsia"/>
                <w:color w:val="000000"/>
                <w:sz w:val="22"/>
                <w:szCs w:val="22"/>
              </w:rPr>
              <w:t>富兰克林国海研究精选混合型证券投资基金</w:t>
            </w:r>
          </w:p>
        </w:tc>
        <w:tc>
          <w:tcPr>
            <w:tcW w:w="1241" w:type="dxa"/>
            <w:vAlign w:val="center"/>
          </w:tcPr>
          <w:p w:rsidR="0012330F" w:rsidRPr="00666004" w:rsidRDefault="00563336" w:rsidP="0012330F">
            <w:pPr>
              <w:jc w:val="center"/>
            </w:pPr>
            <w:r w:rsidRPr="00E11D44">
              <w:rPr>
                <w:bCs/>
              </w:rPr>
              <w:t>450011</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Default="0012330F" w:rsidP="0012330F">
            <w:pPr>
              <w:jc w:val="left"/>
              <w:rPr>
                <w:rFonts w:hint="eastAsia"/>
                <w:color w:val="000000"/>
                <w:sz w:val="22"/>
                <w:szCs w:val="22"/>
              </w:rPr>
            </w:pPr>
            <w:r>
              <w:rPr>
                <w:rFonts w:hint="eastAsia"/>
                <w:color w:val="000000"/>
                <w:sz w:val="22"/>
                <w:szCs w:val="22"/>
              </w:rPr>
              <w:t>富兰克林国海恒久信用债券型证券投资基金（</w:t>
            </w:r>
            <w:r>
              <w:rPr>
                <w:rFonts w:hint="eastAsia"/>
                <w:color w:val="000000"/>
                <w:sz w:val="22"/>
                <w:szCs w:val="22"/>
              </w:rPr>
              <w:t>A</w:t>
            </w:r>
            <w:r>
              <w:rPr>
                <w:rFonts w:hint="eastAsia"/>
                <w:color w:val="000000"/>
                <w:sz w:val="22"/>
                <w:szCs w:val="22"/>
              </w:rPr>
              <w:t>类）</w:t>
            </w:r>
          </w:p>
        </w:tc>
        <w:tc>
          <w:tcPr>
            <w:tcW w:w="1241" w:type="dxa"/>
            <w:vAlign w:val="center"/>
          </w:tcPr>
          <w:p w:rsidR="0012330F" w:rsidRPr="00666004" w:rsidRDefault="00563336" w:rsidP="0012330F">
            <w:pPr>
              <w:jc w:val="center"/>
            </w:pPr>
            <w:r w:rsidRPr="00E11D44">
              <w:rPr>
                <w:bCs/>
              </w:rPr>
              <w:t>450018</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Default="0012330F" w:rsidP="0012330F">
            <w:pPr>
              <w:jc w:val="left"/>
              <w:rPr>
                <w:rFonts w:hint="eastAsia"/>
                <w:color w:val="000000"/>
                <w:sz w:val="22"/>
                <w:szCs w:val="22"/>
              </w:rPr>
            </w:pPr>
            <w:r>
              <w:rPr>
                <w:rFonts w:hint="eastAsia"/>
                <w:color w:val="000000"/>
                <w:sz w:val="22"/>
                <w:szCs w:val="22"/>
              </w:rPr>
              <w:t>富兰克林国海亚洲（除日本）机会股票型证券投资基金</w:t>
            </w:r>
          </w:p>
        </w:tc>
        <w:tc>
          <w:tcPr>
            <w:tcW w:w="1241" w:type="dxa"/>
            <w:vAlign w:val="center"/>
          </w:tcPr>
          <w:p w:rsidR="0012330F" w:rsidRPr="00666004" w:rsidRDefault="00563336" w:rsidP="0012330F">
            <w:pPr>
              <w:jc w:val="center"/>
            </w:pPr>
            <w:r w:rsidRPr="00E11D44">
              <w:rPr>
                <w:bCs/>
              </w:rPr>
              <w:t>457001</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Pr="00563336" w:rsidRDefault="00563336" w:rsidP="0012330F">
            <w:pPr>
              <w:jc w:val="left"/>
              <w:rPr>
                <w:rFonts w:hint="eastAsia"/>
                <w:color w:val="000000"/>
                <w:sz w:val="22"/>
                <w:szCs w:val="22"/>
              </w:rPr>
            </w:pPr>
            <w:r w:rsidRPr="00563336">
              <w:rPr>
                <w:rFonts w:hint="eastAsia"/>
                <w:color w:val="000000"/>
                <w:sz w:val="22"/>
                <w:szCs w:val="22"/>
              </w:rPr>
              <w:t>富兰克林国海恒利债券型证券投资基金（</w:t>
            </w:r>
            <w:r w:rsidRPr="00563336">
              <w:rPr>
                <w:rFonts w:hint="eastAsia"/>
                <w:color w:val="000000"/>
                <w:sz w:val="22"/>
                <w:szCs w:val="22"/>
              </w:rPr>
              <w:t>LOF</w:t>
            </w:r>
            <w:r w:rsidRPr="00563336">
              <w:rPr>
                <w:rFonts w:hint="eastAsia"/>
                <w:color w:val="000000"/>
                <w:sz w:val="22"/>
                <w:szCs w:val="22"/>
              </w:rPr>
              <w:t>）（</w:t>
            </w:r>
            <w:r w:rsidRPr="00563336">
              <w:rPr>
                <w:rFonts w:hint="eastAsia"/>
                <w:color w:val="000000"/>
                <w:sz w:val="22"/>
                <w:szCs w:val="22"/>
              </w:rPr>
              <w:t>A</w:t>
            </w:r>
            <w:r w:rsidRPr="00563336">
              <w:rPr>
                <w:rFonts w:hint="eastAsia"/>
                <w:color w:val="000000"/>
                <w:sz w:val="22"/>
                <w:szCs w:val="22"/>
              </w:rPr>
              <w:t>类）</w:t>
            </w:r>
          </w:p>
        </w:tc>
        <w:tc>
          <w:tcPr>
            <w:tcW w:w="1241" w:type="dxa"/>
            <w:vAlign w:val="center"/>
          </w:tcPr>
          <w:p w:rsidR="0012330F" w:rsidRPr="00666004" w:rsidRDefault="00563336" w:rsidP="0012330F">
            <w:pPr>
              <w:jc w:val="center"/>
            </w:pPr>
            <w:r w:rsidRPr="00563336">
              <w:t>164509</w:t>
            </w:r>
          </w:p>
        </w:tc>
      </w:tr>
      <w:tr w:rsidR="0012330F" w:rsidRPr="00666004" w:rsidTr="00836871">
        <w:trPr>
          <w:jc w:val="center"/>
        </w:trPr>
        <w:tc>
          <w:tcPr>
            <w:tcW w:w="696" w:type="dxa"/>
          </w:tcPr>
          <w:p w:rsidR="0012330F" w:rsidRPr="00666004" w:rsidRDefault="0012330F" w:rsidP="0012330F">
            <w:pPr>
              <w:pStyle w:val="aa"/>
              <w:numPr>
                <w:ilvl w:val="0"/>
                <w:numId w:val="5"/>
              </w:numPr>
              <w:spacing w:line="360" w:lineRule="auto"/>
              <w:ind w:firstLineChars="0"/>
              <w:jc w:val="right"/>
              <w:rPr>
                <w:sz w:val="24"/>
              </w:rPr>
            </w:pPr>
          </w:p>
        </w:tc>
        <w:tc>
          <w:tcPr>
            <w:tcW w:w="6415" w:type="dxa"/>
            <w:vAlign w:val="center"/>
          </w:tcPr>
          <w:p w:rsidR="0012330F" w:rsidRDefault="00563336" w:rsidP="0012330F">
            <w:pPr>
              <w:jc w:val="left"/>
              <w:rPr>
                <w:rFonts w:hint="eastAsia"/>
                <w:color w:val="000000"/>
                <w:sz w:val="22"/>
                <w:szCs w:val="22"/>
              </w:rPr>
            </w:pPr>
            <w:r w:rsidRPr="00563336">
              <w:rPr>
                <w:rFonts w:hint="eastAsia"/>
                <w:color w:val="000000"/>
                <w:sz w:val="22"/>
                <w:szCs w:val="22"/>
              </w:rPr>
              <w:t>富兰克林国海中证</w:t>
            </w:r>
            <w:r w:rsidRPr="00563336">
              <w:rPr>
                <w:rFonts w:hint="eastAsia"/>
                <w:color w:val="000000"/>
                <w:sz w:val="22"/>
                <w:szCs w:val="22"/>
              </w:rPr>
              <w:t>100</w:t>
            </w:r>
            <w:r w:rsidRPr="00563336">
              <w:rPr>
                <w:rFonts w:hint="eastAsia"/>
                <w:color w:val="000000"/>
                <w:sz w:val="22"/>
                <w:szCs w:val="22"/>
              </w:rPr>
              <w:t>指数增强型证券投资基金（</w:t>
            </w:r>
            <w:r w:rsidRPr="00563336">
              <w:rPr>
                <w:rFonts w:hint="eastAsia"/>
                <w:color w:val="000000"/>
                <w:sz w:val="22"/>
                <w:szCs w:val="22"/>
              </w:rPr>
              <w:t>LOF</w:t>
            </w:r>
            <w:r w:rsidRPr="00563336">
              <w:rPr>
                <w:rFonts w:hint="eastAsia"/>
                <w:color w:val="000000"/>
                <w:sz w:val="22"/>
                <w:szCs w:val="22"/>
              </w:rPr>
              <w:t>）</w:t>
            </w:r>
          </w:p>
        </w:tc>
        <w:tc>
          <w:tcPr>
            <w:tcW w:w="1241" w:type="dxa"/>
            <w:vAlign w:val="center"/>
          </w:tcPr>
          <w:p w:rsidR="0012330F" w:rsidRPr="00666004" w:rsidRDefault="00563336" w:rsidP="0012330F">
            <w:pPr>
              <w:jc w:val="center"/>
            </w:pPr>
            <w:r w:rsidRPr="00563336">
              <w:t>164508</w:t>
            </w:r>
          </w:p>
        </w:tc>
      </w:tr>
    </w:tbl>
    <w:p w:rsidR="00EC3D0E" w:rsidRPr="00C9143F" w:rsidRDefault="00EC3D0E" w:rsidP="00EC3D0E">
      <w:pPr>
        <w:widowControl/>
        <w:spacing w:after="100" w:afterAutospacing="1" w:line="360" w:lineRule="auto"/>
        <w:ind w:left="359"/>
        <w:jc w:val="left"/>
        <w:rPr>
          <w:rFonts w:hAnsi="宋体" w:hint="eastAsia"/>
          <w:sz w:val="24"/>
        </w:rPr>
      </w:pPr>
    </w:p>
    <w:p w:rsidR="007A3A44" w:rsidRPr="00C9143F" w:rsidRDefault="007A3A44" w:rsidP="00463A52">
      <w:pPr>
        <w:widowControl/>
        <w:numPr>
          <w:ilvl w:val="0"/>
          <w:numId w:val="1"/>
        </w:numPr>
        <w:tabs>
          <w:tab w:val="clear" w:pos="780"/>
          <w:tab w:val="num" w:pos="360"/>
        </w:tabs>
        <w:spacing w:after="100" w:afterAutospacing="1" w:line="360" w:lineRule="auto"/>
        <w:ind w:leftChars="171" w:left="359" w:firstLine="0"/>
        <w:jc w:val="left"/>
        <w:rPr>
          <w:rFonts w:hAnsi="宋体" w:hint="eastAsia"/>
          <w:sz w:val="24"/>
        </w:rPr>
      </w:pPr>
      <w:r w:rsidRPr="00C9143F">
        <w:rPr>
          <w:rFonts w:hAnsi="宋体" w:hint="eastAsia"/>
          <w:sz w:val="24"/>
        </w:rPr>
        <w:t>申购费率优惠方式</w:t>
      </w:r>
      <w:r w:rsidR="00AB04CC" w:rsidRPr="00C9143F">
        <w:rPr>
          <w:rFonts w:hAnsi="宋体" w:hint="eastAsia"/>
          <w:sz w:val="24"/>
        </w:rPr>
        <w:t>：</w:t>
      </w:r>
    </w:p>
    <w:p w:rsidR="00463A52" w:rsidRDefault="009B3F52" w:rsidP="00BB78E8">
      <w:pPr>
        <w:widowControl/>
        <w:spacing w:line="360" w:lineRule="auto"/>
        <w:ind w:firstLineChars="200" w:firstLine="480"/>
        <w:jc w:val="left"/>
        <w:rPr>
          <w:sz w:val="24"/>
        </w:rPr>
      </w:pPr>
      <w:r w:rsidRPr="00C9143F">
        <w:rPr>
          <w:rFonts w:hint="eastAsia"/>
          <w:sz w:val="24"/>
        </w:rPr>
        <w:t>费率优惠</w:t>
      </w:r>
      <w:r w:rsidR="00463A52" w:rsidRPr="00C9143F">
        <w:rPr>
          <w:rFonts w:hint="eastAsia"/>
          <w:sz w:val="24"/>
        </w:rPr>
        <w:t>活动期间，投资者通过</w:t>
      </w:r>
      <w:r w:rsidR="0012330F">
        <w:rPr>
          <w:rFonts w:hAnsi="宋体" w:hint="eastAsia"/>
          <w:sz w:val="24"/>
        </w:rPr>
        <w:t>兴业</w:t>
      </w:r>
      <w:r w:rsidR="0012330F" w:rsidRPr="004814A5">
        <w:rPr>
          <w:rFonts w:hAnsi="宋体" w:hint="eastAsia"/>
          <w:sz w:val="24"/>
        </w:rPr>
        <w:t>证券</w:t>
      </w:r>
      <w:r w:rsidR="00463A52" w:rsidRPr="00C9143F">
        <w:rPr>
          <w:rFonts w:hint="eastAsia"/>
          <w:sz w:val="24"/>
        </w:rPr>
        <w:t>申购、定期定额投资</w:t>
      </w:r>
      <w:r w:rsidR="00463A52" w:rsidRPr="00C9143F">
        <w:rPr>
          <w:rFonts w:hAnsi="宋体" w:hint="eastAsia"/>
          <w:sz w:val="24"/>
        </w:rPr>
        <w:t>上述基金</w:t>
      </w:r>
      <w:r w:rsidR="00463A52" w:rsidRPr="00C9143F">
        <w:rPr>
          <w:rFonts w:hint="eastAsia"/>
          <w:sz w:val="24"/>
        </w:rPr>
        <w:t>，可享受费率优惠，具体折扣费率以</w:t>
      </w:r>
      <w:r w:rsidR="0012330F">
        <w:rPr>
          <w:rFonts w:hAnsi="宋体" w:hint="eastAsia"/>
          <w:sz w:val="24"/>
        </w:rPr>
        <w:t>兴业</w:t>
      </w:r>
      <w:r w:rsidR="0012330F" w:rsidRPr="004814A5">
        <w:rPr>
          <w:rFonts w:hAnsi="宋体" w:hint="eastAsia"/>
          <w:sz w:val="24"/>
        </w:rPr>
        <w:t>证券</w:t>
      </w:r>
      <w:r w:rsidR="00463A52" w:rsidRPr="00C9143F">
        <w:rPr>
          <w:rFonts w:hint="eastAsia"/>
          <w:sz w:val="24"/>
        </w:rPr>
        <w:t>网站公示为准。</w:t>
      </w:r>
    </w:p>
    <w:p w:rsidR="001F01F4" w:rsidRPr="00C9143F" w:rsidRDefault="001F01F4" w:rsidP="00BB78E8">
      <w:pPr>
        <w:widowControl/>
        <w:spacing w:line="360" w:lineRule="auto"/>
        <w:ind w:firstLineChars="200" w:firstLine="440"/>
        <w:jc w:val="left"/>
        <w:rPr>
          <w:rFonts w:hAnsi="宋体" w:hint="eastAsia"/>
          <w:sz w:val="24"/>
        </w:rPr>
      </w:pPr>
      <w:r>
        <w:rPr>
          <w:rFonts w:hint="eastAsia"/>
          <w:color w:val="000000"/>
          <w:sz w:val="22"/>
          <w:szCs w:val="22"/>
        </w:rPr>
        <w:t>富兰克林国海岁岁恒丰定期开放债券型证券投资基金（</w:t>
      </w:r>
      <w:r>
        <w:rPr>
          <w:rFonts w:hint="eastAsia"/>
          <w:color w:val="000000"/>
          <w:sz w:val="22"/>
          <w:szCs w:val="22"/>
        </w:rPr>
        <w:t>A</w:t>
      </w:r>
      <w:r>
        <w:rPr>
          <w:rFonts w:hint="eastAsia"/>
          <w:color w:val="000000"/>
          <w:sz w:val="22"/>
          <w:szCs w:val="22"/>
        </w:rPr>
        <w:t>类）、富兰克林国海健康优质生活股票型证券投资基金、富兰克林国海大中华精选混合型证券投资基金</w:t>
      </w:r>
      <w:r>
        <w:rPr>
          <w:rFonts w:hint="eastAsia"/>
          <w:color w:val="000000"/>
          <w:sz w:val="22"/>
          <w:szCs w:val="22"/>
        </w:rPr>
        <w:t>-</w:t>
      </w:r>
      <w:r>
        <w:rPr>
          <w:rFonts w:hint="eastAsia"/>
          <w:color w:val="000000"/>
          <w:sz w:val="22"/>
          <w:szCs w:val="22"/>
        </w:rPr>
        <w:t>人民币、富兰克林国海金融地产灵活配置混合型证券投资基金（</w:t>
      </w:r>
      <w:r>
        <w:rPr>
          <w:rFonts w:hint="eastAsia"/>
          <w:color w:val="000000"/>
          <w:sz w:val="22"/>
          <w:szCs w:val="22"/>
        </w:rPr>
        <w:t>A</w:t>
      </w:r>
      <w:r>
        <w:rPr>
          <w:rFonts w:hint="eastAsia"/>
          <w:color w:val="000000"/>
          <w:sz w:val="22"/>
          <w:szCs w:val="22"/>
        </w:rPr>
        <w:t>类）未在兴业证券开通</w:t>
      </w:r>
      <w:r w:rsidRPr="00C9143F">
        <w:rPr>
          <w:rFonts w:hint="eastAsia"/>
          <w:sz w:val="24"/>
        </w:rPr>
        <w:t>定期定额投资</w:t>
      </w:r>
      <w:r>
        <w:rPr>
          <w:rFonts w:hint="eastAsia"/>
          <w:sz w:val="24"/>
        </w:rPr>
        <w:t>业务。</w:t>
      </w:r>
    </w:p>
    <w:p w:rsidR="00944A08" w:rsidRDefault="009D54A1" w:rsidP="00463A52">
      <w:pPr>
        <w:widowControl/>
        <w:spacing w:afterLines="50" w:line="360" w:lineRule="auto"/>
        <w:ind w:firstLineChars="200" w:firstLine="480"/>
        <w:jc w:val="left"/>
        <w:rPr>
          <w:rFonts w:hAnsi="宋体"/>
          <w:sz w:val="24"/>
        </w:rPr>
      </w:pPr>
      <w:r w:rsidRPr="00C9143F">
        <w:rPr>
          <w:rFonts w:hAnsi="宋体" w:hint="eastAsia"/>
          <w:sz w:val="24"/>
        </w:rPr>
        <w:t>相关</w:t>
      </w:r>
      <w:r w:rsidR="00DE0067" w:rsidRPr="00C9143F">
        <w:rPr>
          <w:rFonts w:hAnsi="宋体"/>
          <w:sz w:val="24"/>
        </w:rPr>
        <w:t>基金的原申购费率，参见基金合同</w:t>
      </w:r>
      <w:r w:rsidR="00DE0067" w:rsidRPr="00C9143F">
        <w:rPr>
          <w:rFonts w:hAnsi="宋体" w:hint="eastAsia"/>
          <w:sz w:val="24"/>
        </w:rPr>
        <w:t>、更新的</w:t>
      </w:r>
      <w:r w:rsidR="00DE0067" w:rsidRPr="00C9143F">
        <w:rPr>
          <w:rFonts w:hAnsi="宋体"/>
          <w:sz w:val="24"/>
        </w:rPr>
        <w:t>招募说明书</w:t>
      </w:r>
      <w:r w:rsidR="002715C8" w:rsidRPr="00C9143F">
        <w:rPr>
          <w:rFonts w:hAnsi="宋体" w:hint="eastAsia"/>
          <w:sz w:val="24"/>
        </w:rPr>
        <w:t>、</w:t>
      </w:r>
      <w:r w:rsidR="002715C8" w:rsidRPr="00C9143F">
        <w:rPr>
          <w:rFonts w:hAnsi="宋体"/>
          <w:sz w:val="24"/>
        </w:rPr>
        <w:t>产品资料概要</w:t>
      </w:r>
      <w:r w:rsidR="00DE0067" w:rsidRPr="00C9143F">
        <w:rPr>
          <w:rFonts w:hAnsi="宋体"/>
          <w:sz w:val="24"/>
        </w:rPr>
        <w:t>及本公司发布的最新相关公告。</w:t>
      </w:r>
    </w:p>
    <w:p w:rsidR="004814A5" w:rsidRPr="00C9143F" w:rsidRDefault="004814A5" w:rsidP="00463A52">
      <w:pPr>
        <w:widowControl/>
        <w:spacing w:afterLines="50" w:line="360" w:lineRule="auto"/>
        <w:ind w:firstLineChars="200" w:firstLine="480"/>
        <w:jc w:val="left"/>
        <w:rPr>
          <w:rFonts w:hint="eastAsia"/>
          <w:sz w:val="24"/>
        </w:rPr>
      </w:pPr>
    </w:p>
    <w:p w:rsidR="004814A5" w:rsidRPr="004814A5" w:rsidRDefault="004814A5" w:rsidP="004814A5">
      <w:pPr>
        <w:widowControl/>
        <w:numPr>
          <w:ilvl w:val="0"/>
          <w:numId w:val="1"/>
        </w:numPr>
        <w:tabs>
          <w:tab w:val="clear" w:pos="780"/>
          <w:tab w:val="num" w:pos="360"/>
        </w:tabs>
        <w:spacing w:after="100" w:afterAutospacing="1" w:line="360" w:lineRule="auto"/>
        <w:ind w:leftChars="171" w:left="359" w:firstLine="0"/>
        <w:jc w:val="left"/>
        <w:rPr>
          <w:rFonts w:hAnsi="宋体"/>
          <w:sz w:val="24"/>
        </w:rPr>
      </w:pPr>
      <w:r w:rsidRPr="004814A5">
        <w:rPr>
          <w:rFonts w:hAnsi="宋体" w:hint="eastAsia"/>
          <w:sz w:val="24"/>
        </w:rPr>
        <w:t>重要提示：</w:t>
      </w:r>
      <w:r w:rsidRPr="004814A5">
        <w:rPr>
          <w:rFonts w:hAnsi="宋体" w:hint="eastAsia"/>
          <w:sz w:val="24"/>
        </w:rPr>
        <w:t xml:space="preserve"> </w:t>
      </w:r>
    </w:p>
    <w:p w:rsidR="004814A5" w:rsidRPr="004814A5" w:rsidRDefault="004814A5" w:rsidP="004814A5">
      <w:pPr>
        <w:widowControl/>
        <w:spacing w:afterLines="50" w:line="360" w:lineRule="auto"/>
        <w:ind w:firstLineChars="200" w:firstLine="480"/>
        <w:jc w:val="left"/>
        <w:rPr>
          <w:rFonts w:hAnsi="宋体"/>
          <w:sz w:val="24"/>
        </w:rPr>
      </w:pPr>
      <w:r w:rsidRPr="004814A5">
        <w:rPr>
          <w:rFonts w:hAnsi="宋体" w:hint="eastAsia"/>
          <w:sz w:val="24"/>
        </w:rPr>
        <w:t>1</w:t>
      </w:r>
      <w:r w:rsidRPr="004814A5">
        <w:rPr>
          <w:rFonts w:hAnsi="宋体" w:hint="eastAsia"/>
          <w:sz w:val="24"/>
        </w:rPr>
        <w:t>．本公告解释权归本公司所有。</w:t>
      </w:r>
    </w:p>
    <w:p w:rsidR="004814A5" w:rsidRPr="004814A5" w:rsidRDefault="004814A5" w:rsidP="004814A5">
      <w:pPr>
        <w:widowControl/>
        <w:spacing w:afterLines="50" w:line="360" w:lineRule="auto"/>
        <w:ind w:firstLineChars="200" w:firstLine="480"/>
        <w:jc w:val="left"/>
        <w:rPr>
          <w:rFonts w:hAnsi="宋体"/>
          <w:sz w:val="24"/>
        </w:rPr>
      </w:pPr>
      <w:r w:rsidRPr="004814A5">
        <w:rPr>
          <w:rFonts w:hAnsi="宋体" w:hint="eastAsia"/>
          <w:sz w:val="24"/>
        </w:rPr>
        <w:t>2</w:t>
      </w:r>
      <w:r w:rsidRPr="004814A5">
        <w:rPr>
          <w:rFonts w:hAnsi="宋体" w:hint="eastAsia"/>
          <w:sz w:val="24"/>
        </w:rPr>
        <w:t>．投资者欲了解详细信息，请仔细阅读相关产品的基金合同、招募说明书、产品资料概要和《国海富兰克林基金管理公司开放式基金业务管理规则》。</w:t>
      </w:r>
    </w:p>
    <w:p w:rsidR="004814A5" w:rsidRPr="004814A5" w:rsidRDefault="004814A5" w:rsidP="004814A5">
      <w:pPr>
        <w:widowControl/>
        <w:spacing w:afterLines="50" w:line="360" w:lineRule="auto"/>
        <w:ind w:firstLineChars="200" w:firstLine="480"/>
        <w:jc w:val="left"/>
        <w:rPr>
          <w:rFonts w:hAnsi="宋体"/>
          <w:sz w:val="24"/>
        </w:rPr>
      </w:pPr>
      <w:r w:rsidRPr="004814A5">
        <w:rPr>
          <w:rFonts w:hAnsi="宋体" w:hint="eastAsia"/>
          <w:sz w:val="24"/>
        </w:rPr>
        <w:lastRenderedPageBreak/>
        <w:t>3</w:t>
      </w:r>
      <w:r w:rsidRPr="004814A5">
        <w:rPr>
          <w:rFonts w:hAnsi="宋体" w:hint="eastAsia"/>
          <w:sz w:val="24"/>
        </w:rPr>
        <w:t>．为做好新型冠状病毒感染的肺炎疫情防控工作，建议投资者通过基金销售机构提供的非现场方式进行交易活动。</w:t>
      </w:r>
    </w:p>
    <w:p w:rsidR="000262B2" w:rsidRPr="00C9143F" w:rsidRDefault="004814A5" w:rsidP="004814A5">
      <w:pPr>
        <w:widowControl/>
        <w:spacing w:afterLines="50" w:line="360" w:lineRule="auto"/>
        <w:ind w:firstLineChars="200" w:firstLine="480"/>
        <w:jc w:val="left"/>
        <w:rPr>
          <w:rFonts w:hint="eastAsia"/>
          <w:sz w:val="24"/>
        </w:rPr>
      </w:pPr>
      <w:r w:rsidRPr="004814A5">
        <w:rPr>
          <w:rFonts w:hAnsi="宋体"/>
          <w:sz w:val="24"/>
        </w:rPr>
        <w:t>4</w:t>
      </w:r>
      <w:r w:rsidRPr="004814A5">
        <w:rPr>
          <w:rFonts w:hAnsi="宋体" w:hint="eastAsia"/>
          <w:sz w:val="24"/>
        </w:rPr>
        <w:t>．风险提示：本公司承诺以诚实信用、勤勉尽责的原则管理和运用基金资产，但不保证基金盈利或最低收益。基金的过往业绩及其净值高低并不预示其未来业绩表现。基金管理人所管理的其它基金的业绩并不构成对本基金业绩表现的保证。本基金管理人提醒投资者基金投资的“买者自负”原则，基金投资风险和本金亏损由投资者自行承担。投资者应认真阅读《基金合同》、《招募说明书》和产品</w:t>
      </w:r>
      <w:r w:rsidRPr="004814A5">
        <w:rPr>
          <w:rFonts w:hAnsi="宋体"/>
          <w:sz w:val="24"/>
        </w:rPr>
        <w:t>资料概要</w:t>
      </w:r>
      <w:r w:rsidRPr="004814A5">
        <w:rPr>
          <w:rFonts w:hAnsi="宋体" w:hint="eastAsia"/>
          <w:sz w:val="24"/>
        </w:rPr>
        <w:t>等相关基金法律文件，了解所投资基金的风险收益特征，并根据自身风险承受能力选择适合自己的基金产品。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8E6ABB" w:rsidRPr="00C9143F" w:rsidRDefault="008E6ABB" w:rsidP="008E6ABB">
      <w:pPr>
        <w:widowControl/>
        <w:spacing w:line="360" w:lineRule="auto"/>
        <w:ind w:left="405"/>
        <w:jc w:val="left"/>
        <w:rPr>
          <w:sz w:val="24"/>
        </w:rPr>
      </w:pPr>
    </w:p>
    <w:p w:rsidR="007A3A44" w:rsidRPr="00C9143F" w:rsidRDefault="007A3A44" w:rsidP="0075796C">
      <w:pPr>
        <w:widowControl/>
        <w:numPr>
          <w:ilvl w:val="0"/>
          <w:numId w:val="1"/>
        </w:numPr>
        <w:tabs>
          <w:tab w:val="clear" w:pos="780"/>
          <w:tab w:val="num" w:pos="360"/>
        </w:tabs>
        <w:spacing w:after="100" w:afterAutospacing="1" w:line="360" w:lineRule="auto"/>
        <w:ind w:leftChars="171" w:left="359" w:firstLine="0"/>
        <w:jc w:val="left"/>
        <w:rPr>
          <w:rFonts w:hAnsi="宋体"/>
          <w:sz w:val="24"/>
        </w:rPr>
      </w:pPr>
      <w:r w:rsidRPr="00C9143F">
        <w:rPr>
          <w:rFonts w:hAnsi="宋体"/>
          <w:sz w:val="24"/>
        </w:rPr>
        <w:t>投资者可以通过以下途径咨询有关情况：</w:t>
      </w:r>
    </w:p>
    <w:p w:rsidR="007A3A44" w:rsidRPr="00C9143F" w:rsidRDefault="0012330F" w:rsidP="0012330F">
      <w:pPr>
        <w:widowControl/>
        <w:numPr>
          <w:ilvl w:val="0"/>
          <w:numId w:val="4"/>
        </w:numPr>
        <w:spacing w:line="360" w:lineRule="auto"/>
        <w:jc w:val="left"/>
        <w:rPr>
          <w:sz w:val="24"/>
        </w:rPr>
      </w:pPr>
      <w:r w:rsidRPr="0012330F">
        <w:rPr>
          <w:rFonts w:ascii="宋体" w:hAnsi="宋体" w:cs="Arial" w:hint="eastAsia"/>
          <w:sz w:val="24"/>
        </w:rPr>
        <w:t>兴业证券股份有限公司</w:t>
      </w:r>
    </w:p>
    <w:p w:rsidR="00463A52" w:rsidRPr="00C9143F" w:rsidRDefault="007A3A44" w:rsidP="007A3A44">
      <w:pPr>
        <w:widowControl/>
        <w:tabs>
          <w:tab w:val="num" w:pos="360"/>
        </w:tabs>
        <w:spacing w:line="360" w:lineRule="auto"/>
        <w:ind w:leftChars="171" w:left="359"/>
        <w:jc w:val="left"/>
        <w:rPr>
          <w:rFonts w:hAnsi="宋体" w:hint="eastAsia"/>
          <w:sz w:val="24"/>
        </w:rPr>
      </w:pPr>
      <w:r w:rsidRPr="00C9143F">
        <w:rPr>
          <w:rFonts w:hAnsi="宋体"/>
          <w:sz w:val="24"/>
        </w:rPr>
        <w:t>公司网址：</w:t>
      </w:r>
      <w:r w:rsidR="0012330F" w:rsidRPr="0012330F">
        <w:rPr>
          <w:rFonts w:hAnsi="宋体"/>
          <w:sz w:val="24"/>
        </w:rPr>
        <w:t>www.xyzq.com.cn</w:t>
      </w:r>
    </w:p>
    <w:p w:rsidR="00463A52" w:rsidRDefault="007A3A44" w:rsidP="00463A52">
      <w:pPr>
        <w:widowControl/>
        <w:tabs>
          <w:tab w:val="num" w:pos="360"/>
        </w:tabs>
        <w:spacing w:line="360" w:lineRule="auto"/>
        <w:ind w:leftChars="171" w:left="359"/>
        <w:jc w:val="left"/>
        <w:rPr>
          <w:rFonts w:hAnsi="宋体"/>
          <w:sz w:val="24"/>
        </w:rPr>
      </w:pPr>
      <w:r w:rsidRPr="00C9143F">
        <w:rPr>
          <w:rFonts w:hAnsi="宋体"/>
          <w:sz w:val="24"/>
        </w:rPr>
        <w:t>客服电话：</w:t>
      </w:r>
      <w:r w:rsidR="0012330F" w:rsidRPr="0012330F">
        <w:rPr>
          <w:rFonts w:hAnsi="宋体"/>
          <w:sz w:val="24"/>
        </w:rPr>
        <w:t>95562</w:t>
      </w:r>
    </w:p>
    <w:p w:rsidR="004814A5" w:rsidRPr="00C9143F" w:rsidRDefault="004814A5" w:rsidP="00463A52">
      <w:pPr>
        <w:widowControl/>
        <w:tabs>
          <w:tab w:val="num" w:pos="360"/>
        </w:tabs>
        <w:spacing w:line="360" w:lineRule="auto"/>
        <w:ind w:leftChars="171" w:left="359"/>
        <w:jc w:val="left"/>
        <w:rPr>
          <w:rFonts w:hAnsi="宋体" w:hint="eastAsia"/>
          <w:sz w:val="24"/>
        </w:rPr>
      </w:pPr>
    </w:p>
    <w:p w:rsidR="007A3A44" w:rsidRPr="00C9143F" w:rsidRDefault="007A3A44" w:rsidP="00463A52">
      <w:pPr>
        <w:widowControl/>
        <w:numPr>
          <w:ilvl w:val="0"/>
          <w:numId w:val="4"/>
        </w:numPr>
        <w:spacing w:line="360" w:lineRule="auto"/>
        <w:jc w:val="left"/>
        <w:rPr>
          <w:rFonts w:hAnsi="宋体"/>
          <w:sz w:val="24"/>
        </w:rPr>
      </w:pPr>
      <w:r w:rsidRPr="00C9143F">
        <w:rPr>
          <w:rFonts w:hAnsi="宋体"/>
          <w:sz w:val="24"/>
        </w:rPr>
        <w:t>国海富兰克林基金管理有限公司</w:t>
      </w:r>
    </w:p>
    <w:p w:rsidR="007A3A44" w:rsidRPr="00C9143F" w:rsidRDefault="007A3A44" w:rsidP="007A3A44">
      <w:pPr>
        <w:widowControl/>
        <w:tabs>
          <w:tab w:val="num" w:pos="360"/>
        </w:tabs>
        <w:spacing w:line="360" w:lineRule="auto"/>
        <w:ind w:leftChars="171" w:left="359"/>
        <w:jc w:val="left"/>
        <w:rPr>
          <w:rFonts w:hint="eastAsia"/>
          <w:sz w:val="24"/>
        </w:rPr>
      </w:pPr>
      <w:r w:rsidRPr="00C9143F">
        <w:rPr>
          <w:rFonts w:hAnsi="宋体"/>
          <w:sz w:val="24"/>
        </w:rPr>
        <w:t>公司网址：</w:t>
      </w:r>
      <w:hyperlink r:id="rId8" w:history="1">
        <w:r w:rsidRPr="00C9143F">
          <w:rPr>
            <w:sz w:val="24"/>
          </w:rPr>
          <w:t>www.ftsfund.com</w:t>
        </w:r>
      </w:hyperlink>
    </w:p>
    <w:p w:rsidR="007A3A44" w:rsidRPr="004814A5" w:rsidRDefault="007A3A44" w:rsidP="004814A5">
      <w:pPr>
        <w:widowControl/>
        <w:spacing w:after="100" w:afterAutospacing="1" w:line="360" w:lineRule="auto"/>
        <w:ind w:firstLineChars="150" w:firstLine="360"/>
        <w:jc w:val="left"/>
        <w:rPr>
          <w:rFonts w:hAnsi="宋体" w:hint="eastAsia"/>
          <w:sz w:val="24"/>
        </w:rPr>
      </w:pPr>
      <w:r w:rsidRPr="00C9143F">
        <w:rPr>
          <w:rFonts w:hAnsi="宋体"/>
          <w:sz w:val="24"/>
        </w:rPr>
        <w:t>客服</w:t>
      </w:r>
      <w:r w:rsidR="00DD7CDC" w:rsidRPr="00C9143F">
        <w:rPr>
          <w:rFonts w:hAnsi="宋体" w:hint="eastAsia"/>
          <w:sz w:val="24"/>
        </w:rPr>
        <w:t>电话</w:t>
      </w:r>
      <w:r w:rsidRPr="00C9143F">
        <w:rPr>
          <w:rFonts w:hAnsi="宋体"/>
          <w:sz w:val="24"/>
        </w:rPr>
        <w:t>：</w:t>
      </w:r>
      <w:r w:rsidRPr="00C9143F">
        <w:rPr>
          <w:rFonts w:hAnsi="宋体"/>
          <w:sz w:val="24"/>
        </w:rPr>
        <w:t>400-700-4518</w:t>
      </w:r>
      <w:r w:rsidRPr="00C9143F">
        <w:rPr>
          <w:rFonts w:hAnsi="宋体"/>
          <w:sz w:val="24"/>
        </w:rPr>
        <w:t>、</w:t>
      </w:r>
      <w:r w:rsidRPr="00C9143F">
        <w:rPr>
          <w:rFonts w:hAnsi="宋体"/>
          <w:sz w:val="24"/>
        </w:rPr>
        <w:t>95105680</w:t>
      </w:r>
      <w:r w:rsidRPr="00C9143F">
        <w:rPr>
          <w:rFonts w:hAnsi="宋体"/>
          <w:sz w:val="24"/>
        </w:rPr>
        <w:t>、</w:t>
      </w:r>
      <w:r w:rsidRPr="00C9143F">
        <w:rPr>
          <w:rFonts w:hAnsi="宋体"/>
          <w:sz w:val="24"/>
        </w:rPr>
        <w:t>021-38789555</w:t>
      </w:r>
    </w:p>
    <w:p w:rsidR="007A3A44" w:rsidRPr="00C9143F" w:rsidRDefault="007A3A44" w:rsidP="00445F9B">
      <w:pPr>
        <w:widowControl/>
        <w:spacing w:line="360" w:lineRule="auto"/>
        <w:ind w:firstLineChars="350" w:firstLine="840"/>
        <w:jc w:val="left"/>
        <w:rPr>
          <w:sz w:val="24"/>
        </w:rPr>
      </w:pPr>
      <w:r w:rsidRPr="00C9143F">
        <w:rPr>
          <w:rFonts w:hAnsi="宋体"/>
          <w:sz w:val="24"/>
        </w:rPr>
        <w:t>特此公告</w:t>
      </w:r>
      <w:r w:rsidR="00DA5610" w:rsidRPr="00C9143F">
        <w:rPr>
          <w:rFonts w:hAnsi="宋体" w:hint="eastAsia"/>
          <w:sz w:val="24"/>
        </w:rPr>
        <w:t>。</w:t>
      </w:r>
    </w:p>
    <w:p w:rsidR="007A3A44" w:rsidRPr="00C9143F" w:rsidRDefault="007A3A44" w:rsidP="007A3A44">
      <w:pPr>
        <w:widowControl/>
        <w:spacing w:line="360" w:lineRule="auto"/>
        <w:jc w:val="left"/>
        <w:rPr>
          <w:sz w:val="24"/>
        </w:rPr>
      </w:pPr>
    </w:p>
    <w:p w:rsidR="007A3A44" w:rsidRPr="00C9143F" w:rsidRDefault="007A3A44" w:rsidP="007A3A44">
      <w:pPr>
        <w:widowControl/>
        <w:spacing w:line="360" w:lineRule="atLeast"/>
        <w:jc w:val="left"/>
        <w:rPr>
          <w:spacing w:val="10"/>
          <w:kern w:val="0"/>
          <w:sz w:val="18"/>
          <w:szCs w:val="18"/>
        </w:rPr>
      </w:pPr>
    </w:p>
    <w:p w:rsidR="007A3A44" w:rsidRPr="00C9143F" w:rsidRDefault="007A3A44" w:rsidP="007A3A44">
      <w:pPr>
        <w:widowControl/>
        <w:spacing w:line="360" w:lineRule="atLeast"/>
        <w:jc w:val="left"/>
        <w:rPr>
          <w:spacing w:val="10"/>
          <w:kern w:val="0"/>
          <w:sz w:val="18"/>
          <w:szCs w:val="18"/>
        </w:rPr>
      </w:pPr>
    </w:p>
    <w:p w:rsidR="007A3A44" w:rsidRPr="00C9143F" w:rsidRDefault="007A3A44" w:rsidP="007A3A44">
      <w:pPr>
        <w:widowControl/>
        <w:spacing w:line="360" w:lineRule="auto"/>
        <w:jc w:val="right"/>
        <w:rPr>
          <w:sz w:val="24"/>
        </w:rPr>
      </w:pPr>
      <w:smartTag w:uri="urn:schemas-microsoft-com:office:smarttags" w:element="PersonName">
        <w:r w:rsidRPr="00C9143F">
          <w:rPr>
            <w:rFonts w:hAnsi="宋体"/>
            <w:sz w:val="24"/>
          </w:rPr>
          <w:t>国海富兰克林基金管理有限公司</w:t>
        </w:r>
      </w:smartTag>
    </w:p>
    <w:p w:rsidR="005A47B9" w:rsidRPr="007A3A44" w:rsidRDefault="00BB78E8" w:rsidP="00B008B4">
      <w:pPr>
        <w:widowControl/>
        <w:spacing w:line="360" w:lineRule="auto"/>
        <w:jc w:val="right"/>
        <w:rPr>
          <w:rFonts w:ascii="宋体" w:hAnsi="宋体" w:cs="宋体" w:hint="eastAsia"/>
          <w:kern w:val="0"/>
          <w:sz w:val="24"/>
        </w:rPr>
      </w:pPr>
      <w:r w:rsidRPr="00C9143F">
        <w:rPr>
          <w:rFonts w:hAnsi="宋体" w:hint="eastAsia"/>
          <w:sz w:val="24"/>
        </w:rPr>
        <w:t>20</w:t>
      </w:r>
      <w:r w:rsidR="004814A5">
        <w:rPr>
          <w:rFonts w:hAnsi="宋体"/>
          <w:sz w:val="24"/>
        </w:rPr>
        <w:t>23</w:t>
      </w:r>
      <w:r w:rsidR="00DA5610" w:rsidRPr="00C9143F">
        <w:rPr>
          <w:rFonts w:hAnsi="宋体" w:hint="eastAsia"/>
          <w:sz w:val="24"/>
        </w:rPr>
        <w:t>年</w:t>
      </w:r>
      <w:r w:rsidR="004814A5">
        <w:rPr>
          <w:rFonts w:hAnsi="宋体"/>
          <w:sz w:val="24"/>
        </w:rPr>
        <w:t>3</w:t>
      </w:r>
      <w:r w:rsidR="00DA5610" w:rsidRPr="00C9143F">
        <w:rPr>
          <w:rFonts w:hAnsi="宋体" w:hint="eastAsia"/>
          <w:sz w:val="24"/>
        </w:rPr>
        <w:t>月</w:t>
      </w:r>
      <w:r w:rsidR="00CD47C4">
        <w:rPr>
          <w:rFonts w:hAnsi="宋体"/>
          <w:sz w:val="24"/>
        </w:rPr>
        <w:t>31</w:t>
      </w:r>
      <w:r w:rsidR="00DA5610" w:rsidRPr="00C9143F">
        <w:rPr>
          <w:rFonts w:hAnsi="宋体" w:hint="eastAsia"/>
          <w:sz w:val="24"/>
        </w:rPr>
        <w:t>日</w:t>
      </w:r>
    </w:p>
    <w:sectPr w:rsidR="005A47B9" w:rsidRPr="007A3A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52" w:rsidRDefault="00494552" w:rsidP="00CC3C3E">
      <w:r>
        <w:separator/>
      </w:r>
    </w:p>
  </w:endnote>
  <w:endnote w:type="continuationSeparator" w:id="0">
    <w:p w:rsidR="00494552" w:rsidRDefault="00494552" w:rsidP="00CC3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52" w:rsidRDefault="00494552" w:rsidP="00CC3C3E">
      <w:r>
        <w:separator/>
      </w:r>
    </w:p>
  </w:footnote>
  <w:footnote w:type="continuationSeparator" w:id="0">
    <w:p w:rsidR="00494552" w:rsidRDefault="00494552" w:rsidP="00CC3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95"/>
    <w:multiLevelType w:val="hybridMultilevel"/>
    <w:tmpl w:val="F66E82C4"/>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96E6622"/>
    <w:multiLevelType w:val="hybridMultilevel"/>
    <w:tmpl w:val="23B40B42"/>
    <w:lvl w:ilvl="0" w:tplc="0409000F">
      <w:start w:val="1"/>
      <w:numFmt w:val="decimal"/>
      <w:lvlText w:val="%1."/>
      <w:lvlJc w:val="left"/>
      <w:pPr>
        <w:ind w:left="1259" w:hanging="420"/>
      </w:p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2">
    <w:nsid w:val="138B7DF4"/>
    <w:multiLevelType w:val="hybridMultilevel"/>
    <w:tmpl w:val="95B6CCAE"/>
    <w:lvl w:ilvl="0" w:tplc="BBAAEB78">
      <w:start w:val="1"/>
      <w:numFmt w:val="decimal"/>
      <w:lvlText w:val="%1."/>
      <w:lvlJc w:val="left"/>
      <w:pPr>
        <w:ind w:left="825" w:hanging="420"/>
      </w:pPr>
      <w:rPr>
        <w:rFonts w:ascii="Times New Roman" w:hAnsi="Times New Roman" w:cs="Times New Roman"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nsid w:val="22AD79F2"/>
    <w:multiLevelType w:val="hybridMultilevel"/>
    <w:tmpl w:val="D26AAFFE"/>
    <w:lvl w:ilvl="0" w:tplc="0409000F">
      <w:start w:val="1"/>
      <w:numFmt w:val="decimal"/>
      <w:lvlText w:val="%1."/>
      <w:lvlJc w:val="left"/>
      <w:pPr>
        <w:ind w:left="779" w:hanging="420"/>
      </w:p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4">
    <w:nsid w:val="27D676AE"/>
    <w:multiLevelType w:val="hybridMultilevel"/>
    <w:tmpl w:val="0916C9FE"/>
    <w:lvl w:ilvl="0" w:tplc="2C3EB3E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596373AF"/>
    <w:multiLevelType w:val="hybridMultilevel"/>
    <w:tmpl w:val="B168790C"/>
    <w:lvl w:ilvl="0" w:tplc="46384B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DD548AD"/>
    <w:multiLevelType w:val="hybridMultilevel"/>
    <w:tmpl w:val="901CF12C"/>
    <w:lvl w:ilvl="0" w:tplc="B7C81532">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66671FE"/>
    <w:multiLevelType w:val="hybridMultilevel"/>
    <w:tmpl w:val="D87EFF6C"/>
    <w:lvl w:ilvl="0" w:tplc="04090013">
      <w:start w:val="1"/>
      <w:numFmt w:val="chineseCountingThousand"/>
      <w:lvlText w:val="%1、"/>
      <w:lvlJc w:val="left"/>
      <w:pPr>
        <w:tabs>
          <w:tab w:val="num" w:pos="780"/>
        </w:tabs>
        <w:ind w:left="780" w:hanging="36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7"/>
  </w:num>
  <w:num w:numId="2">
    <w:abstractNumId w:val="4"/>
  </w:num>
  <w:num w:numId="3">
    <w:abstractNumId w:val="0"/>
  </w:num>
  <w:num w:numId="4">
    <w:abstractNumId w:val="3"/>
  </w:num>
  <w:num w:numId="5">
    <w:abstractNumId w:val="5"/>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7B2E"/>
    <w:rsid w:val="00000CB9"/>
    <w:rsid w:val="00012D7C"/>
    <w:rsid w:val="000262B2"/>
    <w:rsid w:val="00037768"/>
    <w:rsid w:val="000537B5"/>
    <w:rsid w:val="00080617"/>
    <w:rsid w:val="00085384"/>
    <w:rsid w:val="000A2A97"/>
    <w:rsid w:val="000A6EBE"/>
    <w:rsid w:val="000D3363"/>
    <w:rsid w:val="000E00B1"/>
    <w:rsid w:val="000E5A0D"/>
    <w:rsid w:val="00122365"/>
    <w:rsid w:val="0012330F"/>
    <w:rsid w:val="00140361"/>
    <w:rsid w:val="00147DCE"/>
    <w:rsid w:val="0016134F"/>
    <w:rsid w:val="001A021A"/>
    <w:rsid w:val="001B05F8"/>
    <w:rsid w:val="001B6C90"/>
    <w:rsid w:val="001B75F9"/>
    <w:rsid w:val="001E0250"/>
    <w:rsid w:val="001E42A9"/>
    <w:rsid w:val="001E446A"/>
    <w:rsid w:val="001F01F4"/>
    <w:rsid w:val="002072BD"/>
    <w:rsid w:val="00210266"/>
    <w:rsid w:val="002413CB"/>
    <w:rsid w:val="00247B15"/>
    <w:rsid w:val="002639A1"/>
    <w:rsid w:val="002715C8"/>
    <w:rsid w:val="0027455C"/>
    <w:rsid w:val="00286784"/>
    <w:rsid w:val="002B366E"/>
    <w:rsid w:val="002D7B2E"/>
    <w:rsid w:val="00300B64"/>
    <w:rsid w:val="003039BB"/>
    <w:rsid w:val="00335459"/>
    <w:rsid w:val="00336E70"/>
    <w:rsid w:val="0035179A"/>
    <w:rsid w:val="003542A1"/>
    <w:rsid w:val="00355B25"/>
    <w:rsid w:val="00363789"/>
    <w:rsid w:val="00371278"/>
    <w:rsid w:val="00393E94"/>
    <w:rsid w:val="003A1538"/>
    <w:rsid w:val="003A199A"/>
    <w:rsid w:val="003B1604"/>
    <w:rsid w:val="00404EBE"/>
    <w:rsid w:val="004116B0"/>
    <w:rsid w:val="00412E38"/>
    <w:rsid w:val="00422F39"/>
    <w:rsid w:val="00433787"/>
    <w:rsid w:val="00445F9B"/>
    <w:rsid w:val="004564B1"/>
    <w:rsid w:val="00463A52"/>
    <w:rsid w:val="004814A5"/>
    <w:rsid w:val="00486BA8"/>
    <w:rsid w:val="00494552"/>
    <w:rsid w:val="00494AE7"/>
    <w:rsid w:val="004B48A4"/>
    <w:rsid w:val="004D7B98"/>
    <w:rsid w:val="004E3B75"/>
    <w:rsid w:val="004E62FC"/>
    <w:rsid w:val="004F6212"/>
    <w:rsid w:val="00500E4B"/>
    <w:rsid w:val="00501199"/>
    <w:rsid w:val="005141B8"/>
    <w:rsid w:val="00515B4F"/>
    <w:rsid w:val="0053018E"/>
    <w:rsid w:val="0053653E"/>
    <w:rsid w:val="00537161"/>
    <w:rsid w:val="00543505"/>
    <w:rsid w:val="00555DD6"/>
    <w:rsid w:val="00556951"/>
    <w:rsid w:val="00557EBE"/>
    <w:rsid w:val="00563336"/>
    <w:rsid w:val="00566188"/>
    <w:rsid w:val="00576AB9"/>
    <w:rsid w:val="005A0817"/>
    <w:rsid w:val="005A47B9"/>
    <w:rsid w:val="005E5F32"/>
    <w:rsid w:val="006006EA"/>
    <w:rsid w:val="00610E1A"/>
    <w:rsid w:val="00617BB1"/>
    <w:rsid w:val="00624D74"/>
    <w:rsid w:val="006373AE"/>
    <w:rsid w:val="00666004"/>
    <w:rsid w:val="006A5AC2"/>
    <w:rsid w:val="006B5F64"/>
    <w:rsid w:val="006D0466"/>
    <w:rsid w:val="00722461"/>
    <w:rsid w:val="00724ACB"/>
    <w:rsid w:val="007308F0"/>
    <w:rsid w:val="00737D9F"/>
    <w:rsid w:val="007570F2"/>
    <w:rsid w:val="0075796C"/>
    <w:rsid w:val="007673EF"/>
    <w:rsid w:val="00787890"/>
    <w:rsid w:val="00793F46"/>
    <w:rsid w:val="007A3A44"/>
    <w:rsid w:val="007B154F"/>
    <w:rsid w:val="007D22FF"/>
    <w:rsid w:val="007E5936"/>
    <w:rsid w:val="00800634"/>
    <w:rsid w:val="00801A5A"/>
    <w:rsid w:val="00830DCF"/>
    <w:rsid w:val="00836871"/>
    <w:rsid w:val="00853A5B"/>
    <w:rsid w:val="00860B44"/>
    <w:rsid w:val="008750FB"/>
    <w:rsid w:val="008903C6"/>
    <w:rsid w:val="00895AA2"/>
    <w:rsid w:val="008A29A9"/>
    <w:rsid w:val="008A2B4F"/>
    <w:rsid w:val="008C0966"/>
    <w:rsid w:val="008C2E36"/>
    <w:rsid w:val="008C3B25"/>
    <w:rsid w:val="008D1262"/>
    <w:rsid w:val="008D1701"/>
    <w:rsid w:val="008E6ABB"/>
    <w:rsid w:val="00901A56"/>
    <w:rsid w:val="009057A3"/>
    <w:rsid w:val="0091091C"/>
    <w:rsid w:val="009309DE"/>
    <w:rsid w:val="009436CE"/>
    <w:rsid w:val="00943901"/>
    <w:rsid w:val="009444D0"/>
    <w:rsid w:val="00944A08"/>
    <w:rsid w:val="0096231D"/>
    <w:rsid w:val="00994866"/>
    <w:rsid w:val="009B2773"/>
    <w:rsid w:val="009B3F52"/>
    <w:rsid w:val="009B5BE6"/>
    <w:rsid w:val="009D3E08"/>
    <w:rsid w:val="009D54A1"/>
    <w:rsid w:val="00A055D6"/>
    <w:rsid w:val="00A05746"/>
    <w:rsid w:val="00A35D5E"/>
    <w:rsid w:val="00A64597"/>
    <w:rsid w:val="00A7523B"/>
    <w:rsid w:val="00A81624"/>
    <w:rsid w:val="00AA48D2"/>
    <w:rsid w:val="00AB04CC"/>
    <w:rsid w:val="00AC58C0"/>
    <w:rsid w:val="00AC6D34"/>
    <w:rsid w:val="00AD003B"/>
    <w:rsid w:val="00AE76F0"/>
    <w:rsid w:val="00AF638D"/>
    <w:rsid w:val="00B008B4"/>
    <w:rsid w:val="00B01260"/>
    <w:rsid w:val="00B113B4"/>
    <w:rsid w:val="00B24783"/>
    <w:rsid w:val="00B261A6"/>
    <w:rsid w:val="00B506A6"/>
    <w:rsid w:val="00B52D5B"/>
    <w:rsid w:val="00B55BE0"/>
    <w:rsid w:val="00B61E86"/>
    <w:rsid w:val="00B64275"/>
    <w:rsid w:val="00B71C55"/>
    <w:rsid w:val="00B84C98"/>
    <w:rsid w:val="00B96135"/>
    <w:rsid w:val="00BA09D0"/>
    <w:rsid w:val="00BA7ED1"/>
    <w:rsid w:val="00BB78E8"/>
    <w:rsid w:val="00BC19E4"/>
    <w:rsid w:val="00BF0B45"/>
    <w:rsid w:val="00BF757E"/>
    <w:rsid w:val="00C05BAE"/>
    <w:rsid w:val="00C24D8C"/>
    <w:rsid w:val="00C27169"/>
    <w:rsid w:val="00C34A6D"/>
    <w:rsid w:val="00C42506"/>
    <w:rsid w:val="00C84E4B"/>
    <w:rsid w:val="00C9143F"/>
    <w:rsid w:val="00C920D0"/>
    <w:rsid w:val="00CB006E"/>
    <w:rsid w:val="00CC3C3E"/>
    <w:rsid w:val="00CC478E"/>
    <w:rsid w:val="00CD020D"/>
    <w:rsid w:val="00CD47C4"/>
    <w:rsid w:val="00CD59B1"/>
    <w:rsid w:val="00D0698A"/>
    <w:rsid w:val="00D366BF"/>
    <w:rsid w:val="00D64FA1"/>
    <w:rsid w:val="00D65C2A"/>
    <w:rsid w:val="00D67F9B"/>
    <w:rsid w:val="00D71380"/>
    <w:rsid w:val="00D74810"/>
    <w:rsid w:val="00D86587"/>
    <w:rsid w:val="00D906A9"/>
    <w:rsid w:val="00DA5610"/>
    <w:rsid w:val="00DB0C20"/>
    <w:rsid w:val="00DB2277"/>
    <w:rsid w:val="00DD7CDC"/>
    <w:rsid w:val="00DE0067"/>
    <w:rsid w:val="00DE503D"/>
    <w:rsid w:val="00E01ABD"/>
    <w:rsid w:val="00E033E4"/>
    <w:rsid w:val="00E24FF5"/>
    <w:rsid w:val="00E45387"/>
    <w:rsid w:val="00E579F9"/>
    <w:rsid w:val="00E6034C"/>
    <w:rsid w:val="00EA5C02"/>
    <w:rsid w:val="00EB53BC"/>
    <w:rsid w:val="00EC3D0E"/>
    <w:rsid w:val="00EE6824"/>
    <w:rsid w:val="00EE7A02"/>
    <w:rsid w:val="00F131C4"/>
    <w:rsid w:val="00F15533"/>
    <w:rsid w:val="00F276FF"/>
    <w:rsid w:val="00F66664"/>
    <w:rsid w:val="00F737FC"/>
    <w:rsid w:val="00F828EB"/>
    <w:rsid w:val="00F8351D"/>
    <w:rsid w:val="00FA0D7E"/>
    <w:rsid w:val="00FB0AEC"/>
    <w:rsid w:val="00FB51ED"/>
    <w:rsid w:val="00FC0BF3"/>
    <w:rsid w:val="00FD0849"/>
    <w:rsid w:val="00FD2E50"/>
    <w:rsid w:val="00FD3CD1"/>
    <w:rsid w:val="00FF14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sz w:val="18"/>
      <w:szCs w:val="18"/>
    </w:rPr>
  </w:style>
  <w:style w:type="character" w:styleId="a4">
    <w:name w:val="Hyperlink"/>
    <w:rPr>
      <w:color w:val="0000FF"/>
      <w:u w:val="single"/>
    </w:rPr>
  </w:style>
  <w:style w:type="character" w:styleId="a5">
    <w:name w:val="annotation reference"/>
    <w:uiPriority w:val="99"/>
    <w:semiHidden/>
    <w:rPr>
      <w:sz w:val="21"/>
      <w:szCs w:val="21"/>
    </w:rPr>
  </w:style>
  <w:style w:type="paragraph" w:styleId="a6">
    <w:name w:val="annotation text"/>
    <w:basedOn w:val="a"/>
    <w:semiHidden/>
    <w:pPr>
      <w:jc w:val="left"/>
    </w:pPr>
  </w:style>
  <w:style w:type="paragraph" w:styleId="a7">
    <w:name w:val="annotation subject"/>
    <w:basedOn w:val="a6"/>
    <w:next w:val="a6"/>
    <w:semiHidden/>
    <w:rPr>
      <w:b/>
      <w:bCs/>
    </w:rPr>
  </w:style>
  <w:style w:type="paragraph" w:styleId="a8">
    <w:name w:val="header"/>
    <w:basedOn w:val="a"/>
    <w:link w:val="Char"/>
    <w:rsid w:val="00CC3C3E"/>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8"/>
    <w:rsid w:val="00CC3C3E"/>
    <w:rPr>
      <w:kern w:val="2"/>
      <w:sz w:val="18"/>
      <w:szCs w:val="18"/>
    </w:rPr>
  </w:style>
  <w:style w:type="paragraph" w:styleId="a9">
    <w:name w:val="footer"/>
    <w:basedOn w:val="a"/>
    <w:link w:val="Char0"/>
    <w:rsid w:val="00CC3C3E"/>
    <w:pPr>
      <w:tabs>
        <w:tab w:val="center" w:pos="4153"/>
        <w:tab w:val="right" w:pos="8306"/>
      </w:tabs>
      <w:snapToGrid w:val="0"/>
      <w:jc w:val="left"/>
    </w:pPr>
    <w:rPr>
      <w:sz w:val="18"/>
      <w:szCs w:val="18"/>
      <w:lang/>
    </w:rPr>
  </w:style>
  <w:style w:type="character" w:customStyle="1" w:styleId="Char0">
    <w:name w:val="页脚 Char"/>
    <w:link w:val="a9"/>
    <w:rsid w:val="00CC3C3E"/>
    <w:rPr>
      <w:kern w:val="2"/>
      <w:sz w:val="18"/>
      <w:szCs w:val="18"/>
    </w:rPr>
  </w:style>
  <w:style w:type="paragraph" w:styleId="aa">
    <w:name w:val="List Paragraph"/>
    <w:basedOn w:val="a"/>
    <w:uiPriority w:val="34"/>
    <w:qFormat/>
    <w:rsid w:val="00C42506"/>
    <w:pPr>
      <w:ind w:firstLineChars="200" w:firstLine="420"/>
    </w:pPr>
  </w:style>
  <w:style w:type="character" w:styleId="HTML">
    <w:name w:val="HTML Typewriter"/>
    <w:uiPriority w:val="99"/>
    <w:unhideWhenUsed/>
    <w:rsid w:val="00944A08"/>
    <w:rPr>
      <w:rFonts w:ascii="宋体" w:eastAsia="宋体" w:hAnsi="宋体" w:cs="宋体" w:hint="eastAsia"/>
      <w:sz w:val="24"/>
      <w:szCs w:val="24"/>
    </w:rPr>
  </w:style>
</w:styles>
</file>

<file path=word/webSettings.xml><?xml version="1.0" encoding="utf-8"?>
<w:webSettings xmlns:r="http://schemas.openxmlformats.org/officeDocument/2006/relationships" xmlns:w="http://schemas.openxmlformats.org/wordprocessingml/2006/main">
  <w:divs>
    <w:div w:id="840969083">
      <w:bodyDiv w:val="1"/>
      <w:marLeft w:val="0"/>
      <w:marRight w:val="0"/>
      <w:marTop w:val="0"/>
      <w:marBottom w:val="0"/>
      <w:divBdr>
        <w:top w:val="none" w:sz="0" w:space="0" w:color="auto"/>
        <w:left w:val="none" w:sz="0" w:space="0" w:color="auto"/>
        <w:bottom w:val="none" w:sz="0" w:space="0" w:color="auto"/>
        <w:right w:val="none" w:sz="0" w:space="0" w:color="auto"/>
      </w:divBdr>
      <w:divsChild>
        <w:div w:id="92013915">
          <w:marLeft w:val="0"/>
          <w:marRight w:val="0"/>
          <w:marTop w:val="0"/>
          <w:marBottom w:val="0"/>
          <w:divBdr>
            <w:top w:val="none" w:sz="0" w:space="0" w:color="auto"/>
            <w:left w:val="none" w:sz="0" w:space="0" w:color="auto"/>
            <w:bottom w:val="none" w:sz="0" w:space="0" w:color="auto"/>
            <w:right w:val="none" w:sz="0" w:space="0" w:color="auto"/>
          </w:divBdr>
        </w:div>
        <w:div w:id="124472231">
          <w:marLeft w:val="0"/>
          <w:marRight w:val="0"/>
          <w:marTop w:val="0"/>
          <w:marBottom w:val="0"/>
          <w:divBdr>
            <w:top w:val="none" w:sz="0" w:space="0" w:color="auto"/>
            <w:left w:val="none" w:sz="0" w:space="0" w:color="auto"/>
            <w:bottom w:val="none" w:sz="0" w:space="0" w:color="auto"/>
            <w:right w:val="none" w:sz="0" w:space="0" w:color="auto"/>
          </w:divBdr>
        </w:div>
        <w:div w:id="335573067">
          <w:marLeft w:val="0"/>
          <w:marRight w:val="0"/>
          <w:marTop w:val="0"/>
          <w:marBottom w:val="0"/>
          <w:divBdr>
            <w:top w:val="none" w:sz="0" w:space="0" w:color="auto"/>
            <w:left w:val="none" w:sz="0" w:space="0" w:color="auto"/>
            <w:bottom w:val="none" w:sz="0" w:space="0" w:color="auto"/>
            <w:right w:val="none" w:sz="0" w:space="0" w:color="auto"/>
          </w:divBdr>
        </w:div>
        <w:div w:id="624389197">
          <w:marLeft w:val="0"/>
          <w:marRight w:val="0"/>
          <w:marTop w:val="0"/>
          <w:marBottom w:val="0"/>
          <w:divBdr>
            <w:top w:val="none" w:sz="0" w:space="0" w:color="auto"/>
            <w:left w:val="none" w:sz="0" w:space="0" w:color="auto"/>
            <w:bottom w:val="none" w:sz="0" w:space="0" w:color="auto"/>
            <w:right w:val="none" w:sz="0" w:space="0" w:color="auto"/>
          </w:divBdr>
        </w:div>
        <w:div w:id="736131556">
          <w:marLeft w:val="0"/>
          <w:marRight w:val="0"/>
          <w:marTop w:val="0"/>
          <w:marBottom w:val="0"/>
          <w:divBdr>
            <w:top w:val="none" w:sz="0" w:space="0" w:color="auto"/>
            <w:left w:val="none" w:sz="0" w:space="0" w:color="auto"/>
            <w:bottom w:val="none" w:sz="0" w:space="0" w:color="auto"/>
            <w:right w:val="none" w:sz="0" w:space="0" w:color="auto"/>
          </w:divBdr>
        </w:div>
        <w:div w:id="796414686">
          <w:marLeft w:val="0"/>
          <w:marRight w:val="0"/>
          <w:marTop w:val="0"/>
          <w:marBottom w:val="0"/>
          <w:divBdr>
            <w:top w:val="none" w:sz="0" w:space="0" w:color="auto"/>
            <w:left w:val="none" w:sz="0" w:space="0" w:color="auto"/>
            <w:bottom w:val="none" w:sz="0" w:space="0" w:color="auto"/>
            <w:right w:val="none" w:sz="0" w:space="0" w:color="auto"/>
          </w:divBdr>
        </w:div>
        <w:div w:id="888495756">
          <w:marLeft w:val="0"/>
          <w:marRight w:val="0"/>
          <w:marTop w:val="0"/>
          <w:marBottom w:val="0"/>
          <w:divBdr>
            <w:top w:val="none" w:sz="0" w:space="0" w:color="auto"/>
            <w:left w:val="none" w:sz="0" w:space="0" w:color="auto"/>
            <w:bottom w:val="none" w:sz="0" w:space="0" w:color="auto"/>
            <w:right w:val="none" w:sz="0" w:space="0" w:color="auto"/>
          </w:divBdr>
        </w:div>
        <w:div w:id="899289284">
          <w:marLeft w:val="0"/>
          <w:marRight w:val="0"/>
          <w:marTop w:val="0"/>
          <w:marBottom w:val="0"/>
          <w:divBdr>
            <w:top w:val="none" w:sz="0" w:space="0" w:color="auto"/>
            <w:left w:val="none" w:sz="0" w:space="0" w:color="auto"/>
            <w:bottom w:val="none" w:sz="0" w:space="0" w:color="auto"/>
            <w:right w:val="none" w:sz="0" w:space="0" w:color="auto"/>
          </w:divBdr>
        </w:div>
        <w:div w:id="1060980688">
          <w:marLeft w:val="0"/>
          <w:marRight w:val="0"/>
          <w:marTop w:val="0"/>
          <w:marBottom w:val="0"/>
          <w:divBdr>
            <w:top w:val="none" w:sz="0" w:space="0" w:color="auto"/>
            <w:left w:val="none" w:sz="0" w:space="0" w:color="auto"/>
            <w:bottom w:val="none" w:sz="0" w:space="0" w:color="auto"/>
            <w:right w:val="none" w:sz="0" w:space="0" w:color="auto"/>
          </w:divBdr>
        </w:div>
        <w:div w:id="1240675418">
          <w:marLeft w:val="0"/>
          <w:marRight w:val="0"/>
          <w:marTop w:val="0"/>
          <w:marBottom w:val="0"/>
          <w:divBdr>
            <w:top w:val="none" w:sz="0" w:space="0" w:color="auto"/>
            <w:left w:val="none" w:sz="0" w:space="0" w:color="auto"/>
            <w:bottom w:val="none" w:sz="0" w:space="0" w:color="auto"/>
            <w:right w:val="none" w:sz="0" w:space="0" w:color="auto"/>
          </w:divBdr>
        </w:div>
        <w:div w:id="1658000594">
          <w:marLeft w:val="0"/>
          <w:marRight w:val="0"/>
          <w:marTop w:val="0"/>
          <w:marBottom w:val="0"/>
          <w:divBdr>
            <w:top w:val="none" w:sz="0" w:space="0" w:color="auto"/>
            <w:left w:val="none" w:sz="0" w:space="0" w:color="auto"/>
            <w:bottom w:val="none" w:sz="0" w:space="0" w:color="auto"/>
            <w:right w:val="none" w:sz="0" w:space="0" w:color="auto"/>
          </w:divBdr>
        </w:div>
        <w:div w:id="1968201358">
          <w:marLeft w:val="0"/>
          <w:marRight w:val="0"/>
          <w:marTop w:val="0"/>
          <w:marBottom w:val="0"/>
          <w:divBdr>
            <w:top w:val="none" w:sz="0" w:space="0" w:color="auto"/>
            <w:left w:val="none" w:sz="0" w:space="0" w:color="auto"/>
            <w:bottom w:val="none" w:sz="0" w:space="0" w:color="auto"/>
            <w:right w:val="none" w:sz="0" w:space="0" w:color="auto"/>
          </w:divBdr>
        </w:div>
        <w:div w:id="1968312764">
          <w:marLeft w:val="0"/>
          <w:marRight w:val="0"/>
          <w:marTop w:val="0"/>
          <w:marBottom w:val="0"/>
          <w:divBdr>
            <w:top w:val="none" w:sz="0" w:space="0" w:color="auto"/>
            <w:left w:val="none" w:sz="0" w:space="0" w:color="auto"/>
            <w:bottom w:val="none" w:sz="0" w:space="0" w:color="auto"/>
            <w:right w:val="none" w:sz="0" w:space="0" w:color="auto"/>
          </w:divBdr>
        </w:div>
        <w:div w:id="2013681661">
          <w:marLeft w:val="0"/>
          <w:marRight w:val="0"/>
          <w:marTop w:val="0"/>
          <w:marBottom w:val="0"/>
          <w:divBdr>
            <w:top w:val="none" w:sz="0" w:space="0" w:color="auto"/>
            <w:left w:val="none" w:sz="0" w:space="0" w:color="auto"/>
            <w:bottom w:val="none" w:sz="0" w:space="0" w:color="auto"/>
            <w:right w:val="none" w:sz="0" w:space="0" w:color="auto"/>
          </w:divBdr>
        </w:div>
        <w:div w:id="2128355445">
          <w:marLeft w:val="0"/>
          <w:marRight w:val="0"/>
          <w:marTop w:val="0"/>
          <w:marBottom w:val="0"/>
          <w:divBdr>
            <w:top w:val="none" w:sz="0" w:space="0" w:color="auto"/>
            <w:left w:val="none" w:sz="0" w:space="0" w:color="auto"/>
            <w:bottom w:val="none" w:sz="0" w:space="0" w:color="auto"/>
            <w:right w:val="none" w:sz="0" w:space="0" w:color="auto"/>
          </w:divBdr>
        </w:div>
      </w:divsChild>
    </w:div>
    <w:div w:id="1201671607">
      <w:bodyDiv w:val="1"/>
      <w:marLeft w:val="0"/>
      <w:marRight w:val="0"/>
      <w:marTop w:val="0"/>
      <w:marBottom w:val="0"/>
      <w:divBdr>
        <w:top w:val="none" w:sz="0" w:space="0" w:color="auto"/>
        <w:left w:val="none" w:sz="0" w:space="0" w:color="auto"/>
        <w:bottom w:val="none" w:sz="0" w:space="0" w:color="auto"/>
        <w:right w:val="none" w:sz="0" w:space="0" w:color="auto"/>
      </w:divBdr>
      <w:divsChild>
        <w:div w:id="1960909614">
          <w:marLeft w:val="0"/>
          <w:marRight w:val="0"/>
          <w:marTop w:val="0"/>
          <w:marBottom w:val="150"/>
          <w:divBdr>
            <w:top w:val="none" w:sz="0" w:space="0" w:color="auto"/>
            <w:left w:val="none" w:sz="0" w:space="0" w:color="auto"/>
            <w:bottom w:val="none" w:sz="0" w:space="0" w:color="auto"/>
            <w:right w:val="none" w:sz="0" w:space="0" w:color="auto"/>
          </w:divBdr>
          <w:divsChild>
            <w:div w:id="1304433458">
              <w:marLeft w:val="0"/>
              <w:marRight w:val="0"/>
              <w:marTop w:val="0"/>
              <w:marBottom w:val="0"/>
              <w:divBdr>
                <w:top w:val="none" w:sz="0" w:space="0" w:color="auto"/>
                <w:left w:val="none" w:sz="0" w:space="0" w:color="auto"/>
                <w:bottom w:val="none" w:sz="0" w:space="0" w:color="auto"/>
                <w:right w:val="none" w:sz="0" w:space="0" w:color="auto"/>
              </w:divBdr>
              <w:divsChild>
                <w:div w:id="967709422">
                  <w:marLeft w:val="0"/>
                  <w:marRight w:val="0"/>
                  <w:marTop w:val="0"/>
                  <w:marBottom w:val="0"/>
                  <w:divBdr>
                    <w:top w:val="none" w:sz="0" w:space="0" w:color="auto"/>
                    <w:left w:val="none" w:sz="0" w:space="0" w:color="auto"/>
                    <w:bottom w:val="none" w:sz="0" w:space="0" w:color="auto"/>
                    <w:right w:val="none" w:sz="0" w:space="0" w:color="auto"/>
                  </w:divBdr>
                  <w:divsChild>
                    <w:div w:id="730420892">
                      <w:marLeft w:val="0"/>
                      <w:marRight w:val="0"/>
                      <w:marTop w:val="300"/>
                      <w:marBottom w:val="0"/>
                      <w:divBdr>
                        <w:top w:val="none" w:sz="0" w:space="0" w:color="auto"/>
                        <w:left w:val="none" w:sz="0" w:space="0" w:color="auto"/>
                        <w:bottom w:val="none" w:sz="0" w:space="0" w:color="auto"/>
                        <w:right w:val="none" w:sz="0" w:space="0" w:color="auto"/>
                      </w:divBdr>
                      <w:divsChild>
                        <w:div w:id="18860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0612">
      <w:bodyDiv w:val="1"/>
      <w:marLeft w:val="0"/>
      <w:marRight w:val="0"/>
      <w:marTop w:val="0"/>
      <w:marBottom w:val="0"/>
      <w:divBdr>
        <w:top w:val="none" w:sz="0" w:space="0" w:color="auto"/>
        <w:left w:val="none" w:sz="0" w:space="0" w:color="auto"/>
        <w:bottom w:val="none" w:sz="0" w:space="0" w:color="auto"/>
        <w:right w:val="none" w:sz="0" w:space="0" w:color="auto"/>
      </w:divBdr>
    </w:div>
    <w:div w:id="1684934981">
      <w:bodyDiv w:val="1"/>
      <w:marLeft w:val="0"/>
      <w:marRight w:val="0"/>
      <w:marTop w:val="0"/>
      <w:marBottom w:val="0"/>
      <w:divBdr>
        <w:top w:val="none" w:sz="0" w:space="0" w:color="auto"/>
        <w:left w:val="none" w:sz="0" w:space="0" w:color="auto"/>
        <w:bottom w:val="none" w:sz="0" w:space="0" w:color="auto"/>
        <w:right w:val="none" w:sz="0" w:space="0" w:color="auto"/>
      </w:divBdr>
    </w:div>
    <w:div w:id="19434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D6B1-607A-4198-9E18-37AC1780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1688</Characters>
  <Application>Microsoft Office Word</Application>
  <DocSecurity>4</DocSecurity>
  <Lines>14</Lines>
  <Paragraphs>3</Paragraphs>
  <ScaleCrop>false</ScaleCrop>
  <Company>Microsoft</Company>
  <LinksUpToDate>false</LinksUpToDate>
  <CharactersWithSpaces>1981</CharactersWithSpaces>
  <SharedDoc>false</SharedDoc>
  <HLinks>
    <vt:vector size="6" baseType="variant">
      <vt:variant>
        <vt:i4>2162797</vt:i4>
      </vt:variant>
      <vt:variant>
        <vt:i4>0</vt:i4>
      </vt:variant>
      <vt:variant>
        <vt:i4>0</vt:i4>
      </vt:variant>
      <vt:variant>
        <vt:i4>5</vt:i4>
      </vt:variant>
      <vt:variant>
        <vt:lpwstr>http://www.ftsfund.com/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富国基金管理有限公司旗下部分基金参加中信建投证券有限责任公司网上申购费率优惠活动的公告</dc:title>
  <dc:subject/>
  <dc:creator>Zhao,Gangwei(赵刚蔚)</dc:creator>
  <cp:keywords/>
  <cp:lastModifiedBy>ZHONGM</cp:lastModifiedBy>
  <cp:revision>2</cp:revision>
  <cp:lastPrinted>2020-08-04T10:05:00Z</cp:lastPrinted>
  <dcterms:created xsi:type="dcterms:W3CDTF">2023-03-30T16:00:00Z</dcterms:created>
  <dcterms:modified xsi:type="dcterms:W3CDTF">2023-03-30T16:00:00Z</dcterms:modified>
</cp:coreProperties>
</file>