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2DA" w:rsidRPr="00BE6989" w:rsidRDefault="0088788C">
      <w:pPr>
        <w:pStyle w:val="1"/>
        <w:jc w:val="center"/>
        <w:rPr>
          <w:rFonts w:ascii="Times New Roman" w:cs="Times New Roman"/>
          <w:color w:val="000000"/>
          <w:sz w:val="32"/>
        </w:rPr>
      </w:pPr>
      <w:bookmarkStart w:id="0" w:name="_GoBack"/>
      <w:r w:rsidRPr="00BE6989">
        <w:rPr>
          <w:rFonts w:ascii="Times New Roman" w:cs="Times New Roman" w:hint="eastAsia"/>
          <w:color w:val="000000"/>
          <w:sz w:val="32"/>
        </w:rPr>
        <w:t>关于增加</w:t>
      </w:r>
      <w:r w:rsidR="00E67A8A" w:rsidRPr="00E67A8A">
        <w:rPr>
          <w:rFonts w:ascii="Times New Roman" w:cs="Times New Roman" w:hint="eastAsia"/>
          <w:color w:val="000000"/>
          <w:sz w:val="32"/>
        </w:rPr>
        <w:t>中国中金财富证券有限公司</w:t>
      </w:r>
      <w:r w:rsidRPr="00BE6989">
        <w:rPr>
          <w:rFonts w:ascii="Times New Roman" w:cs="Times New Roman" w:hint="eastAsia"/>
          <w:color w:val="000000"/>
          <w:sz w:val="32"/>
        </w:rPr>
        <w:t>为国海富兰克林基金管理有限公司旗下部分基金代销机构并开通转换业务、定期定额投资业务的公告</w:t>
      </w:r>
      <w:bookmarkEnd w:id="0"/>
    </w:p>
    <w:p w:rsidR="008D12DA" w:rsidRPr="00BE6989" w:rsidRDefault="008D12DA">
      <w:pPr>
        <w:pStyle w:val="1"/>
        <w:jc w:val="center"/>
        <w:rPr>
          <w:rFonts w:ascii="Times New Roman" w:cs="Times New Roman"/>
          <w:color w:val="000000"/>
          <w:sz w:val="32"/>
        </w:rPr>
      </w:pPr>
    </w:p>
    <w:p w:rsidR="008D12DA" w:rsidRPr="00BE6989" w:rsidRDefault="0088788C">
      <w:pPr>
        <w:spacing w:line="360" w:lineRule="auto"/>
        <w:ind w:firstLineChars="200" w:firstLine="420"/>
      </w:pPr>
      <w:r w:rsidRPr="00BE6989">
        <w:rPr>
          <w:rFonts w:hint="eastAsia"/>
        </w:rPr>
        <w:t>一、根据国海富兰克林基金管理有限公司（以下简称“本公司”）与</w:t>
      </w:r>
      <w:r w:rsidR="00E67A8A" w:rsidRPr="00E67A8A">
        <w:rPr>
          <w:rFonts w:hint="eastAsia"/>
        </w:rPr>
        <w:t>中国中金财富证券有限公司</w:t>
      </w:r>
      <w:r w:rsidRPr="00BE6989">
        <w:rPr>
          <w:rFonts w:hint="eastAsia"/>
        </w:rPr>
        <w:t>（以下简称“</w:t>
      </w:r>
      <w:r w:rsidR="00E67A8A">
        <w:t>中金财富</w:t>
      </w:r>
      <w:r w:rsidRPr="00BE6989">
        <w:rPr>
          <w:rFonts w:hint="eastAsia"/>
        </w:rPr>
        <w:t>”）签署的开放式证券投资基金销售和服务代理协议及相关补充协议，自</w:t>
      </w:r>
      <w:r w:rsidRPr="00BE6989">
        <w:t>202</w:t>
      </w:r>
      <w:r w:rsidR="00014BC9" w:rsidRPr="00BE6989">
        <w:t>3</w:t>
      </w:r>
      <w:r w:rsidRPr="00BE6989">
        <w:rPr>
          <w:rFonts w:hint="eastAsia"/>
        </w:rPr>
        <w:t>年</w:t>
      </w:r>
      <w:r w:rsidR="00C03FE1">
        <w:rPr>
          <w:rFonts w:hint="eastAsia"/>
        </w:rPr>
        <w:t>3</w:t>
      </w:r>
      <w:r w:rsidRPr="00BE6989">
        <w:rPr>
          <w:rFonts w:hint="eastAsia"/>
        </w:rPr>
        <w:t>月</w:t>
      </w:r>
      <w:r w:rsidR="00901857">
        <w:rPr>
          <w:rFonts w:hint="eastAsia"/>
        </w:rPr>
        <w:t>2</w:t>
      </w:r>
      <w:r w:rsidR="00901857">
        <w:t>8</w:t>
      </w:r>
      <w:r w:rsidRPr="00BE6989">
        <w:rPr>
          <w:rFonts w:hint="eastAsia"/>
        </w:rPr>
        <w:t>日</w:t>
      </w:r>
      <w:r w:rsidRPr="00BE6989">
        <w:t>起，</w:t>
      </w:r>
      <w:r w:rsidR="00E67A8A">
        <w:t>中金财富</w:t>
      </w:r>
      <w:r w:rsidRPr="00BE6989">
        <w:t>将代理</w:t>
      </w:r>
      <w:r w:rsidRPr="00BE6989">
        <w:rPr>
          <w:rFonts w:hint="eastAsia"/>
        </w:rPr>
        <w:t>销售</w:t>
      </w:r>
      <w:r w:rsidRPr="00BE6989">
        <w:t>本公司旗下</w:t>
      </w:r>
      <w:r w:rsidRPr="00BE6989">
        <w:rPr>
          <w:rFonts w:hint="eastAsia"/>
        </w:rPr>
        <w:t>部分开放式证券投资基金并开通转换、定期定额投资业务</w:t>
      </w:r>
      <w:r w:rsidRPr="00BE6989">
        <w:t>。</w:t>
      </w:r>
    </w:p>
    <w:p w:rsidR="008D12DA" w:rsidRPr="00BE6989" w:rsidRDefault="0088788C">
      <w:pPr>
        <w:spacing w:line="360" w:lineRule="auto"/>
        <w:ind w:firstLineChars="200" w:firstLine="420"/>
      </w:pPr>
      <w:r w:rsidRPr="00BE6989">
        <w:rPr>
          <w:rFonts w:hint="eastAsia"/>
        </w:rPr>
        <w:t>具体代销基金及业务开通如下表所示：</w:t>
      </w:r>
    </w:p>
    <w:tbl>
      <w:tblPr>
        <w:tblW w:w="96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59"/>
        <w:gridCol w:w="1471"/>
        <w:gridCol w:w="930"/>
        <w:gridCol w:w="828"/>
        <w:gridCol w:w="842"/>
        <w:gridCol w:w="881"/>
      </w:tblGrid>
      <w:tr w:rsidR="008D12DA" w:rsidRPr="00BE6989" w:rsidTr="00BE6989">
        <w:trPr>
          <w:jc w:val="center"/>
        </w:trPr>
        <w:tc>
          <w:tcPr>
            <w:tcW w:w="4659" w:type="dxa"/>
            <w:vAlign w:val="center"/>
          </w:tcPr>
          <w:p w:rsidR="008D12DA" w:rsidRPr="00BE6989" w:rsidRDefault="0088788C" w:rsidP="00584BBF">
            <w:pPr>
              <w:spacing w:line="360" w:lineRule="auto"/>
              <w:jc w:val="center"/>
              <w:rPr>
                <w:b/>
                <w:bCs/>
              </w:rPr>
            </w:pPr>
            <w:r w:rsidRPr="00BE6989">
              <w:rPr>
                <w:rFonts w:hint="eastAsia"/>
                <w:b/>
                <w:bCs/>
              </w:rPr>
              <w:t>基金名称</w:t>
            </w:r>
          </w:p>
        </w:tc>
        <w:tc>
          <w:tcPr>
            <w:tcW w:w="1471" w:type="dxa"/>
            <w:vAlign w:val="center"/>
          </w:tcPr>
          <w:p w:rsidR="008D12DA" w:rsidRPr="00BE6989" w:rsidRDefault="0088788C" w:rsidP="00584BBF">
            <w:pPr>
              <w:spacing w:line="360" w:lineRule="auto"/>
              <w:jc w:val="center"/>
              <w:rPr>
                <w:b/>
                <w:bCs/>
              </w:rPr>
            </w:pPr>
            <w:r w:rsidRPr="00BE6989">
              <w:rPr>
                <w:rFonts w:hint="eastAsia"/>
                <w:b/>
                <w:bCs/>
              </w:rPr>
              <w:t>基金代码</w:t>
            </w:r>
          </w:p>
        </w:tc>
        <w:tc>
          <w:tcPr>
            <w:tcW w:w="930" w:type="dxa"/>
            <w:vAlign w:val="center"/>
          </w:tcPr>
          <w:p w:rsidR="008D12DA" w:rsidRPr="00BE6989" w:rsidRDefault="0088788C" w:rsidP="00584BBF">
            <w:pPr>
              <w:spacing w:line="360" w:lineRule="auto"/>
              <w:jc w:val="center"/>
              <w:rPr>
                <w:b/>
                <w:bCs/>
              </w:rPr>
            </w:pPr>
            <w:r w:rsidRPr="00BE6989">
              <w:rPr>
                <w:rFonts w:hint="eastAsia"/>
                <w:b/>
                <w:bCs/>
              </w:rPr>
              <w:t>是否开通转换</w:t>
            </w:r>
          </w:p>
        </w:tc>
        <w:tc>
          <w:tcPr>
            <w:tcW w:w="828" w:type="dxa"/>
            <w:vAlign w:val="center"/>
          </w:tcPr>
          <w:p w:rsidR="008D12DA" w:rsidRPr="00BE6989" w:rsidRDefault="0088788C" w:rsidP="00584BBF">
            <w:pPr>
              <w:spacing w:line="360" w:lineRule="auto"/>
              <w:jc w:val="center"/>
              <w:rPr>
                <w:b/>
                <w:bCs/>
              </w:rPr>
            </w:pPr>
            <w:r w:rsidRPr="00BE6989">
              <w:rPr>
                <w:rFonts w:hint="eastAsia"/>
                <w:b/>
                <w:bCs/>
              </w:rPr>
              <w:t>是否开通定投</w:t>
            </w:r>
          </w:p>
        </w:tc>
        <w:tc>
          <w:tcPr>
            <w:tcW w:w="842" w:type="dxa"/>
            <w:vAlign w:val="center"/>
          </w:tcPr>
          <w:p w:rsidR="008D12DA" w:rsidRPr="00BE6989" w:rsidRDefault="0088788C" w:rsidP="00584BBF">
            <w:pPr>
              <w:spacing w:line="360" w:lineRule="auto"/>
              <w:jc w:val="center"/>
              <w:rPr>
                <w:b/>
                <w:bCs/>
              </w:rPr>
            </w:pPr>
            <w:r w:rsidRPr="00BE6989">
              <w:rPr>
                <w:rFonts w:hint="eastAsia"/>
                <w:b/>
                <w:bCs/>
              </w:rPr>
              <w:t>定投起点金额</w:t>
            </w:r>
            <w:r w:rsidRPr="00BE6989">
              <w:rPr>
                <w:b/>
                <w:bCs/>
              </w:rPr>
              <w:t>(</w:t>
            </w:r>
            <w:r w:rsidRPr="00BE6989">
              <w:rPr>
                <w:rFonts w:hint="eastAsia"/>
                <w:b/>
                <w:bCs/>
              </w:rPr>
              <w:t>元）</w:t>
            </w:r>
          </w:p>
        </w:tc>
        <w:tc>
          <w:tcPr>
            <w:tcW w:w="881" w:type="dxa"/>
            <w:vAlign w:val="center"/>
          </w:tcPr>
          <w:p w:rsidR="008D12DA" w:rsidRPr="00BE6989" w:rsidRDefault="0088788C" w:rsidP="00584BBF">
            <w:pPr>
              <w:spacing w:line="360" w:lineRule="auto"/>
              <w:jc w:val="center"/>
              <w:rPr>
                <w:b/>
                <w:bCs/>
              </w:rPr>
            </w:pPr>
            <w:r w:rsidRPr="00BE6989">
              <w:rPr>
                <w:rFonts w:hint="eastAsia"/>
                <w:b/>
                <w:bCs/>
              </w:rPr>
              <w:t>是否费率优惠</w:t>
            </w:r>
          </w:p>
        </w:tc>
      </w:tr>
      <w:tr w:rsidR="0056232A" w:rsidRPr="00BE6989" w:rsidTr="00BE6989">
        <w:trPr>
          <w:jc w:val="center"/>
        </w:trPr>
        <w:tc>
          <w:tcPr>
            <w:tcW w:w="4659" w:type="dxa"/>
            <w:vAlign w:val="center"/>
          </w:tcPr>
          <w:p w:rsidR="0056232A" w:rsidRPr="00BE6989" w:rsidRDefault="0056232A" w:rsidP="0056232A">
            <w:pPr>
              <w:spacing w:line="360" w:lineRule="auto"/>
            </w:pPr>
            <w:r w:rsidRPr="00E11D44">
              <w:rPr>
                <w:rFonts w:hint="eastAsia"/>
              </w:rPr>
              <w:t>富兰克林国海日日收益货币市场证券投资基金（</w:t>
            </w:r>
            <w:r w:rsidRPr="00E11D44">
              <w:t>B</w:t>
            </w:r>
            <w:r w:rsidRPr="00E11D44">
              <w:rPr>
                <w:rFonts w:hint="eastAsia"/>
              </w:rPr>
              <w:t>类）</w:t>
            </w:r>
          </w:p>
        </w:tc>
        <w:tc>
          <w:tcPr>
            <w:tcW w:w="1471" w:type="dxa"/>
            <w:vAlign w:val="center"/>
          </w:tcPr>
          <w:p w:rsidR="0056232A" w:rsidRPr="00BE6989" w:rsidRDefault="0056232A" w:rsidP="0056232A">
            <w:pPr>
              <w:spacing w:line="360" w:lineRule="auto"/>
              <w:jc w:val="center"/>
              <w:rPr>
                <w:bCs/>
              </w:rPr>
            </w:pPr>
            <w:r w:rsidRPr="00E11D44">
              <w:rPr>
                <w:bCs/>
              </w:rPr>
              <w:t>000204</w:t>
            </w:r>
          </w:p>
        </w:tc>
        <w:tc>
          <w:tcPr>
            <w:tcW w:w="930" w:type="dxa"/>
            <w:vAlign w:val="center"/>
          </w:tcPr>
          <w:p w:rsidR="0056232A" w:rsidRPr="00BE6989" w:rsidRDefault="0056232A" w:rsidP="0056232A">
            <w:pPr>
              <w:spacing w:line="360" w:lineRule="auto"/>
              <w:jc w:val="center"/>
              <w:rPr>
                <w:bCs/>
              </w:rPr>
            </w:pPr>
            <w:r w:rsidRPr="00E11D44">
              <w:rPr>
                <w:rFonts w:hint="eastAsia"/>
                <w:bCs/>
              </w:rPr>
              <w:t>是</w:t>
            </w:r>
          </w:p>
        </w:tc>
        <w:tc>
          <w:tcPr>
            <w:tcW w:w="828" w:type="dxa"/>
            <w:vAlign w:val="center"/>
          </w:tcPr>
          <w:p w:rsidR="0056232A" w:rsidRPr="00BE6989" w:rsidRDefault="0056232A" w:rsidP="0056232A">
            <w:pPr>
              <w:spacing w:line="360" w:lineRule="auto"/>
              <w:jc w:val="center"/>
              <w:rPr>
                <w:bCs/>
              </w:rPr>
            </w:pPr>
            <w:r w:rsidRPr="00E11D44">
              <w:rPr>
                <w:rFonts w:hint="eastAsia"/>
                <w:bCs/>
              </w:rPr>
              <w:t>否</w:t>
            </w:r>
          </w:p>
        </w:tc>
        <w:tc>
          <w:tcPr>
            <w:tcW w:w="842" w:type="dxa"/>
            <w:vAlign w:val="center"/>
          </w:tcPr>
          <w:p w:rsidR="0056232A" w:rsidRPr="00BE6989" w:rsidRDefault="0056232A" w:rsidP="0056232A">
            <w:pPr>
              <w:spacing w:line="360" w:lineRule="auto"/>
              <w:jc w:val="center"/>
              <w:rPr>
                <w:bCs/>
              </w:rPr>
            </w:pPr>
            <w:r w:rsidRPr="00E11D44">
              <w:rPr>
                <w:bCs/>
              </w:rPr>
              <w:t>-</w:t>
            </w:r>
          </w:p>
        </w:tc>
        <w:tc>
          <w:tcPr>
            <w:tcW w:w="881" w:type="dxa"/>
            <w:vAlign w:val="center"/>
          </w:tcPr>
          <w:p w:rsidR="0056232A" w:rsidRPr="00BE6989" w:rsidRDefault="0056232A" w:rsidP="0056232A">
            <w:pPr>
              <w:spacing w:line="360" w:lineRule="auto"/>
              <w:jc w:val="center"/>
              <w:rPr>
                <w:bCs/>
              </w:rPr>
            </w:pPr>
            <w:r w:rsidRPr="00E11D44">
              <w:rPr>
                <w:rFonts w:hint="eastAsia"/>
                <w:bCs/>
              </w:rPr>
              <w:t>否</w:t>
            </w:r>
          </w:p>
        </w:tc>
      </w:tr>
      <w:tr w:rsidR="0056232A" w:rsidRPr="00BE6989" w:rsidTr="00BE6989">
        <w:trPr>
          <w:jc w:val="center"/>
        </w:trPr>
        <w:tc>
          <w:tcPr>
            <w:tcW w:w="4659" w:type="dxa"/>
            <w:vAlign w:val="center"/>
          </w:tcPr>
          <w:p w:rsidR="0056232A" w:rsidRPr="00E11D44" w:rsidRDefault="0056232A" w:rsidP="0056232A">
            <w:pPr>
              <w:spacing w:line="360" w:lineRule="auto"/>
            </w:pPr>
            <w:r w:rsidRPr="00E11D44">
              <w:rPr>
                <w:rFonts w:hint="eastAsia"/>
              </w:rPr>
              <w:t>富兰克林国海安享货币市场基金</w:t>
            </w:r>
          </w:p>
        </w:tc>
        <w:tc>
          <w:tcPr>
            <w:tcW w:w="1471" w:type="dxa"/>
            <w:vAlign w:val="center"/>
          </w:tcPr>
          <w:p w:rsidR="0056232A" w:rsidRPr="00E11D44" w:rsidRDefault="0056232A" w:rsidP="0056232A">
            <w:pPr>
              <w:spacing w:line="360" w:lineRule="auto"/>
              <w:jc w:val="center"/>
              <w:rPr>
                <w:bCs/>
              </w:rPr>
            </w:pPr>
            <w:r w:rsidRPr="00E11D44">
              <w:t>004120</w:t>
            </w:r>
          </w:p>
        </w:tc>
        <w:tc>
          <w:tcPr>
            <w:tcW w:w="930" w:type="dxa"/>
            <w:vAlign w:val="center"/>
          </w:tcPr>
          <w:p w:rsidR="0056232A" w:rsidRPr="00E11D44" w:rsidRDefault="0056232A" w:rsidP="0056232A">
            <w:pPr>
              <w:spacing w:line="360" w:lineRule="auto"/>
              <w:jc w:val="center"/>
              <w:rPr>
                <w:bCs/>
              </w:rPr>
            </w:pPr>
            <w:r w:rsidRPr="00E11D44">
              <w:rPr>
                <w:rFonts w:hint="eastAsia"/>
              </w:rPr>
              <w:t>是</w:t>
            </w:r>
          </w:p>
        </w:tc>
        <w:tc>
          <w:tcPr>
            <w:tcW w:w="828" w:type="dxa"/>
            <w:vAlign w:val="center"/>
          </w:tcPr>
          <w:p w:rsidR="0056232A" w:rsidRPr="00E11D44" w:rsidRDefault="0056232A" w:rsidP="0056232A">
            <w:pPr>
              <w:spacing w:line="360" w:lineRule="auto"/>
              <w:jc w:val="center"/>
              <w:rPr>
                <w:bCs/>
              </w:rPr>
            </w:pPr>
            <w:r w:rsidRPr="00E11D44">
              <w:rPr>
                <w:rFonts w:hint="eastAsia"/>
              </w:rPr>
              <w:t>是</w:t>
            </w:r>
          </w:p>
        </w:tc>
        <w:tc>
          <w:tcPr>
            <w:tcW w:w="842" w:type="dxa"/>
            <w:vAlign w:val="center"/>
          </w:tcPr>
          <w:p w:rsidR="0056232A" w:rsidRPr="00E11D44" w:rsidRDefault="0056232A" w:rsidP="0056232A">
            <w:pPr>
              <w:spacing w:line="360" w:lineRule="auto"/>
              <w:jc w:val="center"/>
              <w:rPr>
                <w:bCs/>
              </w:rPr>
            </w:pPr>
            <w:r w:rsidRPr="00E11D44">
              <w:rPr>
                <w:bCs/>
              </w:rPr>
              <w:t>0.01</w:t>
            </w:r>
          </w:p>
        </w:tc>
        <w:tc>
          <w:tcPr>
            <w:tcW w:w="881" w:type="dxa"/>
            <w:vAlign w:val="center"/>
          </w:tcPr>
          <w:p w:rsidR="0056232A" w:rsidRPr="00E11D44" w:rsidRDefault="0056232A" w:rsidP="0056232A">
            <w:pPr>
              <w:spacing w:line="360" w:lineRule="auto"/>
              <w:jc w:val="center"/>
              <w:rPr>
                <w:bCs/>
              </w:rPr>
            </w:pPr>
            <w:r w:rsidRPr="00E11D44">
              <w:rPr>
                <w:rFonts w:hint="eastAsia"/>
              </w:rPr>
              <w:t>否</w:t>
            </w:r>
          </w:p>
        </w:tc>
      </w:tr>
    </w:tbl>
    <w:p w:rsidR="006940D3" w:rsidRPr="00BE6989" w:rsidRDefault="006940D3">
      <w:pPr>
        <w:spacing w:line="360" w:lineRule="auto"/>
        <w:ind w:firstLineChars="150" w:firstLine="315"/>
        <w:rPr>
          <w:szCs w:val="21"/>
        </w:rPr>
      </w:pPr>
    </w:p>
    <w:p w:rsidR="008D12DA" w:rsidRPr="00BE6989" w:rsidRDefault="0088788C" w:rsidP="003F1A06">
      <w:pPr>
        <w:spacing w:line="360" w:lineRule="auto"/>
        <w:ind w:firstLineChars="135" w:firstLine="283"/>
        <w:rPr>
          <w:szCs w:val="21"/>
        </w:rPr>
      </w:pPr>
      <w:r w:rsidRPr="00BE6989">
        <w:rPr>
          <w:rFonts w:hint="eastAsia"/>
          <w:szCs w:val="21"/>
        </w:rPr>
        <w:t>二、转换业务相关事项</w:t>
      </w:r>
    </w:p>
    <w:p w:rsidR="008D12DA" w:rsidRPr="00BE6989" w:rsidRDefault="0088788C" w:rsidP="003F1A06">
      <w:pPr>
        <w:numPr>
          <w:ilvl w:val="0"/>
          <w:numId w:val="2"/>
        </w:numPr>
        <w:spacing w:line="360" w:lineRule="auto"/>
        <w:ind w:left="0" w:firstLineChars="135" w:firstLine="283"/>
        <w:rPr>
          <w:szCs w:val="21"/>
        </w:rPr>
      </w:pPr>
      <w:bookmarkStart w:id="1" w:name="OLE_LINK3"/>
      <w:bookmarkStart w:id="2" w:name="OLE_LINK4"/>
      <w:r w:rsidRPr="00BE6989">
        <w:rPr>
          <w:rFonts w:hint="eastAsia"/>
          <w:szCs w:val="21"/>
        </w:rPr>
        <w:t>转换费率</w:t>
      </w:r>
      <w:bookmarkEnd w:id="1"/>
      <w:bookmarkEnd w:id="2"/>
    </w:p>
    <w:p w:rsidR="008D12DA" w:rsidRPr="00BE6989" w:rsidRDefault="0088788C" w:rsidP="003F1A06">
      <w:pPr>
        <w:numPr>
          <w:ilvl w:val="0"/>
          <w:numId w:val="3"/>
        </w:numPr>
        <w:spacing w:line="360" w:lineRule="auto"/>
        <w:ind w:left="0" w:firstLineChars="135" w:firstLine="283"/>
        <w:rPr>
          <w:bCs/>
          <w:szCs w:val="21"/>
        </w:rPr>
      </w:pPr>
      <w:r w:rsidRPr="00BE6989">
        <w:rPr>
          <w:rFonts w:hint="eastAsia"/>
          <w:bCs/>
          <w:szCs w:val="21"/>
        </w:rPr>
        <w:t>基金转换费用由转出和转入基金的申购费补差和转出基金的赎回费两部分构成，具体收取情况视每次转换时两只基金的申购费率差异和转出基金赎回费率的情况而定。</w:t>
      </w:r>
    </w:p>
    <w:p w:rsidR="008D12DA" w:rsidRPr="00BE6989" w:rsidRDefault="0088788C" w:rsidP="003F1A06">
      <w:pPr>
        <w:numPr>
          <w:ilvl w:val="0"/>
          <w:numId w:val="3"/>
        </w:numPr>
        <w:spacing w:line="360" w:lineRule="auto"/>
        <w:ind w:left="0" w:firstLineChars="135" w:firstLine="283"/>
        <w:rPr>
          <w:bCs/>
          <w:szCs w:val="21"/>
        </w:rPr>
      </w:pPr>
      <w:r w:rsidRPr="00BE6989">
        <w:rPr>
          <w:rFonts w:hint="eastAsia"/>
          <w:szCs w:val="21"/>
        </w:rPr>
        <w:t>基金的申购费率、赎回费率在相关基金的最新的招募说明书及产品资料概要中载明。</w:t>
      </w:r>
    </w:p>
    <w:p w:rsidR="008D12DA" w:rsidRPr="00BE6989" w:rsidRDefault="0088788C" w:rsidP="003F1A06">
      <w:pPr>
        <w:numPr>
          <w:ilvl w:val="0"/>
          <w:numId w:val="2"/>
        </w:numPr>
        <w:spacing w:line="360" w:lineRule="auto"/>
        <w:ind w:left="0" w:firstLineChars="135" w:firstLine="283"/>
        <w:rPr>
          <w:szCs w:val="21"/>
        </w:rPr>
      </w:pPr>
      <w:r w:rsidRPr="00BE6989">
        <w:rPr>
          <w:rFonts w:hint="eastAsia"/>
          <w:szCs w:val="21"/>
        </w:rPr>
        <w:t>其他事项</w:t>
      </w:r>
    </w:p>
    <w:p w:rsidR="008D12DA" w:rsidRPr="00BE6989" w:rsidRDefault="0088788C" w:rsidP="003F1A06">
      <w:pPr>
        <w:numPr>
          <w:ilvl w:val="0"/>
          <w:numId w:val="4"/>
        </w:numPr>
        <w:spacing w:line="360" w:lineRule="auto"/>
        <w:ind w:left="0" w:firstLineChars="135" w:firstLine="283"/>
        <w:rPr>
          <w:szCs w:val="21"/>
        </w:rPr>
      </w:pPr>
      <w:r w:rsidRPr="00BE6989">
        <w:rPr>
          <w:rFonts w:hint="eastAsia"/>
          <w:szCs w:val="21"/>
        </w:rPr>
        <w:t>基金转换只能在同一销售机构进行，转换的两只基金必须都是该销售机构代理的本公司管理的基金。</w:t>
      </w:r>
      <w:r w:rsidRPr="00BE6989">
        <w:rPr>
          <w:szCs w:val="21"/>
        </w:rPr>
        <w:t xml:space="preserve"> </w:t>
      </w:r>
    </w:p>
    <w:p w:rsidR="008D12DA" w:rsidRPr="00BE6989" w:rsidRDefault="0056232A" w:rsidP="00E67A8A">
      <w:pPr>
        <w:numPr>
          <w:ilvl w:val="0"/>
          <w:numId w:val="4"/>
        </w:numPr>
        <w:spacing w:line="360" w:lineRule="auto"/>
        <w:ind w:left="0" w:firstLineChars="135" w:firstLine="283"/>
        <w:rPr>
          <w:szCs w:val="21"/>
        </w:rPr>
      </w:pPr>
      <w:r w:rsidRPr="00E11D44">
        <w:rPr>
          <w:rFonts w:hint="eastAsia"/>
        </w:rPr>
        <w:t>富兰克林国海日日收益货币市场证券投资基金</w:t>
      </w:r>
      <w:r w:rsidRPr="00E11D44">
        <w:rPr>
          <w:rFonts w:hint="eastAsia"/>
        </w:rPr>
        <w:t>A</w:t>
      </w:r>
      <w:r w:rsidRPr="00E11D44">
        <w:rPr>
          <w:rFonts w:hint="eastAsia"/>
        </w:rPr>
        <w:t>、</w:t>
      </w:r>
      <w:r w:rsidRPr="00E11D44">
        <w:rPr>
          <w:rFonts w:hint="eastAsia"/>
        </w:rPr>
        <w:t>B</w:t>
      </w:r>
      <w:r w:rsidRPr="00E11D44">
        <w:rPr>
          <w:rFonts w:hint="eastAsia"/>
        </w:rPr>
        <w:t>份额</w:t>
      </w:r>
      <w:r w:rsidR="0088788C" w:rsidRPr="00E67A8A">
        <w:rPr>
          <w:rFonts w:hint="eastAsia"/>
          <w:szCs w:val="21"/>
        </w:rPr>
        <w:t>为同一基金的不同份额类别，</w:t>
      </w:r>
      <w:r w:rsidR="007C02BD" w:rsidRPr="00E67A8A">
        <w:rPr>
          <w:rFonts w:hint="eastAsia"/>
          <w:szCs w:val="21"/>
        </w:rPr>
        <w:t>两者之间</w:t>
      </w:r>
      <w:r w:rsidR="0088788C" w:rsidRPr="00E67A8A">
        <w:rPr>
          <w:rFonts w:hint="eastAsia"/>
          <w:szCs w:val="21"/>
        </w:rPr>
        <w:t>不能相互转换。</w:t>
      </w:r>
    </w:p>
    <w:p w:rsidR="008D12DA" w:rsidRPr="00BE6989" w:rsidRDefault="0088788C" w:rsidP="003F1A06">
      <w:pPr>
        <w:numPr>
          <w:ilvl w:val="0"/>
          <w:numId w:val="4"/>
        </w:numPr>
        <w:spacing w:line="360" w:lineRule="auto"/>
        <w:ind w:left="0" w:firstLineChars="135" w:firstLine="283"/>
        <w:rPr>
          <w:szCs w:val="21"/>
        </w:rPr>
      </w:pPr>
      <w:r w:rsidRPr="00BE6989">
        <w:rPr>
          <w:rFonts w:hint="eastAsia"/>
          <w:szCs w:val="21"/>
        </w:rPr>
        <w:t>投资者可以登录本公司网站了解具体的基金转换业务规则。</w:t>
      </w:r>
      <w:r w:rsidRPr="00BE6989">
        <w:rPr>
          <w:szCs w:val="21"/>
        </w:rPr>
        <w:t>除</w:t>
      </w:r>
      <w:r w:rsidRPr="00BE6989">
        <w:rPr>
          <w:rFonts w:hint="eastAsia"/>
          <w:szCs w:val="21"/>
        </w:rPr>
        <w:t>此以</w:t>
      </w:r>
      <w:r w:rsidRPr="00BE6989">
        <w:rPr>
          <w:szCs w:val="21"/>
        </w:rPr>
        <w:t>外，基金转换业</w:t>
      </w:r>
      <w:r w:rsidRPr="00BE6989">
        <w:rPr>
          <w:szCs w:val="21"/>
        </w:rPr>
        <w:lastRenderedPageBreak/>
        <w:t>务的办理时间、流程以销售机构及其网点的安排和规定为准。</w:t>
      </w:r>
    </w:p>
    <w:p w:rsidR="008D12DA" w:rsidRPr="00BE6989" w:rsidRDefault="0088788C" w:rsidP="003F1A06">
      <w:pPr>
        <w:numPr>
          <w:ilvl w:val="0"/>
          <w:numId w:val="4"/>
        </w:numPr>
        <w:spacing w:line="360" w:lineRule="auto"/>
        <w:ind w:left="0" w:firstLineChars="135" w:firstLine="283"/>
        <w:rPr>
          <w:szCs w:val="21"/>
        </w:rPr>
      </w:pPr>
      <w:r w:rsidRPr="00BE6989">
        <w:rPr>
          <w:szCs w:val="21"/>
        </w:rPr>
        <w:t>本公司新发基金的转换业务规定，</w:t>
      </w:r>
      <w:r w:rsidRPr="00BE6989">
        <w:rPr>
          <w:rFonts w:hint="eastAsia"/>
          <w:szCs w:val="21"/>
        </w:rPr>
        <w:t>以</w:t>
      </w:r>
      <w:r w:rsidRPr="00BE6989">
        <w:rPr>
          <w:szCs w:val="21"/>
        </w:rPr>
        <w:t>届时</w:t>
      </w:r>
      <w:r w:rsidRPr="00BE6989">
        <w:rPr>
          <w:rFonts w:hint="eastAsia"/>
          <w:szCs w:val="21"/>
        </w:rPr>
        <w:t>的</w:t>
      </w:r>
      <w:r w:rsidRPr="00BE6989">
        <w:rPr>
          <w:szCs w:val="21"/>
        </w:rPr>
        <w:t>公告为准。</w:t>
      </w:r>
    </w:p>
    <w:p w:rsidR="008D12DA" w:rsidRPr="00BE6989" w:rsidRDefault="0088788C" w:rsidP="003F1A06">
      <w:pPr>
        <w:numPr>
          <w:ilvl w:val="0"/>
          <w:numId w:val="4"/>
        </w:numPr>
        <w:spacing w:line="360" w:lineRule="auto"/>
        <w:ind w:left="0" w:firstLineChars="135" w:firstLine="283"/>
        <w:rPr>
          <w:szCs w:val="21"/>
        </w:rPr>
      </w:pPr>
      <w:r w:rsidRPr="00BE6989">
        <w:rPr>
          <w:szCs w:val="21"/>
        </w:rPr>
        <w:t>本公司有权根据市场情况或法律法规变化调整上述转换的程序及有关限制</w:t>
      </w:r>
      <w:r w:rsidRPr="00BE6989">
        <w:rPr>
          <w:rFonts w:hint="eastAsia"/>
          <w:szCs w:val="21"/>
        </w:rPr>
        <w:t>，并</w:t>
      </w:r>
      <w:r w:rsidRPr="00BE6989">
        <w:rPr>
          <w:szCs w:val="21"/>
        </w:rPr>
        <w:t>在调整前在中国证监会指定的信息披露</w:t>
      </w:r>
      <w:r w:rsidRPr="00BE6989">
        <w:rPr>
          <w:rFonts w:hint="eastAsia"/>
          <w:szCs w:val="21"/>
        </w:rPr>
        <w:t>媒介上</w:t>
      </w:r>
      <w:r w:rsidRPr="00BE6989">
        <w:rPr>
          <w:szCs w:val="21"/>
        </w:rPr>
        <w:t>公告。</w:t>
      </w:r>
    </w:p>
    <w:p w:rsidR="008D12DA" w:rsidRPr="00BE6989" w:rsidRDefault="0088788C" w:rsidP="003F1A06">
      <w:pPr>
        <w:numPr>
          <w:ilvl w:val="0"/>
          <w:numId w:val="4"/>
        </w:numPr>
        <w:spacing w:line="360" w:lineRule="auto"/>
        <w:ind w:left="0" w:firstLineChars="135" w:firstLine="283"/>
        <w:rPr>
          <w:szCs w:val="21"/>
        </w:rPr>
      </w:pPr>
      <w:r w:rsidRPr="00BE6989">
        <w:rPr>
          <w:szCs w:val="21"/>
        </w:rPr>
        <w:t>本公司管理的基金的转换业务规则的解释权归本公司。</w:t>
      </w:r>
    </w:p>
    <w:p w:rsidR="008D12DA" w:rsidRPr="00BE6989" w:rsidRDefault="008D12DA">
      <w:pPr>
        <w:spacing w:line="360" w:lineRule="auto"/>
        <w:ind w:leftChars="200" w:left="420"/>
        <w:rPr>
          <w:szCs w:val="21"/>
        </w:rPr>
      </w:pPr>
    </w:p>
    <w:p w:rsidR="008D12DA" w:rsidRPr="00BE6989" w:rsidRDefault="0088788C">
      <w:pPr>
        <w:spacing w:line="360" w:lineRule="auto"/>
        <w:ind w:firstLineChars="150" w:firstLine="315"/>
        <w:rPr>
          <w:szCs w:val="21"/>
        </w:rPr>
      </w:pPr>
      <w:r w:rsidRPr="00BE6989">
        <w:rPr>
          <w:rFonts w:hint="eastAsia"/>
          <w:szCs w:val="21"/>
        </w:rPr>
        <w:t>三</w:t>
      </w:r>
      <w:r w:rsidRPr="00BE6989">
        <w:rPr>
          <w:szCs w:val="21"/>
        </w:rPr>
        <w:t>、</w:t>
      </w:r>
      <w:r w:rsidRPr="00BE6989">
        <w:rPr>
          <w:rFonts w:hint="eastAsia"/>
          <w:szCs w:val="21"/>
        </w:rPr>
        <w:t>定期定额投资业务</w:t>
      </w:r>
      <w:r w:rsidRPr="00BE6989">
        <w:rPr>
          <w:szCs w:val="21"/>
        </w:rPr>
        <w:t>相关事项</w:t>
      </w:r>
    </w:p>
    <w:p w:rsidR="008D12DA" w:rsidRPr="00BE6989" w:rsidRDefault="0088788C">
      <w:pPr>
        <w:numPr>
          <w:ilvl w:val="0"/>
          <w:numId w:val="5"/>
        </w:numPr>
        <w:spacing w:line="360" w:lineRule="auto"/>
        <w:ind w:left="851"/>
        <w:rPr>
          <w:szCs w:val="21"/>
        </w:rPr>
      </w:pPr>
      <w:r w:rsidRPr="00BE6989">
        <w:rPr>
          <w:szCs w:val="21"/>
        </w:rPr>
        <w:t>申购金额</w:t>
      </w:r>
      <w:r w:rsidRPr="00BE6989">
        <w:rPr>
          <w:szCs w:val="21"/>
        </w:rPr>
        <w:t xml:space="preserve"> </w:t>
      </w:r>
    </w:p>
    <w:p w:rsidR="008D12DA" w:rsidRPr="00BE6989" w:rsidRDefault="0088788C">
      <w:pPr>
        <w:spacing w:line="360" w:lineRule="auto"/>
        <w:ind w:firstLineChars="200" w:firstLine="420"/>
        <w:rPr>
          <w:szCs w:val="21"/>
        </w:rPr>
      </w:pPr>
      <w:r w:rsidRPr="00BE6989">
        <w:rPr>
          <w:szCs w:val="21"/>
        </w:rPr>
        <w:t>投资者可到</w:t>
      </w:r>
      <w:r w:rsidR="00671FC6">
        <w:rPr>
          <w:szCs w:val="21"/>
        </w:rPr>
        <w:t>中金财富</w:t>
      </w:r>
      <w:r w:rsidRPr="00BE6989">
        <w:rPr>
          <w:szCs w:val="21"/>
        </w:rPr>
        <w:t>申请开办定投业务并约定每期固定的投资金额，该投资金额即为申购金额。本公司旗下</w:t>
      </w:r>
      <w:r w:rsidRPr="00BE6989">
        <w:rPr>
          <w:rFonts w:hint="eastAsia"/>
          <w:szCs w:val="21"/>
        </w:rPr>
        <w:t>基金的定投业务每期最低申购金额如上表所示，但如</w:t>
      </w:r>
      <w:r w:rsidR="00671FC6">
        <w:rPr>
          <w:szCs w:val="21"/>
        </w:rPr>
        <w:t>中金财富</w:t>
      </w:r>
      <w:r w:rsidRPr="00BE6989">
        <w:rPr>
          <w:szCs w:val="21"/>
        </w:rPr>
        <w:t>规定的最低定投申购金额高于</w:t>
      </w:r>
      <w:r w:rsidRPr="00BE6989">
        <w:rPr>
          <w:rFonts w:hint="eastAsia"/>
          <w:szCs w:val="21"/>
        </w:rPr>
        <w:t>以上限额</w:t>
      </w:r>
      <w:r w:rsidRPr="00BE6989">
        <w:rPr>
          <w:szCs w:val="21"/>
        </w:rPr>
        <w:t>的，则按照其规定的金额执行。定投业务不受日常申购的最低数额限制。</w:t>
      </w:r>
    </w:p>
    <w:p w:rsidR="008D12DA" w:rsidRPr="00BE6989" w:rsidRDefault="0088788C">
      <w:pPr>
        <w:numPr>
          <w:ilvl w:val="0"/>
          <w:numId w:val="5"/>
        </w:numPr>
        <w:spacing w:line="360" w:lineRule="auto"/>
        <w:ind w:left="851"/>
        <w:rPr>
          <w:szCs w:val="21"/>
        </w:rPr>
      </w:pPr>
      <w:r w:rsidRPr="00BE6989">
        <w:rPr>
          <w:szCs w:val="21"/>
        </w:rPr>
        <w:t>业务规则和办理程序</w:t>
      </w:r>
      <w:r w:rsidRPr="00BE6989">
        <w:rPr>
          <w:szCs w:val="21"/>
        </w:rPr>
        <w:t xml:space="preserve"> </w:t>
      </w:r>
    </w:p>
    <w:p w:rsidR="008D12DA" w:rsidRPr="00BE6989" w:rsidRDefault="0088788C">
      <w:pPr>
        <w:spacing w:line="360" w:lineRule="auto"/>
        <w:ind w:firstLineChars="200" w:firstLine="420"/>
        <w:rPr>
          <w:szCs w:val="21"/>
        </w:rPr>
      </w:pPr>
      <w:r w:rsidRPr="00BE6989">
        <w:rPr>
          <w:rFonts w:hint="eastAsia"/>
          <w:szCs w:val="21"/>
        </w:rPr>
        <w:t>除每期最低申购金额限制外，定投业务的具体业务规则以上述基金最新的产品资料概要、招募说明书、《国海富兰克林基金管理有限公司开放式基金业务管理规则》和本公司《基金定期定额申购业务规则》的规定为准；具体投资者范围和办理程序应遵循</w:t>
      </w:r>
      <w:r w:rsidR="00671FC6">
        <w:rPr>
          <w:szCs w:val="21"/>
        </w:rPr>
        <w:t>中金财富</w:t>
      </w:r>
      <w:r w:rsidRPr="00BE6989">
        <w:rPr>
          <w:rFonts w:hint="eastAsia"/>
          <w:szCs w:val="21"/>
        </w:rPr>
        <w:t>的相关规定。</w:t>
      </w:r>
    </w:p>
    <w:p w:rsidR="008D12DA" w:rsidRPr="00BE6989" w:rsidRDefault="008D12DA">
      <w:pPr>
        <w:spacing w:line="360" w:lineRule="auto"/>
        <w:ind w:firstLineChars="200" w:firstLine="420"/>
        <w:rPr>
          <w:szCs w:val="21"/>
        </w:rPr>
      </w:pPr>
    </w:p>
    <w:p w:rsidR="008D12DA" w:rsidRPr="00BE6989" w:rsidRDefault="0088788C">
      <w:pPr>
        <w:spacing w:line="360" w:lineRule="auto"/>
      </w:pPr>
      <w:r w:rsidRPr="00BE6989">
        <w:rPr>
          <w:rFonts w:hint="eastAsia"/>
        </w:rPr>
        <w:t xml:space="preserve">    </w:t>
      </w:r>
      <w:r w:rsidR="0056232A">
        <w:rPr>
          <w:rFonts w:hint="eastAsia"/>
        </w:rPr>
        <w:t>四</w:t>
      </w:r>
      <w:r w:rsidRPr="00BE6989">
        <w:rPr>
          <w:rFonts w:hint="eastAsia"/>
        </w:rPr>
        <w:t>、重要提示：</w:t>
      </w:r>
      <w:r w:rsidRPr="00BE6989">
        <w:rPr>
          <w:rFonts w:hint="eastAsia"/>
        </w:rPr>
        <w:t xml:space="preserve"> </w:t>
      </w:r>
    </w:p>
    <w:p w:rsidR="008D12DA" w:rsidRPr="00BE6989" w:rsidRDefault="0088788C">
      <w:pPr>
        <w:spacing w:line="360" w:lineRule="auto"/>
        <w:ind w:firstLine="420"/>
      </w:pPr>
      <w:r w:rsidRPr="00BE6989">
        <w:rPr>
          <w:rFonts w:hint="eastAsia"/>
        </w:rPr>
        <w:t>1</w:t>
      </w:r>
      <w:r w:rsidRPr="00BE6989">
        <w:rPr>
          <w:rFonts w:hint="eastAsia"/>
        </w:rPr>
        <w:t>．本公告解释权归本公司所有。</w:t>
      </w:r>
    </w:p>
    <w:p w:rsidR="008D12DA" w:rsidRPr="00BE6989" w:rsidRDefault="0088788C">
      <w:pPr>
        <w:spacing w:line="360" w:lineRule="auto"/>
        <w:ind w:firstLine="435"/>
      </w:pPr>
      <w:r w:rsidRPr="00BE6989">
        <w:t>2</w:t>
      </w:r>
      <w:r w:rsidRPr="00BE6989">
        <w:rPr>
          <w:rFonts w:hint="eastAsia"/>
        </w:rPr>
        <w:t>．投资者欲了解详细信息，请仔细阅读相关产品的基金合同、招募说明书、产品资料概要和《国海富兰克林基金管理公司开放式基金业务管理规则》。</w:t>
      </w:r>
    </w:p>
    <w:p w:rsidR="008D12DA" w:rsidRPr="00BE6989" w:rsidRDefault="0088788C">
      <w:pPr>
        <w:spacing w:line="360" w:lineRule="auto"/>
        <w:ind w:firstLine="435"/>
      </w:pPr>
      <w:r w:rsidRPr="00BE6989">
        <w:t>3</w:t>
      </w:r>
      <w:r w:rsidRPr="00BE6989">
        <w:rPr>
          <w:rFonts w:hint="eastAsia"/>
        </w:rPr>
        <w:t>．为做好新型冠状病毒感染的肺炎疫情防控工作，建议投资者通过基金销售机构提供的非现场方式进行交易活动。</w:t>
      </w:r>
    </w:p>
    <w:p w:rsidR="008D12DA" w:rsidRDefault="0088788C" w:rsidP="003D34DF">
      <w:pPr>
        <w:spacing w:line="360" w:lineRule="auto"/>
        <w:ind w:firstLine="435"/>
      </w:pPr>
      <w:r w:rsidRPr="00BE6989">
        <w:t>4</w:t>
      </w:r>
      <w:r w:rsidRPr="00BE6989">
        <w:rPr>
          <w:rFonts w:hint="eastAsia"/>
        </w:rPr>
        <w:t>．风险提示：本公司承诺以诚实信用、勤勉尽责的原则管理和运用基金资产，但不保证基金盈利或最低收益。基金的过往业绩及其净值高低并不预示其未来业绩表现。基金管理人所管理的其它基金的业绩并不构成对本基金业绩表现的保证。本基金管理人提醒投资者基金投资的“买者自负”原则，基金投资风险和本金亏损由投资者自行承担。投资者应认真阅读《基金合同》、《招募说明书》和产品资料概要等相关基金法律文件，了解所投资基金的风险收益特征，并根据自身风险承受能力选择适合自己的基金产品。投资人应当充分了解基金</w:t>
      </w:r>
      <w:r w:rsidRPr="00BE6989">
        <w:rPr>
          <w:rFonts w:hint="eastAsia"/>
        </w:rPr>
        <w:lastRenderedPageBreak/>
        <w:t>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敬请投资者注意投资风险。</w:t>
      </w:r>
    </w:p>
    <w:p w:rsidR="00112291" w:rsidRPr="00BE6989" w:rsidRDefault="00112291" w:rsidP="003D34DF">
      <w:pPr>
        <w:spacing w:line="360" w:lineRule="auto"/>
        <w:ind w:firstLine="435"/>
      </w:pPr>
    </w:p>
    <w:p w:rsidR="008D12DA" w:rsidRPr="00BE6989" w:rsidRDefault="0088788C">
      <w:pPr>
        <w:spacing w:line="360" w:lineRule="auto"/>
      </w:pPr>
      <w:r w:rsidRPr="00BE6989">
        <w:t xml:space="preserve">    </w:t>
      </w:r>
      <w:r w:rsidR="0056232A">
        <w:t>五</w:t>
      </w:r>
      <w:r w:rsidRPr="00BE6989">
        <w:rPr>
          <w:rFonts w:hint="eastAsia"/>
        </w:rPr>
        <w:t>、投资者可通过以下途径咨询有关详情：</w:t>
      </w:r>
      <w:r w:rsidRPr="00BE6989">
        <w:t xml:space="preserve"> </w:t>
      </w:r>
    </w:p>
    <w:p w:rsidR="008D12DA" w:rsidRPr="00BE6989" w:rsidRDefault="0088788C">
      <w:pPr>
        <w:spacing w:line="360" w:lineRule="auto"/>
        <w:ind w:firstLineChars="350" w:firstLine="735"/>
      </w:pPr>
      <w:r w:rsidRPr="00BE6989">
        <w:t>1</w:t>
      </w:r>
      <w:r w:rsidRPr="00BE6989">
        <w:rPr>
          <w:rFonts w:hint="eastAsia"/>
        </w:rPr>
        <w:t>．</w:t>
      </w:r>
      <w:r w:rsidR="00671FC6" w:rsidRPr="00671FC6">
        <w:rPr>
          <w:rFonts w:hint="eastAsia"/>
        </w:rPr>
        <w:t>中国中金财富证券有限公司</w:t>
      </w:r>
    </w:p>
    <w:p w:rsidR="008D12DA" w:rsidRPr="00BE6989" w:rsidRDefault="00671FC6">
      <w:pPr>
        <w:spacing w:line="360" w:lineRule="auto"/>
        <w:ind w:firstLineChars="350" w:firstLine="735"/>
      </w:pPr>
      <w:r>
        <w:rPr>
          <w:rFonts w:hint="eastAsia"/>
        </w:rPr>
        <w:t>公司</w:t>
      </w:r>
      <w:r w:rsidR="0088788C" w:rsidRPr="00BE6989">
        <w:rPr>
          <w:rFonts w:hint="eastAsia"/>
        </w:rPr>
        <w:t>网址：</w:t>
      </w:r>
      <w:r w:rsidRPr="00671FC6">
        <w:t>https://www.ciccwm.com/ciccwmweb/</w:t>
      </w:r>
    </w:p>
    <w:p w:rsidR="008D12DA" w:rsidRDefault="0088788C">
      <w:pPr>
        <w:spacing w:line="360" w:lineRule="auto"/>
        <w:ind w:firstLineChars="350" w:firstLine="735"/>
      </w:pPr>
      <w:r w:rsidRPr="00BE6989">
        <w:rPr>
          <w:rFonts w:hint="eastAsia"/>
        </w:rPr>
        <w:t>客户服务热线：</w:t>
      </w:r>
      <w:r w:rsidR="00671FC6" w:rsidRPr="00671FC6">
        <w:t>95532/400 600 8008</w:t>
      </w:r>
    </w:p>
    <w:p w:rsidR="0056232A" w:rsidRPr="00BE6989" w:rsidRDefault="0056232A">
      <w:pPr>
        <w:spacing w:line="360" w:lineRule="auto"/>
        <w:ind w:firstLineChars="350" w:firstLine="735"/>
      </w:pPr>
    </w:p>
    <w:p w:rsidR="008D12DA" w:rsidRPr="00BE6989" w:rsidRDefault="0088788C">
      <w:pPr>
        <w:spacing w:line="360" w:lineRule="auto"/>
        <w:ind w:firstLineChars="350" w:firstLine="735"/>
      </w:pPr>
      <w:r w:rsidRPr="00BE6989">
        <w:rPr>
          <w:rFonts w:hint="eastAsia"/>
        </w:rPr>
        <w:t>2</w:t>
      </w:r>
      <w:r w:rsidRPr="00BE6989">
        <w:rPr>
          <w:rFonts w:hint="eastAsia"/>
        </w:rPr>
        <w:t>．</w:t>
      </w:r>
      <w:r w:rsidRPr="00BE6989">
        <w:t>国海富兰克林基金管理有限公司</w:t>
      </w:r>
    </w:p>
    <w:p w:rsidR="008D12DA" w:rsidRPr="00BE6989" w:rsidRDefault="0088788C">
      <w:pPr>
        <w:spacing w:line="360" w:lineRule="auto"/>
        <w:ind w:firstLineChars="350" w:firstLine="735"/>
      </w:pPr>
      <w:r w:rsidRPr="00BE6989">
        <w:t>公司网址：</w:t>
      </w:r>
      <w:r w:rsidRPr="00BE6989">
        <w:t>www.ftsfund.com</w:t>
      </w:r>
    </w:p>
    <w:p w:rsidR="008D12DA" w:rsidRPr="00BE6989" w:rsidRDefault="0088788C">
      <w:pPr>
        <w:spacing w:line="360" w:lineRule="auto"/>
        <w:ind w:firstLineChars="350" w:firstLine="735"/>
      </w:pPr>
      <w:r w:rsidRPr="00BE6989">
        <w:t>客户服务热线：</w:t>
      </w:r>
      <w:r w:rsidRPr="00BE6989">
        <w:t>400-700-4518</w:t>
      </w:r>
      <w:r w:rsidRPr="00BE6989">
        <w:t>、</w:t>
      </w:r>
      <w:r w:rsidRPr="00BE6989">
        <w:t>95105680</w:t>
      </w:r>
      <w:r w:rsidRPr="00BE6989">
        <w:t>、</w:t>
      </w:r>
      <w:r w:rsidRPr="00BE6989">
        <w:t>021-38789555</w:t>
      </w:r>
    </w:p>
    <w:p w:rsidR="008D12DA" w:rsidRPr="00BE6989" w:rsidRDefault="0088788C">
      <w:pPr>
        <w:spacing w:line="360" w:lineRule="auto"/>
      </w:pPr>
      <w:r w:rsidRPr="00BE6989">
        <w:rPr>
          <w:rFonts w:hint="eastAsia"/>
        </w:rPr>
        <w:t xml:space="preserve">   </w:t>
      </w:r>
    </w:p>
    <w:p w:rsidR="008D12DA" w:rsidRPr="00BE6989" w:rsidRDefault="0088788C">
      <w:pPr>
        <w:spacing w:line="360" w:lineRule="auto"/>
      </w:pPr>
      <w:r w:rsidRPr="00BE6989">
        <w:rPr>
          <w:rFonts w:hint="eastAsia"/>
        </w:rPr>
        <w:t xml:space="preserve">     </w:t>
      </w:r>
      <w:r w:rsidRPr="00BE6989">
        <w:rPr>
          <w:rFonts w:hint="eastAsia"/>
        </w:rPr>
        <w:t>特此公告。</w:t>
      </w:r>
      <w:r w:rsidRPr="00BE6989">
        <w:rPr>
          <w:rFonts w:hint="eastAsia"/>
        </w:rPr>
        <w:t xml:space="preserve"> </w:t>
      </w:r>
    </w:p>
    <w:p w:rsidR="008D12DA" w:rsidRPr="00BE6989" w:rsidRDefault="008D12DA">
      <w:pPr>
        <w:spacing w:line="360" w:lineRule="auto"/>
      </w:pPr>
    </w:p>
    <w:p w:rsidR="008D12DA" w:rsidRPr="00BE6989" w:rsidRDefault="0088788C">
      <w:pPr>
        <w:spacing w:line="360" w:lineRule="auto"/>
      </w:pPr>
      <w:r w:rsidRPr="00BE6989">
        <w:rPr>
          <w:rFonts w:hint="eastAsia"/>
        </w:rPr>
        <w:t xml:space="preserve">　</w:t>
      </w:r>
      <w:r w:rsidRPr="00BE6989">
        <w:rPr>
          <w:rFonts w:hint="eastAsia"/>
        </w:rPr>
        <w:t xml:space="preserve"> </w:t>
      </w:r>
      <w:r w:rsidRPr="00BE6989">
        <w:t xml:space="preserve">      </w:t>
      </w:r>
    </w:p>
    <w:p w:rsidR="008D12DA" w:rsidRPr="00BE6989" w:rsidRDefault="0088788C">
      <w:pPr>
        <w:spacing w:line="360" w:lineRule="auto"/>
        <w:jc w:val="right"/>
      </w:pPr>
      <w:r w:rsidRPr="00BE6989">
        <w:rPr>
          <w:rFonts w:hint="eastAsia"/>
        </w:rPr>
        <w:t xml:space="preserve">                                     </w:t>
      </w:r>
      <w:r w:rsidRPr="00BE6989">
        <w:rPr>
          <w:rFonts w:hint="eastAsia"/>
        </w:rPr>
        <w:t>国海富兰克林基金管理有限公司</w:t>
      </w:r>
      <w:r w:rsidRPr="00BE6989">
        <w:rPr>
          <w:rFonts w:hint="eastAsia"/>
        </w:rPr>
        <w:t xml:space="preserve"> </w:t>
      </w:r>
    </w:p>
    <w:p w:rsidR="008D12DA" w:rsidRDefault="0088788C">
      <w:pPr>
        <w:wordWrap w:val="0"/>
        <w:spacing w:line="360" w:lineRule="auto"/>
        <w:jc w:val="right"/>
      </w:pPr>
      <w:r w:rsidRPr="00BE6989">
        <w:rPr>
          <w:rFonts w:hint="eastAsia"/>
        </w:rPr>
        <w:t xml:space="preserve">                                      </w:t>
      </w:r>
      <w:r w:rsidRPr="00BE6989">
        <w:rPr>
          <w:rFonts w:hint="eastAsia"/>
        </w:rPr>
        <w:t>二○二</w:t>
      </w:r>
      <w:r w:rsidR="00D52383" w:rsidRPr="00BE6989">
        <w:rPr>
          <w:rFonts w:hint="eastAsia"/>
        </w:rPr>
        <w:t>三</w:t>
      </w:r>
      <w:r w:rsidRPr="00BE6989">
        <w:rPr>
          <w:rFonts w:hint="eastAsia"/>
        </w:rPr>
        <w:t>年</w:t>
      </w:r>
      <w:r w:rsidR="00C03FE1">
        <w:t>三</w:t>
      </w:r>
      <w:r w:rsidRPr="00BE6989">
        <w:rPr>
          <w:rFonts w:hint="eastAsia"/>
        </w:rPr>
        <w:t>月</w:t>
      </w:r>
      <w:r w:rsidR="00901857">
        <w:t>二十八</w:t>
      </w:r>
      <w:r w:rsidRPr="00BE6989">
        <w:rPr>
          <w:rFonts w:hint="eastAsia"/>
        </w:rPr>
        <w:t>日</w:t>
      </w:r>
    </w:p>
    <w:p w:rsidR="008D12DA" w:rsidRPr="00553853" w:rsidRDefault="008D12DA"/>
    <w:sectPr w:rsidR="008D12DA" w:rsidRPr="00553853" w:rsidSect="00A6262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551" w:rsidRDefault="00914551" w:rsidP="00553853">
      <w:r>
        <w:separator/>
      </w:r>
    </w:p>
  </w:endnote>
  <w:endnote w:type="continuationSeparator" w:id="0">
    <w:p w:rsidR="00914551" w:rsidRDefault="00914551" w:rsidP="0055385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551" w:rsidRDefault="00914551" w:rsidP="00553853">
      <w:r>
        <w:separator/>
      </w:r>
    </w:p>
  </w:footnote>
  <w:footnote w:type="continuationSeparator" w:id="0">
    <w:p w:rsidR="00914551" w:rsidRDefault="00914551" w:rsidP="005538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1">
    <w:nsid w:val="096E6622"/>
    <w:multiLevelType w:val="multilevel"/>
    <w:tmpl w:val="096E6622"/>
    <w:lvl w:ilvl="0">
      <w:start w:val="1"/>
      <w:numFmt w:val="decimal"/>
      <w:lvlText w:val="%1."/>
      <w:lvlJc w:val="left"/>
      <w:pPr>
        <w:ind w:left="1259" w:hanging="420"/>
      </w:pPr>
    </w:lvl>
    <w:lvl w:ilvl="1">
      <w:start w:val="1"/>
      <w:numFmt w:val="lowerLetter"/>
      <w:lvlText w:val="%2)"/>
      <w:lvlJc w:val="left"/>
      <w:pPr>
        <w:ind w:left="1679" w:hanging="420"/>
      </w:pPr>
    </w:lvl>
    <w:lvl w:ilvl="2">
      <w:start w:val="1"/>
      <w:numFmt w:val="lowerRoman"/>
      <w:lvlText w:val="%3."/>
      <w:lvlJc w:val="right"/>
      <w:pPr>
        <w:ind w:left="2099" w:hanging="420"/>
      </w:pPr>
    </w:lvl>
    <w:lvl w:ilvl="3">
      <w:start w:val="1"/>
      <w:numFmt w:val="decimal"/>
      <w:lvlText w:val="%4."/>
      <w:lvlJc w:val="left"/>
      <w:pPr>
        <w:ind w:left="2519" w:hanging="420"/>
      </w:pPr>
    </w:lvl>
    <w:lvl w:ilvl="4">
      <w:start w:val="1"/>
      <w:numFmt w:val="lowerLetter"/>
      <w:lvlText w:val="%5)"/>
      <w:lvlJc w:val="left"/>
      <w:pPr>
        <w:ind w:left="2939" w:hanging="420"/>
      </w:pPr>
    </w:lvl>
    <w:lvl w:ilvl="5">
      <w:start w:val="1"/>
      <w:numFmt w:val="lowerRoman"/>
      <w:lvlText w:val="%6."/>
      <w:lvlJc w:val="right"/>
      <w:pPr>
        <w:ind w:left="3359" w:hanging="420"/>
      </w:pPr>
    </w:lvl>
    <w:lvl w:ilvl="6">
      <w:start w:val="1"/>
      <w:numFmt w:val="decimal"/>
      <w:lvlText w:val="%7."/>
      <w:lvlJc w:val="left"/>
      <w:pPr>
        <w:ind w:left="3779" w:hanging="420"/>
      </w:pPr>
    </w:lvl>
    <w:lvl w:ilvl="7">
      <w:start w:val="1"/>
      <w:numFmt w:val="lowerLetter"/>
      <w:lvlText w:val="%8)"/>
      <w:lvlJc w:val="left"/>
      <w:pPr>
        <w:ind w:left="4199" w:hanging="420"/>
      </w:pPr>
    </w:lvl>
    <w:lvl w:ilvl="8">
      <w:start w:val="1"/>
      <w:numFmt w:val="lowerRoman"/>
      <w:lvlText w:val="%9."/>
      <w:lvlJc w:val="right"/>
      <w:pPr>
        <w:ind w:left="4619" w:hanging="420"/>
      </w:pPr>
    </w:lvl>
  </w:abstractNum>
  <w:abstractNum w:abstractNumId="2">
    <w:nsid w:val="31747F5D"/>
    <w:multiLevelType w:val="hybridMultilevel"/>
    <w:tmpl w:val="543AC804"/>
    <w:lvl w:ilvl="0" w:tplc="737CDB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46E04E4"/>
    <w:multiLevelType w:val="hybridMultilevel"/>
    <w:tmpl w:val="3F94808E"/>
    <w:lvl w:ilvl="0" w:tplc="8988C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CC37D92"/>
    <w:multiLevelType w:val="multilevel"/>
    <w:tmpl w:val="5CC37D92"/>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6DD548AD"/>
    <w:multiLevelType w:val="multilevel"/>
    <w:tmpl w:val="6DD548AD"/>
    <w:lvl w:ilvl="0">
      <w:start w:val="1"/>
      <w:numFmt w:val="decimal"/>
      <w:lvlText w:val="（%1）"/>
      <w:lvlJc w:val="left"/>
      <w:pPr>
        <w:ind w:left="846"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7D31078C"/>
    <w:multiLevelType w:val="multilevel"/>
    <w:tmpl w:val="7D31078C"/>
    <w:lvl w:ilvl="0">
      <w:start w:val="1"/>
      <w:numFmt w:val="decimal"/>
      <w:lvlText w:val="%1."/>
      <w:lvlJc w:val="left"/>
      <w:pPr>
        <w:ind w:left="1259" w:hanging="420"/>
      </w:pPr>
    </w:lvl>
    <w:lvl w:ilvl="1">
      <w:start w:val="1"/>
      <w:numFmt w:val="lowerLetter"/>
      <w:lvlText w:val="%2)"/>
      <w:lvlJc w:val="left"/>
      <w:pPr>
        <w:ind w:left="1679" w:hanging="420"/>
      </w:pPr>
    </w:lvl>
    <w:lvl w:ilvl="2">
      <w:start w:val="1"/>
      <w:numFmt w:val="lowerRoman"/>
      <w:lvlText w:val="%3."/>
      <w:lvlJc w:val="right"/>
      <w:pPr>
        <w:ind w:left="2099" w:hanging="420"/>
      </w:pPr>
    </w:lvl>
    <w:lvl w:ilvl="3">
      <w:start w:val="1"/>
      <w:numFmt w:val="decimal"/>
      <w:lvlText w:val="%4."/>
      <w:lvlJc w:val="left"/>
      <w:pPr>
        <w:ind w:left="2519" w:hanging="420"/>
      </w:pPr>
    </w:lvl>
    <w:lvl w:ilvl="4">
      <w:start w:val="1"/>
      <w:numFmt w:val="lowerLetter"/>
      <w:lvlText w:val="%5)"/>
      <w:lvlJc w:val="left"/>
      <w:pPr>
        <w:ind w:left="2939" w:hanging="420"/>
      </w:pPr>
    </w:lvl>
    <w:lvl w:ilvl="5">
      <w:start w:val="1"/>
      <w:numFmt w:val="lowerRoman"/>
      <w:lvlText w:val="%6."/>
      <w:lvlJc w:val="right"/>
      <w:pPr>
        <w:ind w:left="3359" w:hanging="420"/>
      </w:pPr>
    </w:lvl>
    <w:lvl w:ilvl="6">
      <w:start w:val="1"/>
      <w:numFmt w:val="decimal"/>
      <w:lvlText w:val="%7."/>
      <w:lvlJc w:val="left"/>
      <w:pPr>
        <w:ind w:left="3779" w:hanging="420"/>
      </w:pPr>
    </w:lvl>
    <w:lvl w:ilvl="7">
      <w:start w:val="1"/>
      <w:numFmt w:val="lowerLetter"/>
      <w:lvlText w:val="%8)"/>
      <w:lvlJc w:val="left"/>
      <w:pPr>
        <w:ind w:left="4199" w:hanging="420"/>
      </w:pPr>
    </w:lvl>
    <w:lvl w:ilvl="8">
      <w:start w:val="1"/>
      <w:numFmt w:val="lowerRoman"/>
      <w:lvlText w:val="%9."/>
      <w:lvlJc w:val="right"/>
      <w:pPr>
        <w:ind w:left="4619" w:hanging="420"/>
      </w:pPr>
    </w:lvl>
  </w:abstractNum>
  <w:num w:numId="1">
    <w:abstractNumId w:val="0"/>
  </w:num>
  <w:num w:numId="2">
    <w:abstractNumId w:val="6"/>
  </w:num>
  <w:num w:numId="3">
    <w:abstractNumId w:val="5"/>
  </w:num>
  <w:num w:numId="4">
    <w:abstractNumId w:val="4"/>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7AE4"/>
    <w:rsid w:val="00000854"/>
    <w:rsid w:val="000036F1"/>
    <w:rsid w:val="0000435C"/>
    <w:rsid w:val="00014BC9"/>
    <w:rsid w:val="00014D12"/>
    <w:rsid w:val="00023141"/>
    <w:rsid w:val="000249D7"/>
    <w:rsid w:val="000252AE"/>
    <w:rsid w:val="00035E54"/>
    <w:rsid w:val="00045110"/>
    <w:rsid w:val="000564AA"/>
    <w:rsid w:val="000628CA"/>
    <w:rsid w:val="000638A3"/>
    <w:rsid w:val="000727E2"/>
    <w:rsid w:val="0008519F"/>
    <w:rsid w:val="00090F73"/>
    <w:rsid w:val="000921D8"/>
    <w:rsid w:val="00096E97"/>
    <w:rsid w:val="000A69CC"/>
    <w:rsid w:val="000B2737"/>
    <w:rsid w:val="000B65F3"/>
    <w:rsid w:val="000D4A8D"/>
    <w:rsid w:val="000E08C5"/>
    <w:rsid w:val="000E0C90"/>
    <w:rsid w:val="000F354F"/>
    <w:rsid w:val="000F4807"/>
    <w:rsid w:val="000F6A72"/>
    <w:rsid w:val="00101DFA"/>
    <w:rsid w:val="0010578C"/>
    <w:rsid w:val="00112291"/>
    <w:rsid w:val="00121427"/>
    <w:rsid w:val="00123872"/>
    <w:rsid w:val="001266DE"/>
    <w:rsid w:val="001308D5"/>
    <w:rsid w:val="00143950"/>
    <w:rsid w:val="00144D3E"/>
    <w:rsid w:val="001453B0"/>
    <w:rsid w:val="001477A5"/>
    <w:rsid w:val="00150115"/>
    <w:rsid w:val="00156E2E"/>
    <w:rsid w:val="00160875"/>
    <w:rsid w:val="00160A7D"/>
    <w:rsid w:val="00164EFF"/>
    <w:rsid w:val="001722B5"/>
    <w:rsid w:val="00185BF7"/>
    <w:rsid w:val="001905C5"/>
    <w:rsid w:val="001909CF"/>
    <w:rsid w:val="00193CE3"/>
    <w:rsid w:val="001A3ABA"/>
    <w:rsid w:val="001B402F"/>
    <w:rsid w:val="001B7459"/>
    <w:rsid w:val="001C41FA"/>
    <w:rsid w:val="001E2076"/>
    <w:rsid w:val="001E6122"/>
    <w:rsid w:val="001F646D"/>
    <w:rsid w:val="00205B53"/>
    <w:rsid w:val="00205BF5"/>
    <w:rsid w:val="0021376D"/>
    <w:rsid w:val="00220089"/>
    <w:rsid w:val="00225213"/>
    <w:rsid w:val="002365EC"/>
    <w:rsid w:val="00241FEA"/>
    <w:rsid w:val="00242B2D"/>
    <w:rsid w:val="00244792"/>
    <w:rsid w:val="00250C43"/>
    <w:rsid w:val="0026005D"/>
    <w:rsid w:val="00266A41"/>
    <w:rsid w:val="00272EAF"/>
    <w:rsid w:val="00277E31"/>
    <w:rsid w:val="002846E8"/>
    <w:rsid w:val="002A069E"/>
    <w:rsid w:val="002A7C98"/>
    <w:rsid w:val="002B3C28"/>
    <w:rsid w:val="002B409B"/>
    <w:rsid w:val="002C56A9"/>
    <w:rsid w:val="002D67D0"/>
    <w:rsid w:val="002E7FF2"/>
    <w:rsid w:val="002F0869"/>
    <w:rsid w:val="002F0D7A"/>
    <w:rsid w:val="002F1153"/>
    <w:rsid w:val="002F36D0"/>
    <w:rsid w:val="002F51A4"/>
    <w:rsid w:val="00302A57"/>
    <w:rsid w:val="003117CA"/>
    <w:rsid w:val="00311FA1"/>
    <w:rsid w:val="00312912"/>
    <w:rsid w:val="00320282"/>
    <w:rsid w:val="00325C4F"/>
    <w:rsid w:val="00326902"/>
    <w:rsid w:val="00327FBE"/>
    <w:rsid w:val="003401E7"/>
    <w:rsid w:val="00340C55"/>
    <w:rsid w:val="003449C2"/>
    <w:rsid w:val="00345BAF"/>
    <w:rsid w:val="00355D47"/>
    <w:rsid w:val="00361BA9"/>
    <w:rsid w:val="00364A57"/>
    <w:rsid w:val="00382915"/>
    <w:rsid w:val="00396B49"/>
    <w:rsid w:val="003A28F7"/>
    <w:rsid w:val="003A7386"/>
    <w:rsid w:val="003B1669"/>
    <w:rsid w:val="003B4D35"/>
    <w:rsid w:val="003C0885"/>
    <w:rsid w:val="003D0DA0"/>
    <w:rsid w:val="003D34DF"/>
    <w:rsid w:val="003D75B4"/>
    <w:rsid w:val="003E0E8D"/>
    <w:rsid w:val="003E3E45"/>
    <w:rsid w:val="003E7A8C"/>
    <w:rsid w:val="003F1A06"/>
    <w:rsid w:val="003F510B"/>
    <w:rsid w:val="004020DA"/>
    <w:rsid w:val="004129C9"/>
    <w:rsid w:val="00425803"/>
    <w:rsid w:val="00426BA5"/>
    <w:rsid w:val="00432E98"/>
    <w:rsid w:val="00443639"/>
    <w:rsid w:val="00444724"/>
    <w:rsid w:val="00444C1B"/>
    <w:rsid w:val="00450CA5"/>
    <w:rsid w:val="00457655"/>
    <w:rsid w:val="004577F7"/>
    <w:rsid w:val="00464E56"/>
    <w:rsid w:val="004753E8"/>
    <w:rsid w:val="004868CF"/>
    <w:rsid w:val="00486FD4"/>
    <w:rsid w:val="004879BF"/>
    <w:rsid w:val="004953E4"/>
    <w:rsid w:val="00495DCA"/>
    <w:rsid w:val="004A1EB3"/>
    <w:rsid w:val="004A520E"/>
    <w:rsid w:val="004B104F"/>
    <w:rsid w:val="004D1F19"/>
    <w:rsid w:val="004D5EEB"/>
    <w:rsid w:val="004E0556"/>
    <w:rsid w:val="004E38AF"/>
    <w:rsid w:val="004F3836"/>
    <w:rsid w:val="004F5831"/>
    <w:rsid w:val="00505A3D"/>
    <w:rsid w:val="00506269"/>
    <w:rsid w:val="005141B3"/>
    <w:rsid w:val="005164EA"/>
    <w:rsid w:val="00527424"/>
    <w:rsid w:val="005307F9"/>
    <w:rsid w:val="0053545B"/>
    <w:rsid w:val="005371ED"/>
    <w:rsid w:val="00541220"/>
    <w:rsid w:val="00543AD8"/>
    <w:rsid w:val="00553853"/>
    <w:rsid w:val="00554A39"/>
    <w:rsid w:val="0056232A"/>
    <w:rsid w:val="005623B7"/>
    <w:rsid w:val="00575840"/>
    <w:rsid w:val="00575940"/>
    <w:rsid w:val="00576F51"/>
    <w:rsid w:val="0058238D"/>
    <w:rsid w:val="00584BBF"/>
    <w:rsid w:val="005A0614"/>
    <w:rsid w:val="005A41DE"/>
    <w:rsid w:val="005B18D7"/>
    <w:rsid w:val="005B6EC4"/>
    <w:rsid w:val="005C4EA2"/>
    <w:rsid w:val="005C4F18"/>
    <w:rsid w:val="005C5A18"/>
    <w:rsid w:val="005E1470"/>
    <w:rsid w:val="005F1D66"/>
    <w:rsid w:val="005F48E6"/>
    <w:rsid w:val="006134AE"/>
    <w:rsid w:val="00617CBE"/>
    <w:rsid w:val="00621C77"/>
    <w:rsid w:val="00624876"/>
    <w:rsid w:val="0063263C"/>
    <w:rsid w:val="00641920"/>
    <w:rsid w:val="00651194"/>
    <w:rsid w:val="00656F70"/>
    <w:rsid w:val="00657496"/>
    <w:rsid w:val="0066020A"/>
    <w:rsid w:val="00662ED0"/>
    <w:rsid w:val="006656E2"/>
    <w:rsid w:val="00671FC6"/>
    <w:rsid w:val="006730FF"/>
    <w:rsid w:val="00676101"/>
    <w:rsid w:val="00682052"/>
    <w:rsid w:val="006823A5"/>
    <w:rsid w:val="0068263A"/>
    <w:rsid w:val="0068481A"/>
    <w:rsid w:val="00692BE7"/>
    <w:rsid w:val="00693773"/>
    <w:rsid w:val="006940D3"/>
    <w:rsid w:val="00697C55"/>
    <w:rsid w:val="006A641B"/>
    <w:rsid w:val="006B1D45"/>
    <w:rsid w:val="006B20EC"/>
    <w:rsid w:val="006C1DB5"/>
    <w:rsid w:val="006C1E10"/>
    <w:rsid w:val="006C3F5F"/>
    <w:rsid w:val="006C7EC4"/>
    <w:rsid w:val="006D4270"/>
    <w:rsid w:val="006D4E4F"/>
    <w:rsid w:val="006F4F50"/>
    <w:rsid w:val="0070443E"/>
    <w:rsid w:val="00712160"/>
    <w:rsid w:val="0071668C"/>
    <w:rsid w:val="007172E0"/>
    <w:rsid w:val="0071789C"/>
    <w:rsid w:val="00723E48"/>
    <w:rsid w:val="0072506A"/>
    <w:rsid w:val="00727248"/>
    <w:rsid w:val="00727CCA"/>
    <w:rsid w:val="00731C1D"/>
    <w:rsid w:val="00732605"/>
    <w:rsid w:val="007346FA"/>
    <w:rsid w:val="00740E56"/>
    <w:rsid w:val="0074496F"/>
    <w:rsid w:val="00747FB3"/>
    <w:rsid w:val="007516AE"/>
    <w:rsid w:val="00752808"/>
    <w:rsid w:val="00752E83"/>
    <w:rsid w:val="00753331"/>
    <w:rsid w:val="00757542"/>
    <w:rsid w:val="00757752"/>
    <w:rsid w:val="007626B3"/>
    <w:rsid w:val="007642F9"/>
    <w:rsid w:val="00786576"/>
    <w:rsid w:val="007A1E2D"/>
    <w:rsid w:val="007A6707"/>
    <w:rsid w:val="007A6CE0"/>
    <w:rsid w:val="007B043D"/>
    <w:rsid w:val="007B327D"/>
    <w:rsid w:val="007C02BD"/>
    <w:rsid w:val="007C5AB6"/>
    <w:rsid w:val="007D169C"/>
    <w:rsid w:val="007D1D69"/>
    <w:rsid w:val="007E6012"/>
    <w:rsid w:val="007E6C01"/>
    <w:rsid w:val="007F39CE"/>
    <w:rsid w:val="007F64ED"/>
    <w:rsid w:val="007F69F4"/>
    <w:rsid w:val="00801271"/>
    <w:rsid w:val="0080547F"/>
    <w:rsid w:val="00811BE4"/>
    <w:rsid w:val="00815333"/>
    <w:rsid w:val="00816552"/>
    <w:rsid w:val="00821C38"/>
    <w:rsid w:val="00823E96"/>
    <w:rsid w:val="0083069D"/>
    <w:rsid w:val="00833708"/>
    <w:rsid w:val="008357B9"/>
    <w:rsid w:val="00835815"/>
    <w:rsid w:val="00837A6E"/>
    <w:rsid w:val="00837C72"/>
    <w:rsid w:val="008405F2"/>
    <w:rsid w:val="00842E54"/>
    <w:rsid w:val="00847944"/>
    <w:rsid w:val="00854509"/>
    <w:rsid w:val="008565F6"/>
    <w:rsid w:val="00867E87"/>
    <w:rsid w:val="00882E22"/>
    <w:rsid w:val="00885EC6"/>
    <w:rsid w:val="00885F5C"/>
    <w:rsid w:val="0088788C"/>
    <w:rsid w:val="0089347F"/>
    <w:rsid w:val="008A056E"/>
    <w:rsid w:val="008A135C"/>
    <w:rsid w:val="008B7407"/>
    <w:rsid w:val="008B77AF"/>
    <w:rsid w:val="008C6AF0"/>
    <w:rsid w:val="008C6E30"/>
    <w:rsid w:val="008C7AA3"/>
    <w:rsid w:val="008D12DA"/>
    <w:rsid w:val="008E0D4C"/>
    <w:rsid w:val="008E5E94"/>
    <w:rsid w:val="008F3CE4"/>
    <w:rsid w:val="008F4EE5"/>
    <w:rsid w:val="008F501A"/>
    <w:rsid w:val="008F57E1"/>
    <w:rsid w:val="008F5AFF"/>
    <w:rsid w:val="00901857"/>
    <w:rsid w:val="00914551"/>
    <w:rsid w:val="009218E8"/>
    <w:rsid w:val="0092249B"/>
    <w:rsid w:val="009339FC"/>
    <w:rsid w:val="00935B96"/>
    <w:rsid w:val="00940B75"/>
    <w:rsid w:val="0095361E"/>
    <w:rsid w:val="00963152"/>
    <w:rsid w:val="00965A3F"/>
    <w:rsid w:val="00967FBC"/>
    <w:rsid w:val="0097048C"/>
    <w:rsid w:val="00970B55"/>
    <w:rsid w:val="00984F40"/>
    <w:rsid w:val="00987A07"/>
    <w:rsid w:val="00987BA8"/>
    <w:rsid w:val="00990712"/>
    <w:rsid w:val="00991765"/>
    <w:rsid w:val="00993DEA"/>
    <w:rsid w:val="009955F5"/>
    <w:rsid w:val="009A5BEF"/>
    <w:rsid w:val="009B7D2D"/>
    <w:rsid w:val="009C200B"/>
    <w:rsid w:val="009C39AA"/>
    <w:rsid w:val="009C752F"/>
    <w:rsid w:val="009D12A3"/>
    <w:rsid w:val="009D315C"/>
    <w:rsid w:val="009D7C52"/>
    <w:rsid w:val="009E37D0"/>
    <w:rsid w:val="009F1BD0"/>
    <w:rsid w:val="00A028AE"/>
    <w:rsid w:val="00A05B79"/>
    <w:rsid w:val="00A07429"/>
    <w:rsid w:val="00A15834"/>
    <w:rsid w:val="00A1626D"/>
    <w:rsid w:val="00A232FE"/>
    <w:rsid w:val="00A23BE5"/>
    <w:rsid w:val="00A24694"/>
    <w:rsid w:val="00A26154"/>
    <w:rsid w:val="00A326DA"/>
    <w:rsid w:val="00A4317E"/>
    <w:rsid w:val="00A446CE"/>
    <w:rsid w:val="00A52B08"/>
    <w:rsid w:val="00A538AF"/>
    <w:rsid w:val="00A62628"/>
    <w:rsid w:val="00A671A4"/>
    <w:rsid w:val="00A7301E"/>
    <w:rsid w:val="00A7575D"/>
    <w:rsid w:val="00A7714F"/>
    <w:rsid w:val="00A802E1"/>
    <w:rsid w:val="00A95B3B"/>
    <w:rsid w:val="00AB4688"/>
    <w:rsid w:val="00AB5A32"/>
    <w:rsid w:val="00AC31BE"/>
    <w:rsid w:val="00AD3FC4"/>
    <w:rsid w:val="00AD415A"/>
    <w:rsid w:val="00AE2658"/>
    <w:rsid w:val="00AF2501"/>
    <w:rsid w:val="00AF604C"/>
    <w:rsid w:val="00AF78DB"/>
    <w:rsid w:val="00B05469"/>
    <w:rsid w:val="00B069AE"/>
    <w:rsid w:val="00B17987"/>
    <w:rsid w:val="00B22659"/>
    <w:rsid w:val="00B2407D"/>
    <w:rsid w:val="00B27D23"/>
    <w:rsid w:val="00B308E4"/>
    <w:rsid w:val="00B3460F"/>
    <w:rsid w:val="00B4109D"/>
    <w:rsid w:val="00B42FE9"/>
    <w:rsid w:val="00B43097"/>
    <w:rsid w:val="00B46701"/>
    <w:rsid w:val="00B52DE4"/>
    <w:rsid w:val="00B55195"/>
    <w:rsid w:val="00B65B6C"/>
    <w:rsid w:val="00B725DA"/>
    <w:rsid w:val="00B74AA2"/>
    <w:rsid w:val="00B803AD"/>
    <w:rsid w:val="00B8121B"/>
    <w:rsid w:val="00B83F15"/>
    <w:rsid w:val="00B91A2C"/>
    <w:rsid w:val="00BB2599"/>
    <w:rsid w:val="00BB670F"/>
    <w:rsid w:val="00BB6EF9"/>
    <w:rsid w:val="00BC7AE4"/>
    <w:rsid w:val="00BD4FCA"/>
    <w:rsid w:val="00BE6989"/>
    <w:rsid w:val="00BE7E88"/>
    <w:rsid w:val="00BF0A61"/>
    <w:rsid w:val="00BF4E89"/>
    <w:rsid w:val="00BF5F4E"/>
    <w:rsid w:val="00BF6524"/>
    <w:rsid w:val="00BF72FE"/>
    <w:rsid w:val="00C02952"/>
    <w:rsid w:val="00C03FE1"/>
    <w:rsid w:val="00C1297F"/>
    <w:rsid w:val="00C12EB3"/>
    <w:rsid w:val="00C21E65"/>
    <w:rsid w:val="00C308AC"/>
    <w:rsid w:val="00C32D69"/>
    <w:rsid w:val="00C3330E"/>
    <w:rsid w:val="00C335BD"/>
    <w:rsid w:val="00C467C2"/>
    <w:rsid w:val="00C47F14"/>
    <w:rsid w:val="00C51190"/>
    <w:rsid w:val="00C51BA3"/>
    <w:rsid w:val="00C53776"/>
    <w:rsid w:val="00C657A4"/>
    <w:rsid w:val="00C72329"/>
    <w:rsid w:val="00C72A42"/>
    <w:rsid w:val="00C762B8"/>
    <w:rsid w:val="00C807B4"/>
    <w:rsid w:val="00C9778B"/>
    <w:rsid w:val="00CA5D69"/>
    <w:rsid w:val="00CB0849"/>
    <w:rsid w:val="00CB69FF"/>
    <w:rsid w:val="00CC01D4"/>
    <w:rsid w:val="00CC37C7"/>
    <w:rsid w:val="00CC54DD"/>
    <w:rsid w:val="00CC74FF"/>
    <w:rsid w:val="00CD6FB7"/>
    <w:rsid w:val="00CD790F"/>
    <w:rsid w:val="00CE71FF"/>
    <w:rsid w:val="00CF1178"/>
    <w:rsid w:val="00D04CF3"/>
    <w:rsid w:val="00D06A4A"/>
    <w:rsid w:val="00D2164B"/>
    <w:rsid w:val="00D33627"/>
    <w:rsid w:val="00D37D84"/>
    <w:rsid w:val="00D52383"/>
    <w:rsid w:val="00D57372"/>
    <w:rsid w:val="00D57FC0"/>
    <w:rsid w:val="00D627B4"/>
    <w:rsid w:val="00D642A0"/>
    <w:rsid w:val="00D67AFE"/>
    <w:rsid w:val="00D73D38"/>
    <w:rsid w:val="00D81EC3"/>
    <w:rsid w:val="00D92C67"/>
    <w:rsid w:val="00DA42FA"/>
    <w:rsid w:val="00DA63B0"/>
    <w:rsid w:val="00DB57E2"/>
    <w:rsid w:val="00DB7970"/>
    <w:rsid w:val="00DC33BF"/>
    <w:rsid w:val="00DC789B"/>
    <w:rsid w:val="00DD2B48"/>
    <w:rsid w:val="00DD340A"/>
    <w:rsid w:val="00DD7FD4"/>
    <w:rsid w:val="00DE0642"/>
    <w:rsid w:val="00DE1F61"/>
    <w:rsid w:val="00DF6643"/>
    <w:rsid w:val="00DF7B78"/>
    <w:rsid w:val="00E044EE"/>
    <w:rsid w:val="00E1070B"/>
    <w:rsid w:val="00E14F14"/>
    <w:rsid w:val="00E21F85"/>
    <w:rsid w:val="00E26433"/>
    <w:rsid w:val="00E26A9A"/>
    <w:rsid w:val="00E30E4F"/>
    <w:rsid w:val="00E52E70"/>
    <w:rsid w:val="00E54DDF"/>
    <w:rsid w:val="00E56E27"/>
    <w:rsid w:val="00E60478"/>
    <w:rsid w:val="00E61734"/>
    <w:rsid w:val="00E67A8A"/>
    <w:rsid w:val="00E71C56"/>
    <w:rsid w:val="00E83578"/>
    <w:rsid w:val="00E91A34"/>
    <w:rsid w:val="00E976B1"/>
    <w:rsid w:val="00EA15E4"/>
    <w:rsid w:val="00EA4A50"/>
    <w:rsid w:val="00EA6836"/>
    <w:rsid w:val="00EC3F31"/>
    <w:rsid w:val="00ED028F"/>
    <w:rsid w:val="00EE12A0"/>
    <w:rsid w:val="00EE34DE"/>
    <w:rsid w:val="00EE6246"/>
    <w:rsid w:val="00EF1157"/>
    <w:rsid w:val="00F0634A"/>
    <w:rsid w:val="00F07220"/>
    <w:rsid w:val="00F1044E"/>
    <w:rsid w:val="00F10710"/>
    <w:rsid w:val="00F13383"/>
    <w:rsid w:val="00F14EC9"/>
    <w:rsid w:val="00F17F13"/>
    <w:rsid w:val="00F20E4B"/>
    <w:rsid w:val="00F232D7"/>
    <w:rsid w:val="00F41A06"/>
    <w:rsid w:val="00F44FD2"/>
    <w:rsid w:val="00F54090"/>
    <w:rsid w:val="00F6492D"/>
    <w:rsid w:val="00F75890"/>
    <w:rsid w:val="00F77E1D"/>
    <w:rsid w:val="00F84587"/>
    <w:rsid w:val="00F85230"/>
    <w:rsid w:val="00F9683E"/>
    <w:rsid w:val="00F97AF4"/>
    <w:rsid w:val="00FA35E5"/>
    <w:rsid w:val="00FB2C04"/>
    <w:rsid w:val="00FB4101"/>
    <w:rsid w:val="00FE1C30"/>
    <w:rsid w:val="00FE3151"/>
    <w:rsid w:val="00FE6137"/>
    <w:rsid w:val="00FF0C59"/>
    <w:rsid w:val="00FF5500"/>
    <w:rsid w:val="185A27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List Bullet"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62628"/>
    <w:pPr>
      <w:widowControl w:val="0"/>
      <w:jc w:val="both"/>
    </w:pPr>
    <w:rPr>
      <w:rFonts w:ascii="Times New Roman" w:eastAsia="宋体" w:hAnsi="Times New Roman" w:cs="Times New Roman"/>
      <w:kern w:val="2"/>
      <w:sz w:val="21"/>
      <w:szCs w:val="24"/>
    </w:rPr>
  </w:style>
  <w:style w:type="paragraph" w:styleId="1">
    <w:name w:val="heading 1"/>
    <w:basedOn w:val="a0"/>
    <w:next w:val="a0"/>
    <w:link w:val="1Char"/>
    <w:qFormat/>
    <w:rsid w:val="00A62628"/>
    <w:pPr>
      <w:widowControl/>
      <w:jc w:val="left"/>
      <w:outlineLvl w:val="0"/>
    </w:pPr>
    <w:rPr>
      <w:rFonts w:ascii="宋体" w:hAnsi="宋体" w:cs="宋体"/>
      <w:b/>
      <w:bCs/>
      <w:kern w:val="36"/>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unhideWhenUsed/>
    <w:rsid w:val="00A62628"/>
    <w:pPr>
      <w:numPr>
        <w:numId w:val="1"/>
      </w:numPr>
      <w:contextualSpacing/>
    </w:pPr>
  </w:style>
  <w:style w:type="paragraph" w:styleId="a4">
    <w:name w:val="annotation text"/>
    <w:basedOn w:val="a0"/>
    <w:link w:val="Char"/>
    <w:uiPriority w:val="99"/>
    <w:semiHidden/>
    <w:unhideWhenUsed/>
    <w:rsid w:val="00A62628"/>
    <w:pPr>
      <w:jc w:val="left"/>
    </w:pPr>
  </w:style>
  <w:style w:type="paragraph" w:styleId="a5">
    <w:name w:val="Balloon Text"/>
    <w:basedOn w:val="a0"/>
    <w:link w:val="Char0"/>
    <w:uiPriority w:val="99"/>
    <w:semiHidden/>
    <w:unhideWhenUsed/>
    <w:rsid w:val="00A62628"/>
    <w:rPr>
      <w:sz w:val="18"/>
      <w:szCs w:val="18"/>
    </w:rPr>
  </w:style>
  <w:style w:type="paragraph" w:styleId="a6">
    <w:name w:val="footer"/>
    <w:basedOn w:val="a0"/>
    <w:link w:val="Char1"/>
    <w:uiPriority w:val="99"/>
    <w:unhideWhenUsed/>
    <w:rsid w:val="00A62628"/>
    <w:pPr>
      <w:tabs>
        <w:tab w:val="center" w:pos="4153"/>
        <w:tab w:val="right" w:pos="8306"/>
      </w:tabs>
      <w:snapToGrid w:val="0"/>
      <w:jc w:val="left"/>
    </w:pPr>
    <w:rPr>
      <w:sz w:val="18"/>
      <w:szCs w:val="18"/>
    </w:rPr>
  </w:style>
  <w:style w:type="paragraph" w:styleId="a7">
    <w:name w:val="header"/>
    <w:basedOn w:val="a0"/>
    <w:link w:val="Char2"/>
    <w:uiPriority w:val="99"/>
    <w:unhideWhenUsed/>
    <w:rsid w:val="00A62628"/>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uiPriority w:val="99"/>
    <w:semiHidden/>
    <w:unhideWhenUsed/>
    <w:rsid w:val="00A62628"/>
    <w:rPr>
      <w:b/>
      <w:bCs/>
    </w:rPr>
  </w:style>
  <w:style w:type="table" w:styleId="a9">
    <w:name w:val="Table Grid"/>
    <w:basedOn w:val="a2"/>
    <w:uiPriority w:val="59"/>
    <w:rsid w:val="00A62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1"/>
    <w:rsid w:val="00A62628"/>
    <w:rPr>
      <w:color w:val="0000FF"/>
      <w:u w:val="single"/>
    </w:rPr>
  </w:style>
  <w:style w:type="character" w:styleId="ab">
    <w:name w:val="annotation reference"/>
    <w:basedOn w:val="a1"/>
    <w:uiPriority w:val="99"/>
    <w:semiHidden/>
    <w:unhideWhenUsed/>
    <w:rsid w:val="00A62628"/>
    <w:rPr>
      <w:sz w:val="21"/>
      <w:szCs w:val="21"/>
    </w:rPr>
  </w:style>
  <w:style w:type="character" w:customStyle="1" w:styleId="Char2">
    <w:name w:val="页眉 Char"/>
    <w:basedOn w:val="a1"/>
    <w:link w:val="a7"/>
    <w:uiPriority w:val="99"/>
    <w:rsid w:val="00A62628"/>
    <w:rPr>
      <w:sz w:val="18"/>
      <w:szCs w:val="18"/>
    </w:rPr>
  </w:style>
  <w:style w:type="character" w:customStyle="1" w:styleId="Char1">
    <w:name w:val="页脚 Char"/>
    <w:basedOn w:val="a1"/>
    <w:link w:val="a6"/>
    <w:uiPriority w:val="99"/>
    <w:rsid w:val="00A62628"/>
    <w:rPr>
      <w:sz w:val="18"/>
      <w:szCs w:val="18"/>
    </w:rPr>
  </w:style>
  <w:style w:type="character" w:customStyle="1" w:styleId="1Char">
    <w:name w:val="标题 1 Char"/>
    <w:basedOn w:val="a1"/>
    <w:link w:val="1"/>
    <w:rsid w:val="00A62628"/>
    <w:rPr>
      <w:rFonts w:ascii="宋体" w:eastAsia="宋体" w:hAnsi="宋体" w:cs="宋体"/>
      <w:b/>
      <w:bCs/>
      <w:kern w:val="36"/>
      <w:sz w:val="36"/>
      <w:szCs w:val="36"/>
    </w:rPr>
  </w:style>
  <w:style w:type="paragraph" w:customStyle="1" w:styleId="Char1CharCharCharCharCharCharCharCharCharCharCharChar1CharCharCharCharCharCharCharCharCharCharCharChar1CharChar">
    <w:name w:val="Char1 Char Char Char Char Char Char Char Char Char Char Char Char1 Char Char Char Char Char Char Char Char Char Char Char Char1 Char Char"/>
    <w:basedOn w:val="a0"/>
    <w:qFormat/>
    <w:rsid w:val="00A62628"/>
  </w:style>
  <w:style w:type="character" w:customStyle="1" w:styleId="Char0">
    <w:name w:val="批注框文本 Char"/>
    <w:basedOn w:val="a1"/>
    <w:link w:val="a5"/>
    <w:uiPriority w:val="99"/>
    <w:semiHidden/>
    <w:rsid w:val="00A62628"/>
    <w:rPr>
      <w:rFonts w:ascii="Times New Roman" w:eastAsia="宋体" w:hAnsi="Times New Roman" w:cs="Times New Roman"/>
      <w:sz w:val="18"/>
      <w:szCs w:val="18"/>
    </w:rPr>
  </w:style>
  <w:style w:type="character" w:customStyle="1" w:styleId="Char">
    <w:name w:val="批注文字 Char"/>
    <w:basedOn w:val="a1"/>
    <w:link w:val="a4"/>
    <w:uiPriority w:val="99"/>
    <w:semiHidden/>
    <w:rsid w:val="00A62628"/>
    <w:rPr>
      <w:rFonts w:ascii="Times New Roman" w:eastAsia="宋体" w:hAnsi="Times New Roman" w:cs="Times New Roman"/>
      <w:szCs w:val="24"/>
    </w:rPr>
  </w:style>
  <w:style w:type="character" w:customStyle="1" w:styleId="Char3">
    <w:name w:val="批注主题 Char"/>
    <w:basedOn w:val="Char"/>
    <w:link w:val="a8"/>
    <w:uiPriority w:val="99"/>
    <w:semiHidden/>
    <w:rsid w:val="00A62628"/>
    <w:rPr>
      <w:rFonts w:ascii="Times New Roman" w:eastAsia="宋体" w:hAnsi="Times New Roman" w:cs="Times New Roman"/>
      <w:b/>
      <w:bCs/>
      <w:szCs w:val="24"/>
    </w:rPr>
  </w:style>
  <w:style w:type="paragraph" w:styleId="ac">
    <w:name w:val="List Paragraph"/>
    <w:basedOn w:val="a0"/>
    <w:uiPriority w:val="34"/>
    <w:qFormat/>
    <w:rsid w:val="00A62628"/>
    <w:pPr>
      <w:ind w:firstLineChars="200" w:firstLine="420"/>
    </w:pPr>
  </w:style>
  <w:style w:type="paragraph" w:customStyle="1" w:styleId="Default">
    <w:name w:val="Default"/>
    <w:rsid w:val="00A62628"/>
    <w:pPr>
      <w:widowControl w:val="0"/>
      <w:autoSpaceDE w:val="0"/>
      <w:autoSpaceDN w:val="0"/>
      <w:adjustRightInd w:val="0"/>
    </w:pPr>
    <w:rPr>
      <w:rFonts w:ascii="宋体" w:eastAsia="宋体" w:cs="宋体"/>
      <w:color w:val="000000"/>
      <w:sz w:val="24"/>
      <w:szCs w:val="24"/>
    </w:rPr>
  </w:style>
  <w:style w:type="paragraph" w:customStyle="1" w:styleId="10">
    <w:name w:val="修订1"/>
    <w:hidden/>
    <w:uiPriority w:val="99"/>
    <w:semiHidden/>
    <w:rsid w:val="00A62628"/>
    <w:rPr>
      <w:rFonts w:ascii="Times New Roman" w:eastAsia="宋体" w:hAnsi="Times New Roman" w:cs="Times New Roman"/>
      <w:kern w:val="2"/>
      <w:sz w:val="21"/>
      <w:szCs w:val="24"/>
    </w:rPr>
  </w:style>
  <w:style w:type="paragraph" w:styleId="ad">
    <w:name w:val="Revision"/>
    <w:hidden/>
    <w:uiPriority w:val="99"/>
    <w:semiHidden/>
    <w:rsid w:val="00C32D69"/>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CA348F-4931-4164-9B04-E6D9D343C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275</Words>
  <Characters>1568</Characters>
  <Application>Microsoft Office Word</Application>
  <DocSecurity>4</DocSecurity>
  <Lines>13</Lines>
  <Paragraphs>3</Paragraphs>
  <ScaleCrop>false</ScaleCrop>
  <Company>fts</Company>
  <LinksUpToDate>false</LinksUpToDate>
  <CharactersWithSpaces>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Xie,Yuting(谢玉婷)</dc:creator>
  <cp:lastModifiedBy>ZHONGM</cp:lastModifiedBy>
  <cp:revision>2</cp:revision>
  <cp:lastPrinted>2020-09-23T01:55:00Z</cp:lastPrinted>
  <dcterms:created xsi:type="dcterms:W3CDTF">2023-03-27T16:01:00Z</dcterms:created>
  <dcterms:modified xsi:type="dcterms:W3CDTF">2023-03-27T16:01:00Z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