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F" w:rsidRDefault="00831659" w:rsidP="00E11D5E">
      <w:pPr>
        <w:adjustRightInd w:val="0"/>
        <w:snapToGrid w:val="0"/>
        <w:jc w:val="center"/>
        <w:rPr>
          <w:rFonts w:ascii="黑体" w:eastAsia="黑体" w:hAnsi="黑体"/>
          <w:b/>
          <w:sz w:val="30"/>
          <w:szCs w:val="30"/>
        </w:rPr>
      </w:pPr>
      <w:r>
        <w:rPr>
          <w:rFonts w:ascii="黑体" w:eastAsia="黑体" w:hAnsi="黑体"/>
          <w:b/>
          <w:sz w:val="30"/>
          <w:szCs w:val="30"/>
        </w:rPr>
        <w:t>前海开源弘泽债券型发起式证券投资基金</w:t>
      </w:r>
    </w:p>
    <w:p w:rsidR="00E11D5E" w:rsidRPr="00C16159" w:rsidRDefault="009E0476" w:rsidP="00E11D5E">
      <w:pPr>
        <w:adjustRightInd w:val="0"/>
        <w:snapToGrid w:val="0"/>
        <w:jc w:val="center"/>
        <w:rPr>
          <w:rFonts w:ascii="黑体" w:eastAsia="黑体" w:hAnsi="黑体"/>
          <w:b/>
          <w:sz w:val="30"/>
          <w:szCs w:val="30"/>
        </w:rPr>
      </w:pPr>
      <w:r>
        <w:rPr>
          <w:rFonts w:ascii="黑体" w:eastAsia="黑体" w:hAnsi="黑体"/>
          <w:b/>
          <w:sz w:val="30"/>
          <w:szCs w:val="30"/>
        </w:rPr>
        <w:t>2023</w:t>
      </w:r>
      <w:r w:rsidR="00A44BB6" w:rsidRPr="00A44BB6">
        <w:rPr>
          <w:rFonts w:ascii="黑体" w:eastAsia="黑体" w:hAnsi="黑体" w:hint="eastAsia"/>
          <w:b/>
          <w:sz w:val="30"/>
          <w:szCs w:val="30"/>
        </w:rPr>
        <w:t>年度第</w:t>
      </w:r>
      <w:r>
        <w:rPr>
          <w:rFonts w:ascii="黑体" w:eastAsia="黑体" w:hAnsi="黑体"/>
          <w:b/>
          <w:sz w:val="30"/>
          <w:szCs w:val="30"/>
        </w:rPr>
        <w:t>1</w:t>
      </w:r>
      <w:r w:rsidR="00A44BB6" w:rsidRPr="00A44BB6">
        <w:rPr>
          <w:rFonts w:ascii="黑体" w:eastAsia="黑体" w:hAnsi="黑体" w:hint="eastAsia"/>
          <w:b/>
          <w:sz w:val="30"/>
          <w:szCs w:val="30"/>
        </w:rPr>
        <w:t>次收益分配公告</w:t>
      </w:r>
    </w:p>
    <w:p w:rsidR="00E11D5E" w:rsidRDefault="00E11D5E" w:rsidP="00E11D5E">
      <w:pPr>
        <w:adjustRightInd w:val="0"/>
        <w:snapToGrid w:val="0"/>
        <w:spacing w:line="360" w:lineRule="auto"/>
        <w:jc w:val="center"/>
        <w:rPr>
          <w:rFonts w:ascii="宋体" w:hAnsi="宋体"/>
          <w:sz w:val="24"/>
        </w:rPr>
      </w:pPr>
    </w:p>
    <w:p w:rsidR="00E11D5E" w:rsidRPr="00B42DCE" w:rsidRDefault="00E11D5E" w:rsidP="00E11D5E">
      <w:pPr>
        <w:adjustRightInd w:val="0"/>
        <w:snapToGrid w:val="0"/>
        <w:spacing w:line="360" w:lineRule="auto"/>
        <w:jc w:val="center"/>
        <w:rPr>
          <w:rFonts w:ascii="宋体" w:hAnsi="宋体"/>
          <w:sz w:val="24"/>
        </w:rPr>
      </w:pPr>
      <w:r w:rsidRPr="00B42DCE">
        <w:rPr>
          <w:rFonts w:ascii="宋体" w:hAnsi="宋体" w:hint="eastAsia"/>
          <w:sz w:val="24"/>
        </w:rPr>
        <w:t>公告送出日期：</w:t>
      </w:r>
      <w:r w:rsidR="009634A3">
        <w:rPr>
          <w:rFonts w:ascii="宋体" w:hAnsi="宋体"/>
          <w:sz w:val="24"/>
        </w:rPr>
        <w:t>2023年3月28日</w:t>
      </w:r>
      <w:r w:rsidR="00E50DEC" w:rsidRPr="00B42DCE">
        <w:rPr>
          <w:rFonts w:ascii="宋体" w:hAnsi="宋体"/>
          <w:sz w:val="24"/>
        </w:rPr>
        <w:t xml:space="preserve"> </w:t>
      </w:r>
    </w:p>
    <w:p w:rsidR="00E11D5E" w:rsidRDefault="00E11D5E" w:rsidP="00E11D5E">
      <w:pPr>
        <w:adjustRightInd w:val="0"/>
        <w:snapToGrid w:val="0"/>
        <w:spacing w:line="360" w:lineRule="auto"/>
        <w:ind w:firstLineChars="200" w:firstLine="480"/>
        <w:rPr>
          <w:rFonts w:ascii="宋体" w:hAnsi="宋体"/>
          <w:sz w:val="24"/>
        </w:rPr>
      </w:pPr>
    </w:p>
    <w:p w:rsidR="00E11D5E" w:rsidRPr="00B42DCE" w:rsidRDefault="00E11D5E" w:rsidP="00E11D5E">
      <w:pPr>
        <w:adjustRightInd w:val="0"/>
        <w:snapToGrid w:val="0"/>
        <w:spacing w:line="360" w:lineRule="auto"/>
        <w:ind w:firstLineChars="200" w:firstLine="482"/>
        <w:rPr>
          <w:rFonts w:ascii="宋体" w:hAnsi="宋体"/>
          <w:b/>
          <w:sz w:val="24"/>
        </w:rPr>
      </w:pPr>
      <w:r w:rsidRPr="00B42DCE">
        <w:rPr>
          <w:rFonts w:ascii="宋体" w:hAnsi="宋体" w:hint="eastAsia"/>
          <w:b/>
          <w:sz w:val="24"/>
        </w:rPr>
        <w:t>1 公告基本信息</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2"/>
        <w:gridCol w:w="2693"/>
        <w:gridCol w:w="2424"/>
        <w:gridCol w:w="2425"/>
      </w:tblGrid>
      <w:tr w:rsidR="00E11D5E" w:rsidRPr="00112DF0" w:rsidTr="00023EB9">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基金名称</w:t>
            </w:r>
          </w:p>
        </w:tc>
        <w:tc>
          <w:tcPr>
            <w:tcW w:w="4849"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831659" w:rsidP="00F56BE4">
            <w:pPr>
              <w:adjustRightInd w:val="0"/>
              <w:snapToGrid w:val="0"/>
              <w:rPr>
                <w:rFonts w:ascii="宋体" w:hAnsi="宋体"/>
                <w:sz w:val="24"/>
                <w:szCs w:val="24"/>
              </w:rPr>
            </w:pPr>
            <w:r>
              <w:rPr>
                <w:rFonts w:ascii="宋体" w:hAnsi="宋体"/>
                <w:sz w:val="24"/>
                <w:szCs w:val="24"/>
              </w:rPr>
              <w:t>前海开源弘泽债券型发起式证券投资基金</w:t>
            </w:r>
          </w:p>
        </w:tc>
      </w:tr>
      <w:tr w:rsidR="00E11D5E" w:rsidRPr="00112DF0" w:rsidTr="00023EB9">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基金简称</w:t>
            </w:r>
          </w:p>
        </w:tc>
        <w:tc>
          <w:tcPr>
            <w:tcW w:w="4849" w:type="dxa"/>
            <w:gridSpan w:val="2"/>
            <w:tcBorders>
              <w:top w:val="single" w:sz="4" w:space="0" w:color="auto"/>
              <w:left w:val="single" w:sz="4" w:space="0" w:color="auto"/>
              <w:bottom w:val="single" w:sz="4" w:space="0" w:color="auto"/>
              <w:right w:val="single" w:sz="4" w:space="0" w:color="auto"/>
            </w:tcBorders>
            <w:vAlign w:val="center"/>
            <w:hideMark/>
          </w:tcPr>
          <w:p w:rsidR="00E11D5E" w:rsidRPr="00C36AA9" w:rsidRDefault="00831659" w:rsidP="0049119A">
            <w:pPr>
              <w:adjustRightInd w:val="0"/>
              <w:snapToGrid w:val="0"/>
              <w:rPr>
                <w:rFonts w:ascii="宋体" w:hAnsi="宋体"/>
                <w:sz w:val="24"/>
                <w:szCs w:val="24"/>
              </w:rPr>
            </w:pPr>
            <w:r>
              <w:rPr>
                <w:rFonts w:ascii="宋体" w:hAnsi="宋体"/>
                <w:sz w:val="24"/>
                <w:szCs w:val="24"/>
              </w:rPr>
              <w:t>前海开源弘泽债券</w:t>
            </w:r>
          </w:p>
        </w:tc>
      </w:tr>
      <w:tr w:rsidR="00E11D5E" w:rsidRPr="00112DF0" w:rsidTr="00023EB9">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基金主代码</w:t>
            </w:r>
          </w:p>
        </w:tc>
        <w:tc>
          <w:tcPr>
            <w:tcW w:w="4849"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00522D" w:rsidP="00257B3A">
            <w:pPr>
              <w:adjustRightInd w:val="0"/>
              <w:snapToGrid w:val="0"/>
              <w:rPr>
                <w:rFonts w:ascii="宋体" w:hAnsi="宋体"/>
                <w:sz w:val="24"/>
                <w:szCs w:val="24"/>
              </w:rPr>
            </w:pPr>
            <w:r>
              <w:rPr>
                <w:rFonts w:ascii="宋体" w:hAnsi="宋体"/>
                <w:sz w:val="24"/>
                <w:szCs w:val="24"/>
              </w:rPr>
              <w:t>005301</w:t>
            </w:r>
          </w:p>
        </w:tc>
      </w:tr>
      <w:tr w:rsidR="00E11D5E" w:rsidRPr="00112DF0" w:rsidTr="00023EB9">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基金合同生效日</w:t>
            </w:r>
          </w:p>
        </w:tc>
        <w:tc>
          <w:tcPr>
            <w:tcW w:w="4849"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8A6D4E" w:rsidP="0049119A">
            <w:pPr>
              <w:adjustRightInd w:val="0"/>
              <w:snapToGrid w:val="0"/>
              <w:rPr>
                <w:rFonts w:ascii="宋体" w:hAnsi="宋体"/>
                <w:sz w:val="24"/>
                <w:szCs w:val="24"/>
              </w:rPr>
            </w:pPr>
            <w:r>
              <w:rPr>
                <w:rFonts w:ascii="宋体" w:hAnsi="宋体"/>
                <w:sz w:val="24"/>
                <w:szCs w:val="24"/>
              </w:rPr>
              <w:t>2020年9月1日</w:t>
            </w:r>
          </w:p>
        </w:tc>
      </w:tr>
      <w:tr w:rsidR="00E11D5E" w:rsidRPr="00112DF0" w:rsidTr="00023EB9">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基金管理人名称</w:t>
            </w:r>
          </w:p>
        </w:tc>
        <w:tc>
          <w:tcPr>
            <w:tcW w:w="4849"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前海开源基金管理有限公司</w:t>
            </w:r>
          </w:p>
        </w:tc>
      </w:tr>
      <w:tr w:rsidR="00E11D5E" w:rsidRPr="00112DF0" w:rsidTr="00023EB9">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基金托管人名称</w:t>
            </w:r>
          </w:p>
        </w:tc>
        <w:tc>
          <w:tcPr>
            <w:tcW w:w="4849"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F71B06" w:rsidP="00F56BE4">
            <w:pPr>
              <w:adjustRightInd w:val="0"/>
              <w:snapToGrid w:val="0"/>
              <w:rPr>
                <w:rFonts w:ascii="宋体" w:hAnsi="宋体"/>
                <w:sz w:val="24"/>
                <w:szCs w:val="24"/>
              </w:rPr>
            </w:pPr>
            <w:r>
              <w:rPr>
                <w:rFonts w:ascii="宋体" w:hAnsi="宋体"/>
                <w:sz w:val="24"/>
                <w:szCs w:val="24"/>
              </w:rPr>
              <w:t>上海浦东发展银行股份有限公司</w:t>
            </w:r>
          </w:p>
        </w:tc>
      </w:tr>
      <w:tr w:rsidR="00E11D5E" w:rsidRPr="00112DF0" w:rsidTr="00023EB9">
        <w:trPr>
          <w:trHeight w:val="382"/>
          <w:jc w:val="center"/>
        </w:trPr>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公告依据</w:t>
            </w:r>
          </w:p>
        </w:tc>
        <w:tc>
          <w:tcPr>
            <w:tcW w:w="4849"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CF5CE5" w:rsidP="00C7507A">
            <w:pPr>
              <w:adjustRightInd w:val="0"/>
              <w:snapToGrid w:val="0"/>
              <w:rPr>
                <w:rFonts w:ascii="宋体" w:hAnsi="宋体"/>
                <w:sz w:val="24"/>
                <w:szCs w:val="24"/>
              </w:rPr>
            </w:pPr>
            <w:r>
              <w:rPr>
                <w:rFonts w:ascii="宋体" w:hAnsi="宋体" w:hint="eastAsia"/>
                <w:sz w:val="24"/>
                <w:szCs w:val="24"/>
              </w:rPr>
              <w:t>《</w:t>
            </w:r>
            <w:r w:rsidR="0013213F" w:rsidRPr="0013213F">
              <w:rPr>
                <w:rFonts w:ascii="宋体" w:hAnsi="宋体" w:hint="eastAsia"/>
                <w:sz w:val="24"/>
                <w:szCs w:val="24"/>
              </w:rPr>
              <w:t>公开募集证券投资基金信息披露管理办</w:t>
            </w:r>
            <w:r w:rsidR="006A187A">
              <w:rPr>
                <w:rFonts w:ascii="宋体" w:hAnsi="宋体" w:hint="eastAsia"/>
                <w:sz w:val="24"/>
                <w:szCs w:val="24"/>
              </w:rPr>
              <w:t>法》、</w:t>
            </w:r>
            <w:r w:rsidR="0013213F" w:rsidRPr="0013213F">
              <w:rPr>
                <w:rFonts w:ascii="宋体" w:hAnsi="宋体" w:hint="eastAsia"/>
                <w:sz w:val="24"/>
                <w:szCs w:val="24"/>
              </w:rPr>
              <w:t>《</w:t>
            </w:r>
            <w:r w:rsidR="00831659">
              <w:rPr>
                <w:rFonts w:ascii="宋体" w:hAnsi="宋体"/>
                <w:sz w:val="24"/>
                <w:szCs w:val="24"/>
              </w:rPr>
              <w:t>前海开源弘泽债券型发起式证券投资基金</w:t>
            </w:r>
            <w:r w:rsidR="0013213F" w:rsidRPr="0013213F">
              <w:rPr>
                <w:rFonts w:ascii="宋体" w:hAnsi="宋体" w:hint="eastAsia"/>
                <w:sz w:val="24"/>
                <w:szCs w:val="24"/>
              </w:rPr>
              <w:t>基金合同》、《</w:t>
            </w:r>
            <w:r w:rsidR="00831659">
              <w:rPr>
                <w:rFonts w:ascii="宋体" w:hAnsi="宋体"/>
                <w:sz w:val="24"/>
                <w:szCs w:val="24"/>
              </w:rPr>
              <w:t>前海开源弘泽债券型发起式证券投资基金</w:t>
            </w:r>
            <w:r w:rsidR="0013213F" w:rsidRPr="0013213F">
              <w:rPr>
                <w:rFonts w:ascii="宋体" w:hAnsi="宋体" w:hint="eastAsia"/>
                <w:sz w:val="24"/>
                <w:szCs w:val="24"/>
              </w:rPr>
              <w:t>招募说明书》及其更新</w:t>
            </w:r>
          </w:p>
        </w:tc>
      </w:tr>
      <w:tr w:rsidR="00E11D5E" w:rsidRPr="00112DF0" w:rsidTr="00023EB9">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E11D5E" w:rsidP="00F56BE4">
            <w:pPr>
              <w:adjustRightInd w:val="0"/>
              <w:snapToGrid w:val="0"/>
              <w:rPr>
                <w:rFonts w:ascii="宋体" w:hAnsi="宋体"/>
                <w:sz w:val="24"/>
                <w:szCs w:val="24"/>
              </w:rPr>
            </w:pPr>
            <w:r w:rsidRPr="00112DF0">
              <w:rPr>
                <w:rFonts w:ascii="宋体" w:hAnsi="宋体" w:hint="eastAsia"/>
                <w:sz w:val="24"/>
                <w:szCs w:val="24"/>
              </w:rPr>
              <w:t>收益分配基准日</w:t>
            </w:r>
          </w:p>
        </w:tc>
        <w:tc>
          <w:tcPr>
            <w:tcW w:w="4849" w:type="dxa"/>
            <w:gridSpan w:val="2"/>
            <w:tcBorders>
              <w:top w:val="single" w:sz="4" w:space="0" w:color="auto"/>
              <w:left w:val="single" w:sz="4" w:space="0" w:color="auto"/>
              <w:bottom w:val="single" w:sz="4" w:space="0" w:color="auto"/>
              <w:right w:val="single" w:sz="4" w:space="0" w:color="auto"/>
            </w:tcBorders>
            <w:vAlign w:val="center"/>
            <w:hideMark/>
          </w:tcPr>
          <w:p w:rsidR="00E11D5E" w:rsidRPr="00112DF0" w:rsidRDefault="00831659" w:rsidP="0013213F">
            <w:pPr>
              <w:adjustRightInd w:val="0"/>
              <w:snapToGrid w:val="0"/>
              <w:rPr>
                <w:rFonts w:ascii="宋体" w:hAnsi="宋体"/>
                <w:sz w:val="24"/>
                <w:szCs w:val="24"/>
              </w:rPr>
            </w:pPr>
            <w:r>
              <w:rPr>
                <w:rFonts w:ascii="宋体" w:hAnsi="宋体"/>
                <w:sz w:val="24"/>
                <w:szCs w:val="24"/>
              </w:rPr>
              <w:t>2023年3月20日</w:t>
            </w:r>
          </w:p>
        </w:tc>
      </w:tr>
      <w:tr w:rsidR="00E461DB" w:rsidRPr="00112DF0" w:rsidTr="00023EB9">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tcPr>
          <w:p w:rsidR="00E461DB" w:rsidRPr="00112DF0" w:rsidRDefault="00E461DB" w:rsidP="00E461DB">
            <w:pPr>
              <w:adjustRightInd w:val="0"/>
              <w:snapToGrid w:val="0"/>
              <w:rPr>
                <w:rFonts w:ascii="宋体" w:hAnsi="宋体"/>
                <w:sz w:val="24"/>
                <w:szCs w:val="24"/>
              </w:rPr>
            </w:pPr>
            <w:r w:rsidRPr="00112DF0">
              <w:rPr>
                <w:rFonts w:ascii="宋体" w:hAnsi="宋体" w:hint="eastAsia"/>
                <w:sz w:val="24"/>
                <w:szCs w:val="24"/>
              </w:rPr>
              <w:t>有关年度分红次数的说明</w:t>
            </w:r>
          </w:p>
        </w:tc>
        <w:tc>
          <w:tcPr>
            <w:tcW w:w="4849" w:type="dxa"/>
            <w:gridSpan w:val="2"/>
            <w:tcBorders>
              <w:top w:val="single" w:sz="4" w:space="0" w:color="auto"/>
              <w:left w:val="single" w:sz="4" w:space="0" w:color="auto"/>
              <w:bottom w:val="single" w:sz="4" w:space="0" w:color="auto"/>
              <w:right w:val="single" w:sz="4" w:space="0" w:color="auto"/>
            </w:tcBorders>
            <w:vAlign w:val="center"/>
          </w:tcPr>
          <w:p w:rsidR="00E461DB" w:rsidRPr="00112DF0" w:rsidRDefault="00E461DB" w:rsidP="00E461DB">
            <w:pPr>
              <w:adjustRightInd w:val="0"/>
              <w:snapToGrid w:val="0"/>
              <w:rPr>
                <w:rFonts w:ascii="宋体" w:hAnsi="宋体"/>
                <w:sz w:val="24"/>
                <w:szCs w:val="24"/>
              </w:rPr>
            </w:pPr>
            <w:r w:rsidRPr="00112DF0">
              <w:rPr>
                <w:rFonts w:ascii="宋体" w:hAnsi="宋体" w:hint="eastAsia"/>
                <w:sz w:val="24"/>
                <w:szCs w:val="24"/>
              </w:rPr>
              <w:t>本次分红为本基金</w:t>
            </w:r>
            <w:r>
              <w:rPr>
                <w:rFonts w:ascii="宋体" w:hAnsi="宋体"/>
                <w:sz w:val="24"/>
                <w:szCs w:val="24"/>
              </w:rPr>
              <w:t>2023</w:t>
            </w:r>
            <w:r w:rsidRPr="00112DF0">
              <w:rPr>
                <w:rFonts w:ascii="宋体" w:hAnsi="宋体" w:hint="eastAsia"/>
                <w:sz w:val="24"/>
                <w:szCs w:val="24"/>
              </w:rPr>
              <w:t>年度的第</w:t>
            </w:r>
            <w:r w:rsidRPr="003D2646">
              <w:rPr>
                <w:rFonts w:ascii="宋体" w:hAnsi="宋体"/>
                <w:sz w:val="24"/>
                <w:szCs w:val="24"/>
              </w:rPr>
              <w:t>1</w:t>
            </w:r>
            <w:r w:rsidRPr="00112DF0">
              <w:rPr>
                <w:rFonts w:ascii="宋体" w:hAnsi="宋体" w:hint="eastAsia"/>
                <w:sz w:val="24"/>
                <w:szCs w:val="24"/>
              </w:rPr>
              <w:t>次分红</w:t>
            </w:r>
          </w:p>
        </w:tc>
      </w:tr>
      <w:tr w:rsidR="0049119A" w:rsidRPr="00112DF0" w:rsidTr="006C12D0">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tcPr>
          <w:p w:rsidR="00257B3A" w:rsidRPr="00E461DB" w:rsidRDefault="0049119A" w:rsidP="006C12D0">
            <w:pPr>
              <w:adjustRightInd w:val="0"/>
              <w:snapToGrid w:val="0"/>
              <w:rPr>
                <w:rFonts w:ascii="宋体" w:hAnsi="宋体"/>
                <w:sz w:val="24"/>
                <w:szCs w:val="24"/>
              </w:rPr>
            </w:pPr>
            <w:r w:rsidRPr="00926426">
              <w:rPr>
                <w:rFonts w:ascii="宋体" w:hAnsi="宋体"/>
                <w:sz w:val="24"/>
                <w:szCs w:val="24"/>
              </w:rPr>
              <w:t>下属分级基金的基金简称</w:t>
            </w:r>
          </w:p>
        </w:tc>
        <w:tc>
          <w:tcPr>
            <w:tcW w:w="2424" w:type="dxa"/>
            <w:tcBorders>
              <w:top w:val="single" w:sz="4" w:space="0" w:color="auto"/>
              <w:left w:val="single" w:sz="4" w:space="0" w:color="auto"/>
              <w:bottom w:val="single" w:sz="4" w:space="0" w:color="auto"/>
              <w:right w:val="single" w:sz="4" w:space="0" w:color="auto"/>
            </w:tcBorders>
            <w:vAlign w:val="center"/>
          </w:tcPr>
          <w:p w:rsidR="0049119A" w:rsidRPr="00112DF0" w:rsidRDefault="00F17DAE" w:rsidP="006C12D0">
            <w:pPr>
              <w:adjustRightInd w:val="0"/>
              <w:snapToGrid w:val="0"/>
              <w:rPr>
                <w:rFonts w:ascii="宋体" w:hAnsi="宋体"/>
                <w:sz w:val="24"/>
                <w:szCs w:val="24"/>
              </w:rPr>
            </w:pPr>
            <w:r>
              <w:rPr>
                <w:rFonts w:ascii="宋体" w:hAnsi="宋体"/>
                <w:sz w:val="24"/>
                <w:szCs w:val="24"/>
              </w:rPr>
              <w:t>前海开源弘泽债券A</w:t>
            </w:r>
          </w:p>
        </w:tc>
        <w:tc>
          <w:tcPr>
            <w:tcW w:w="2425" w:type="dxa"/>
            <w:tcBorders>
              <w:top w:val="single" w:sz="4" w:space="0" w:color="auto"/>
              <w:left w:val="single" w:sz="4" w:space="0" w:color="auto"/>
              <w:bottom w:val="single" w:sz="4" w:space="0" w:color="auto"/>
              <w:right w:val="single" w:sz="4" w:space="0" w:color="auto"/>
            </w:tcBorders>
            <w:vAlign w:val="center"/>
          </w:tcPr>
          <w:p w:rsidR="0049119A" w:rsidRPr="00112DF0" w:rsidRDefault="00F17DAE" w:rsidP="0049119A">
            <w:pPr>
              <w:adjustRightInd w:val="0"/>
              <w:snapToGrid w:val="0"/>
              <w:rPr>
                <w:rFonts w:ascii="宋体" w:hAnsi="宋体"/>
                <w:sz w:val="24"/>
                <w:szCs w:val="24"/>
              </w:rPr>
            </w:pPr>
            <w:r>
              <w:rPr>
                <w:rFonts w:ascii="宋体" w:hAnsi="宋体"/>
                <w:sz w:val="24"/>
                <w:szCs w:val="24"/>
              </w:rPr>
              <w:t>前海开源弘泽债券C</w:t>
            </w:r>
          </w:p>
        </w:tc>
      </w:tr>
      <w:tr w:rsidR="00257B3A" w:rsidRPr="00112DF0" w:rsidTr="009252DE">
        <w:trPr>
          <w:jc w:val="center"/>
        </w:trPr>
        <w:tc>
          <w:tcPr>
            <w:tcW w:w="3915" w:type="dxa"/>
            <w:gridSpan w:val="2"/>
            <w:tcBorders>
              <w:top w:val="single" w:sz="4" w:space="0" w:color="auto"/>
              <w:left w:val="single" w:sz="4" w:space="0" w:color="auto"/>
              <w:bottom w:val="single" w:sz="4" w:space="0" w:color="auto"/>
              <w:right w:val="single" w:sz="4" w:space="0" w:color="auto"/>
            </w:tcBorders>
            <w:vAlign w:val="center"/>
          </w:tcPr>
          <w:p w:rsidR="00257B3A" w:rsidRPr="00112DF0" w:rsidRDefault="00257B3A" w:rsidP="00257B3A">
            <w:pPr>
              <w:adjustRightInd w:val="0"/>
              <w:snapToGrid w:val="0"/>
              <w:rPr>
                <w:rFonts w:ascii="宋体" w:hAnsi="宋体"/>
                <w:sz w:val="24"/>
                <w:szCs w:val="24"/>
              </w:rPr>
            </w:pPr>
            <w:r w:rsidRPr="00926426">
              <w:rPr>
                <w:rFonts w:ascii="宋体" w:hAnsi="宋体" w:hint="eastAsia"/>
                <w:sz w:val="24"/>
                <w:szCs w:val="24"/>
              </w:rPr>
              <w:t>下属分级基金的交易代码</w:t>
            </w:r>
          </w:p>
        </w:tc>
        <w:tc>
          <w:tcPr>
            <w:tcW w:w="2424" w:type="dxa"/>
            <w:tcBorders>
              <w:top w:val="single" w:sz="4" w:space="0" w:color="auto"/>
              <w:left w:val="single" w:sz="4" w:space="0" w:color="auto"/>
              <w:bottom w:val="single" w:sz="4" w:space="0" w:color="auto"/>
              <w:right w:val="single" w:sz="4" w:space="0" w:color="auto"/>
            </w:tcBorders>
          </w:tcPr>
          <w:p w:rsidR="00257B3A" w:rsidRDefault="00F17DAE" w:rsidP="00257B3A">
            <w:r>
              <w:rPr>
                <w:rFonts w:ascii="宋体" w:hAnsi="宋体"/>
                <w:sz w:val="24"/>
                <w:szCs w:val="24"/>
              </w:rPr>
              <w:t>005301</w:t>
            </w:r>
          </w:p>
        </w:tc>
        <w:tc>
          <w:tcPr>
            <w:tcW w:w="2425" w:type="dxa"/>
            <w:tcBorders>
              <w:top w:val="single" w:sz="4" w:space="0" w:color="auto"/>
              <w:left w:val="single" w:sz="4" w:space="0" w:color="auto"/>
              <w:bottom w:val="single" w:sz="4" w:space="0" w:color="auto"/>
              <w:right w:val="single" w:sz="4" w:space="0" w:color="auto"/>
            </w:tcBorders>
          </w:tcPr>
          <w:p w:rsidR="00257B3A" w:rsidRDefault="00F17DAE" w:rsidP="00257B3A">
            <w:r>
              <w:rPr>
                <w:rFonts w:ascii="宋体" w:hAnsi="宋体"/>
                <w:sz w:val="24"/>
                <w:szCs w:val="24"/>
              </w:rPr>
              <w:t>005302</w:t>
            </w:r>
          </w:p>
        </w:tc>
      </w:tr>
      <w:tr w:rsidR="00673494" w:rsidRPr="00112DF0" w:rsidTr="009252DE">
        <w:tblPrEx>
          <w:tblLook w:val="0000"/>
        </w:tblPrEx>
        <w:trPr>
          <w:jc w:val="center"/>
        </w:trPr>
        <w:tc>
          <w:tcPr>
            <w:tcW w:w="1222" w:type="dxa"/>
            <w:vMerge w:val="restart"/>
            <w:vAlign w:val="center"/>
          </w:tcPr>
          <w:p w:rsidR="00673494" w:rsidRPr="00112DF0" w:rsidRDefault="00673494" w:rsidP="00673494">
            <w:pPr>
              <w:snapToGrid w:val="0"/>
              <w:jc w:val="left"/>
              <w:rPr>
                <w:rFonts w:ascii="宋体" w:hAnsi="宋体"/>
                <w:color w:val="000000"/>
                <w:sz w:val="24"/>
                <w:szCs w:val="24"/>
              </w:rPr>
            </w:pPr>
            <w:r w:rsidRPr="00112DF0">
              <w:rPr>
                <w:rFonts w:ascii="宋体" w:hAnsi="宋体"/>
                <w:color w:val="000000"/>
                <w:sz w:val="24"/>
                <w:szCs w:val="24"/>
              </w:rPr>
              <w:t>截止</w:t>
            </w:r>
            <w:r w:rsidRPr="00112DF0">
              <w:rPr>
                <w:rFonts w:ascii="宋体" w:hAnsi="宋体" w:hint="eastAsia"/>
                <w:color w:val="000000"/>
                <w:sz w:val="24"/>
                <w:szCs w:val="24"/>
              </w:rPr>
              <w:t>收益分配</w:t>
            </w:r>
            <w:r w:rsidRPr="00112DF0">
              <w:rPr>
                <w:rFonts w:ascii="宋体" w:hAnsi="宋体"/>
                <w:color w:val="000000"/>
                <w:sz w:val="24"/>
                <w:szCs w:val="24"/>
              </w:rPr>
              <w:t>基准日</w:t>
            </w:r>
            <w:r w:rsidRPr="00A376E0">
              <w:rPr>
                <w:rFonts w:ascii="宋体" w:hAnsi="宋体" w:hint="eastAsia"/>
                <w:color w:val="000000"/>
                <w:sz w:val="24"/>
                <w:szCs w:val="24"/>
              </w:rPr>
              <w:t>下属分级基金</w:t>
            </w:r>
            <w:r w:rsidRPr="00112DF0">
              <w:rPr>
                <w:rFonts w:ascii="宋体" w:hAnsi="宋体"/>
                <w:color w:val="000000"/>
                <w:sz w:val="24"/>
                <w:szCs w:val="24"/>
              </w:rPr>
              <w:t>的相</w:t>
            </w:r>
            <w:r w:rsidRPr="004D45F5">
              <w:rPr>
                <w:rFonts w:ascii="宋体" w:hAnsi="宋体"/>
                <w:color w:val="000000"/>
                <w:sz w:val="24"/>
                <w:szCs w:val="24"/>
              </w:rPr>
              <w:t>关指标</w:t>
            </w:r>
          </w:p>
        </w:tc>
        <w:tc>
          <w:tcPr>
            <w:tcW w:w="2693" w:type="dxa"/>
          </w:tcPr>
          <w:p w:rsidR="00673494" w:rsidRPr="00112DF0" w:rsidRDefault="00673494" w:rsidP="00673494">
            <w:pPr>
              <w:snapToGrid w:val="0"/>
              <w:rPr>
                <w:rFonts w:ascii="宋体" w:hAnsi="宋体"/>
                <w:color w:val="000000"/>
                <w:sz w:val="24"/>
                <w:szCs w:val="24"/>
              </w:rPr>
            </w:pPr>
            <w:r w:rsidRPr="00112DF0">
              <w:rPr>
                <w:rFonts w:ascii="宋体" w:hAnsi="宋体"/>
                <w:color w:val="000000"/>
                <w:sz w:val="24"/>
                <w:szCs w:val="24"/>
              </w:rPr>
              <w:t>基准日</w:t>
            </w:r>
            <w:r>
              <w:rPr>
                <w:rFonts w:ascii="宋体" w:hAnsi="宋体"/>
                <w:sz w:val="24"/>
                <w:szCs w:val="24"/>
              </w:rPr>
              <w:t>下属分级</w:t>
            </w:r>
            <w:r w:rsidRPr="00112DF0">
              <w:rPr>
                <w:rFonts w:ascii="宋体" w:hAnsi="宋体"/>
                <w:color w:val="000000"/>
                <w:sz w:val="24"/>
                <w:szCs w:val="24"/>
              </w:rPr>
              <w:t>基金份额净值（单位：</w:t>
            </w:r>
            <w:r w:rsidRPr="00112DF0">
              <w:rPr>
                <w:rFonts w:ascii="宋体" w:hAnsi="宋体" w:hint="eastAsia"/>
                <w:color w:val="000000"/>
                <w:sz w:val="24"/>
                <w:szCs w:val="24"/>
              </w:rPr>
              <w:t>元</w:t>
            </w:r>
            <w:r w:rsidRPr="00112DF0">
              <w:rPr>
                <w:rFonts w:ascii="宋体" w:hAnsi="宋体"/>
                <w:color w:val="000000"/>
                <w:sz w:val="24"/>
                <w:szCs w:val="24"/>
              </w:rPr>
              <w:t>）</w:t>
            </w:r>
          </w:p>
        </w:tc>
        <w:tc>
          <w:tcPr>
            <w:tcW w:w="2424" w:type="dxa"/>
          </w:tcPr>
          <w:p w:rsidR="00673494" w:rsidRDefault="00673494" w:rsidP="00673494">
            <w:r>
              <w:rPr>
                <w:rFonts w:ascii="宋体" w:hAnsi="宋体" w:cs="Calibri"/>
                <w:color w:val="000000"/>
                <w:sz w:val="24"/>
                <w:szCs w:val="24"/>
              </w:rPr>
              <w:t>1.5069</w:t>
            </w:r>
          </w:p>
        </w:tc>
        <w:tc>
          <w:tcPr>
            <w:tcW w:w="2425" w:type="dxa"/>
          </w:tcPr>
          <w:p w:rsidR="00673494" w:rsidRDefault="00673494" w:rsidP="00673494">
            <w:r>
              <w:rPr>
                <w:rFonts w:ascii="宋体" w:hAnsi="宋体" w:cs="Calibri"/>
                <w:color w:val="000000"/>
                <w:sz w:val="24"/>
                <w:szCs w:val="24"/>
              </w:rPr>
              <w:t>1.4873</w:t>
            </w:r>
          </w:p>
        </w:tc>
      </w:tr>
      <w:tr w:rsidR="00673494" w:rsidRPr="00112DF0" w:rsidTr="009252DE">
        <w:tblPrEx>
          <w:tblLook w:val="0000"/>
        </w:tblPrEx>
        <w:trPr>
          <w:trHeight w:val="405"/>
          <w:jc w:val="center"/>
        </w:trPr>
        <w:tc>
          <w:tcPr>
            <w:tcW w:w="1222" w:type="dxa"/>
            <w:vMerge/>
          </w:tcPr>
          <w:p w:rsidR="00673494" w:rsidRPr="00112DF0" w:rsidRDefault="00673494" w:rsidP="00673494">
            <w:pPr>
              <w:snapToGrid w:val="0"/>
              <w:rPr>
                <w:rFonts w:ascii="宋体" w:hAnsi="宋体"/>
                <w:color w:val="000000"/>
                <w:sz w:val="24"/>
                <w:szCs w:val="24"/>
              </w:rPr>
            </w:pPr>
          </w:p>
        </w:tc>
        <w:tc>
          <w:tcPr>
            <w:tcW w:w="2693" w:type="dxa"/>
            <w:vAlign w:val="center"/>
          </w:tcPr>
          <w:p w:rsidR="00673494" w:rsidRPr="0029704B" w:rsidRDefault="00673494" w:rsidP="00673494">
            <w:pPr>
              <w:snapToGrid w:val="0"/>
              <w:jc w:val="left"/>
              <w:rPr>
                <w:rFonts w:ascii="宋体" w:hAnsi="宋体" w:cs="Calibri"/>
                <w:sz w:val="24"/>
                <w:szCs w:val="24"/>
              </w:rPr>
            </w:pPr>
            <w:r w:rsidRPr="00112DF0">
              <w:rPr>
                <w:rFonts w:ascii="宋体" w:hAnsi="宋体" w:cs="Calibri"/>
                <w:color w:val="000000"/>
                <w:sz w:val="24"/>
                <w:szCs w:val="24"/>
              </w:rPr>
              <w:t>基准日</w:t>
            </w:r>
            <w:r>
              <w:rPr>
                <w:rFonts w:ascii="宋体" w:hAnsi="宋体"/>
                <w:sz w:val="24"/>
                <w:szCs w:val="24"/>
              </w:rPr>
              <w:t>下属分级</w:t>
            </w:r>
            <w:r w:rsidRPr="00112DF0">
              <w:rPr>
                <w:rFonts w:ascii="宋体" w:hAnsi="宋体" w:cs="Calibri"/>
                <w:color w:val="000000"/>
                <w:sz w:val="24"/>
                <w:szCs w:val="24"/>
              </w:rPr>
              <w:t>基金可供分配利润（单位：</w:t>
            </w:r>
            <w:r w:rsidRPr="00112DF0">
              <w:rPr>
                <w:rFonts w:ascii="宋体" w:hAnsi="宋体" w:cs="Calibri" w:hint="eastAsia"/>
                <w:color w:val="000000"/>
                <w:sz w:val="24"/>
                <w:szCs w:val="24"/>
              </w:rPr>
              <w:t>元</w:t>
            </w:r>
            <w:r w:rsidRPr="00112DF0">
              <w:rPr>
                <w:rFonts w:ascii="宋体" w:hAnsi="宋体" w:cs="Calibri"/>
                <w:color w:val="000000"/>
                <w:sz w:val="24"/>
                <w:szCs w:val="24"/>
              </w:rPr>
              <w:t>）</w:t>
            </w:r>
          </w:p>
        </w:tc>
        <w:tc>
          <w:tcPr>
            <w:tcW w:w="2424" w:type="dxa"/>
          </w:tcPr>
          <w:p w:rsidR="00673494" w:rsidRDefault="00673494" w:rsidP="00673494">
            <w:r>
              <w:rPr>
                <w:rFonts w:ascii="宋体" w:hAnsi="宋体" w:cs="Calibri"/>
                <w:color w:val="000000"/>
                <w:sz w:val="24"/>
                <w:szCs w:val="24"/>
              </w:rPr>
              <w:t>311,533,141.27</w:t>
            </w:r>
          </w:p>
        </w:tc>
        <w:tc>
          <w:tcPr>
            <w:tcW w:w="2425" w:type="dxa"/>
          </w:tcPr>
          <w:p w:rsidR="00673494" w:rsidRDefault="00673494" w:rsidP="00673494">
            <w:r>
              <w:rPr>
                <w:rFonts w:ascii="宋体" w:hAnsi="宋体" w:cs="Calibri"/>
                <w:color w:val="000000"/>
                <w:sz w:val="24"/>
                <w:szCs w:val="24"/>
              </w:rPr>
              <w:t>2,595,808.47</w:t>
            </w:r>
          </w:p>
        </w:tc>
      </w:tr>
      <w:tr w:rsidR="00673494" w:rsidRPr="00112DF0" w:rsidTr="006C12D0">
        <w:tblPrEx>
          <w:tblLook w:val="0000"/>
        </w:tblPrEx>
        <w:trPr>
          <w:jc w:val="center"/>
        </w:trPr>
        <w:tc>
          <w:tcPr>
            <w:tcW w:w="1222" w:type="dxa"/>
            <w:vMerge/>
          </w:tcPr>
          <w:p w:rsidR="00673494" w:rsidRPr="00112DF0" w:rsidRDefault="00673494" w:rsidP="00673494">
            <w:pPr>
              <w:snapToGrid w:val="0"/>
              <w:rPr>
                <w:rFonts w:ascii="宋体" w:hAnsi="宋体"/>
                <w:color w:val="000000"/>
                <w:sz w:val="24"/>
                <w:szCs w:val="24"/>
              </w:rPr>
            </w:pPr>
          </w:p>
        </w:tc>
        <w:tc>
          <w:tcPr>
            <w:tcW w:w="2693" w:type="dxa"/>
          </w:tcPr>
          <w:p w:rsidR="00673494" w:rsidRPr="00112DF0" w:rsidRDefault="00673494" w:rsidP="00673494">
            <w:pPr>
              <w:snapToGrid w:val="0"/>
              <w:jc w:val="left"/>
              <w:rPr>
                <w:rFonts w:ascii="宋体" w:hAnsi="宋体" w:cs="Calibri"/>
                <w:color w:val="000000"/>
                <w:sz w:val="24"/>
                <w:szCs w:val="24"/>
              </w:rPr>
            </w:pPr>
            <w:r w:rsidRPr="00112DF0">
              <w:rPr>
                <w:rFonts w:ascii="宋体" w:hAnsi="宋体" w:cs="Calibri"/>
                <w:color w:val="000000"/>
                <w:sz w:val="24"/>
                <w:szCs w:val="24"/>
              </w:rPr>
              <w:t>截止基准日</w:t>
            </w:r>
            <w:r>
              <w:rPr>
                <w:rFonts w:ascii="宋体" w:hAnsi="宋体"/>
                <w:sz w:val="24"/>
                <w:szCs w:val="24"/>
              </w:rPr>
              <w:t>下属分级基金</w:t>
            </w:r>
            <w:r w:rsidRPr="00112DF0">
              <w:rPr>
                <w:rFonts w:ascii="宋体" w:hAnsi="宋体" w:cs="Calibri"/>
                <w:color w:val="000000"/>
                <w:sz w:val="24"/>
                <w:szCs w:val="24"/>
              </w:rPr>
              <w:t>按照基金合同约定的分红比例计算的应分配金额（单位：</w:t>
            </w:r>
            <w:bookmarkStart w:id="0" w:name="_GoBack"/>
            <w:bookmarkEnd w:id="0"/>
            <w:r w:rsidRPr="00112DF0">
              <w:rPr>
                <w:rFonts w:ascii="宋体" w:hAnsi="宋体" w:cs="Calibri"/>
                <w:color w:val="000000"/>
                <w:sz w:val="24"/>
                <w:szCs w:val="24"/>
              </w:rPr>
              <w:t>元）</w:t>
            </w:r>
          </w:p>
        </w:tc>
        <w:tc>
          <w:tcPr>
            <w:tcW w:w="2424" w:type="dxa"/>
            <w:vAlign w:val="center"/>
          </w:tcPr>
          <w:p w:rsidR="00673494" w:rsidRPr="00112DF0" w:rsidRDefault="00673494" w:rsidP="00673494">
            <w:pPr>
              <w:jc w:val="left"/>
              <w:rPr>
                <w:rFonts w:ascii="宋体" w:hAnsi="宋体" w:cs="Calibri"/>
                <w:color w:val="000000"/>
                <w:sz w:val="24"/>
                <w:szCs w:val="24"/>
              </w:rPr>
            </w:pPr>
            <w:r>
              <w:rPr>
                <w:rFonts w:ascii="宋体" w:hAnsi="宋体" w:cs="Calibri"/>
                <w:color w:val="000000"/>
                <w:sz w:val="24"/>
                <w:szCs w:val="24"/>
              </w:rPr>
              <w:t>31</w:t>
            </w:r>
            <w:r>
              <w:rPr>
                <w:rFonts w:ascii="宋体" w:hAnsi="宋体" w:cs="Calibri" w:hint="eastAsia"/>
                <w:color w:val="000000"/>
                <w:sz w:val="24"/>
                <w:szCs w:val="24"/>
              </w:rPr>
              <w:t>,</w:t>
            </w:r>
            <w:r>
              <w:rPr>
                <w:rFonts w:ascii="宋体" w:hAnsi="宋体" w:cs="Calibri"/>
                <w:color w:val="000000"/>
                <w:sz w:val="24"/>
                <w:szCs w:val="24"/>
              </w:rPr>
              <w:t>153,314.13</w:t>
            </w:r>
          </w:p>
        </w:tc>
        <w:tc>
          <w:tcPr>
            <w:tcW w:w="2425" w:type="dxa"/>
            <w:vAlign w:val="center"/>
          </w:tcPr>
          <w:p w:rsidR="00673494" w:rsidRPr="00112DF0" w:rsidRDefault="00673494" w:rsidP="00673494">
            <w:pPr>
              <w:jc w:val="left"/>
              <w:rPr>
                <w:rFonts w:ascii="宋体" w:hAnsi="宋体" w:cs="Calibri"/>
                <w:color w:val="000000"/>
                <w:sz w:val="24"/>
                <w:szCs w:val="24"/>
              </w:rPr>
            </w:pPr>
            <w:r>
              <w:rPr>
                <w:rFonts w:ascii="宋体" w:hAnsi="宋体" w:cs="Calibri"/>
                <w:color w:val="000000"/>
                <w:sz w:val="24"/>
                <w:szCs w:val="24"/>
              </w:rPr>
              <w:t>259</w:t>
            </w:r>
            <w:r>
              <w:rPr>
                <w:rFonts w:ascii="宋体" w:hAnsi="宋体" w:cs="Calibri" w:hint="eastAsia"/>
                <w:color w:val="000000"/>
                <w:sz w:val="24"/>
                <w:szCs w:val="24"/>
              </w:rPr>
              <w:t>,</w:t>
            </w:r>
            <w:r>
              <w:rPr>
                <w:rFonts w:ascii="宋体" w:hAnsi="宋体" w:cs="Calibri"/>
                <w:color w:val="000000"/>
                <w:sz w:val="24"/>
                <w:szCs w:val="24"/>
              </w:rPr>
              <w:t>580.85</w:t>
            </w:r>
          </w:p>
        </w:tc>
      </w:tr>
      <w:tr w:rsidR="00673494" w:rsidRPr="00112DF0" w:rsidTr="00045FA7">
        <w:tblPrEx>
          <w:tblLook w:val="0000"/>
        </w:tblPrEx>
        <w:trPr>
          <w:jc w:val="center"/>
        </w:trPr>
        <w:tc>
          <w:tcPr>
            <w:tcW w:w="3915" w:type="dxa"/>
            <w:gridSpan w:val="2"/>
          </w:tcPr>
          <w:p w:rsidR="00673494" w:rsidRPr="00112DF0" w:rsidRDefault="00673494" w:rsidP="00673494">
            <w:pPr>
              <w:snapToGrid w:val="0"/>
              <w:rPr>
                <w:rFonts w:ascii="宋体" w:hAnsi="宋体"/>
                <w:color w:val="000000"/>
                <w:sz w:val="24"/>
                <w:szCs w:val="24"/>
              </w:rPr>
            </w:pPr>
            <w:r w:rsidRPr="00112DF0">
              <w:rPr>
                <w:rFonts w:ascii="宋体" w:hAnsi="宋体"/>
                <w:color w:val="000000"/>
                <w:sz w:val="24"/>
                <w:szCs w:val="24"/>
              </w:rPr>
              <w:t>本次</w:t>
            </w:r>
            <w:r>
              <w:rPr>
                <w:rFonts w:ascii="宋体" w:hAnsi="宋体"/>
                <w:sz w:val="24"/>
                <w:szCs w:val="24"/>
              </w:rPr>
              <w:t>下属分级基金</w:t>
            </w:r>
            <w:r w:rsidRPr="00112DF0">
              <w:rPr>
                <w:rFonts w:ascii="宋体" w:hAnsi="宋体"/>
                <w:color w:val="000000"/>
                <w:sz w:val="24"/>
                <w:szCs w:val="24"/>
              </w:rPr>
              <w:t>分红方案（单位：元/10份基金份额）</w:t>
            </w:r>
          </w:p>
        </w:tc>
        <w:tc>
          <w:tcPr>
            <w:tcW w:w="2424" w:type="dxa"/>
            <w:vAlign w:val="center"/>
          </w:tcPr>
          <w:p w:rsidR="00673494" w:rsidRPr="00112DF0" w:rsidRDefault="00673494" w:rsidP="00673494">
            <w:pPr>
              <w:jc w:val="left"/>
              <w:rPr>
                <w:rFonts w:ascii="宋体" w:hAnsi="宋体" w:cs="Calibri"/>
                <w:color w:val="000000"/>
                <w:sz w:val="24"/>
                <w:szCs w:val="24"/>
              </w:rPr>
            </w:pPr>
            <w:r>
              <w:rPr>
                <w:rFonts w:ascii="宋体" w:hAnsi="宋体" w:cs="Calibri"/>
                <w:color w:val="000000"/>
                <w:sz w:val="24"/>
                <w:szCs w:val="24"/>
              </w:rPr>
              <w:t>0.75</w:t>
            </w:r>
          </w:p>
        </w:tc>
        <w:tc>
          <w:tcPr>
            <w:tcW w:w="2425" w:type="dxa"/>
            <w:vAlign w:val="center"/>
          </w:tcPr>
          <w:p w:rsidR="00673494" w:rsidRPr="00112DF0" w:rsidRDefault="00673494" w:rsidP="00673494">
            <w:pPr>
              <w:jc w:val="left"/>
              <w:rPr>
                <w:rFonts w:ascii="宋体" w:hAnsi="宋体" w:cs="Calibri"/>
                <w:color w:val="000000"/>
                <w:sz w:val="24"/>
                <w:szCs w:val="24"/>
              </w:rPr>
            </w:pPr>
            <w:r>
              <w:rPr>
                <w:rFonts w:ascii="宋体" w:hAnsi="宋体" w:cs="Calibri"/>
                <w:color w:val="000000"/>
                <w:sz w:val="24"/>
                <w:szCs w:val="24"/>
              </w:rPr>
              <w:t>0.74</w:t>
            </w:r>
          </w:p>
        </w:tc>
      </w:tr>
    </w:tbl>
    <w:p w:rsidR="00E461DB" w:rsidRDefault="00E461DB" w:rsidP="00E16353">
      <w:pPr>
        <w:adjustRightInd w:val="0"/>
        <w:snapToGrid w:val="0"/>
        <w:spacing w:beforeLines="50" w:line="360" w:lineRule="auto"/>
        <w:ind w:firstLineChars="200" w:firstLine="480"/>
        <w:rPr>
          <w:rFonts w:ascii="宋体" w:hAnsi="宋体"/>
          <w:sz w:val="24"/>
        </w:rPr>
      </w:pPr>
      <w:r w:rsidRPr="00B42DCE">
        <w:rPr>
          <w:rFonts w:ascii="宋体" w:hAnsi="宋体" w:hint="eastAsia"/>
          <w:sz w:val="24"/>
        </w:rPr>
        <w:t>注：</w:t>
      </w:r>
      <w:r w:rsidRPr="004D204F">
        <w:rPr>
          <w:rFonts w:ascii="宋体" w:hAnsi="宋体" w:hint="eastAsia"/>
          <w:sz w:val="24"/>
        </w:rPr>
        <w:t>在符合有关基金分红条件的前提下，本基金每年收益分配次数最多为 12次，每次收益分配比例不得低于该次可供分配利润的 10%，若《基金合同》生效不满</w:t>
      </w:r>
      <w:r>
        <w:rPr>
          <w:rFonts w:ascii="宋体" w:hAnsi="宋体" w:hint="eastAsia"/>
          <w:sz w:val="24"/>
        </w:rPr>
        <w:t>3个月可不进行收益分配</w:t>
      </w:r>
      <w:r w:rsidRPr="00C36AA9">
        <w:rPr>
          <w:rFonts w:ascii="宋体" w:hAnsi="宋体" w:hint="eastAsia"/>
          <w:sz w:val="24"/>
        </w:rPr>
        <w:t>。</w:t>
      </w:r>
    </w:p>
    <w:p w:rsidR="00E11D5E" w:rsidRPr="00B42DCE" w:rsidRDefault="00E11D5E" w:rsidP="00E11D5E">
      <w:pPr>
        <w:adjustRightInd w:val="0"/>
        <w:snapToGrid w:val="0"/>
        <w:spacing w:line="360" w:lineRule="auto"/>
        <w:ind w:firstLineChars="200" w:firstLine="482"/>
        <w:rPr>
          <w:rFonts w:ascii="宋体" w:hAnsi="宋体"/>
          <w:b/>
          <w:sz w:val="24"/>
        </w:rPr>
      </w:pPr>
      <w:r w:rsidRPr="00B42DCE">
        <w:rPr>
          <w:rFonts w:ascii="宋体" w:hAnsi="宋体" w:hint="eastAsia"/>
          <w:b/>
          <w:sz w:val="24"/>
        </w:rPr>
        <w:t>2 与分红相关的其他信息</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2"/>
        <w:gridCol w:w="6163"/>
      </w:tblGrid>
      <w:tr w:rsidR="00E11D5E" w:rsidRPr="00195867" w:rsidTr="00F56BE4">
        <w:trPr>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F56BE4">
            <w:pPr>
              <w:adjustRightInd w:val="0"/>
              <w:snapToGrid w:val="0"/>
              <w:rPr>
                <w:rFonts w:ascii="宋体" w:hAnsi="宋体"/>
                <w:sz w:val="24"/>
              </w:rPr>
            </w:pPr>
            <w:r w:rsidRPr="00195867">
              <w:rPr>
                <w:rFonts w:ascii="宋体" w:hAnsi="宋体" w:hint="eastAsia"/>
                <w:sz w:val="24"/>
              </w:rPr>
              <w:t>权益登记日</w:t>
            </w:r>
          </w:p>
        </w:tc>
        <w:tc>
          <w:tcPr>
            <w:tcW w:w="3724"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F17DAE" w:rsidP="007A32EC">
            <w:pPr>
              <w:adjustRightInd w:val="0"/>
              <w:snapToGrid w:val="0"/>
              <w:rPr>
                <w:rFonts w:ascii="宋体" w:hAnsi="宋体"/>
                <w:sz w:val="24"/>
              </w:rPr>
            </w:pPr>
            <w:r>
              <w:rPr>
                <w:rFonts w:ascii="宋体" w:hAnsi="宋体"/>
                <w:sz w:val="24"/>
                <w:szCs w:val="24"/>
              </w:rPr>
              <w:t>2023年3月29日</w:t>
            </w:r>
          </w:p>
        </w:tc>
      </w:tr>
      <w:tr w:rsidR="00A44BB6" w:rsidRPr="00195867" w:rsidTr="00F56BE4">
        <w:trPr>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rsidR="00A44BB6" w:rsidRPr="00195867" w:rsidRDefault="00A44BB6" w:rsidP="00F56BE4">
            <w:pPr>
              <w:adjustRightInd w:val="0"/>
              <w:snapToGrid w:val="0"/>
              <w:rPr>
                <w:rFonts w:ascii="宋体" w:hAnsi="宋体"/>
                <w:sz w:val="24"/>
              </w:rPr>
            </w:pPr>
            <w:r w:rsidRPr="00195867">
              <w:rPr>
                <w:rFonts w:ascii="宋体" w:hAnsi="宋体" w:hint="eastAsia"/>
                <w:sz w:val="24"/>
              </w:rPr>
              <w:t>除息日</w:t>
            </w:r>
          </w:p>
        </w:tc>
        <w:tc>
          <w:tcPr>
            <w:tcW w:w="3724" w:type="pct"/>
            <w:tcBorders>
              <w:top w:val="single" w:sz="4" w:space="0" w:color="auto"/>
              <w:left w:val="single" w:sz="4" w:space="0" w:color="auto"/>
              <w:bottom w:val="single" w:sz="4" w:space="0" w:color="auto"/>
              <w:right w:val="single" w:sz="4" w:space="0" w:color="auto"/>
            </w:tcBorders>
            <w:vAlign w:val="center"/>
            <w:hideMark/>
          </w:tcPr>
          <w:p w:rsidR="00A44BB6" w:rsidRPr="00195867" w:rsidRDefault="00F17DAE" w:rsidP="00C36AA9">
            <w:pPr>
              <w:adjustRightInd w:val="0"/>
              <w:snapToGrid w:val="0"/>
              <w:rPr>
                <w:rFonts w:ascii="宋体" w:hAnsi="宋体"/>
                <w:sz w:val="24"/>
              </w:rPr>
            </w:pPr>
            <w:r>
              <w:rPr>
                <w:rFonts w:ascii="宋体" w:hAnsi="宋体"/>
                <w:sz w:val="24"/>
                <w:szCs w:val="24"/>
              </w:rPr>
              <w:t>2023年3月29日</w:t>
            </w:r>
          </w:p>
        </w:tc>
      </w:tr>
      <w:tr w:rsidR="00A44BB6" w:rsidRPr="00195867" w:rsidTr="00F56BE4">
        <w:trPr>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rsidR="00A44BB6" w:rsidRPr="00195867" w:rsidRDefault="00A44BB6" w:rsidP="00F56BE4">
            <w:pPr>
              <w:adjustRightInd w:val="0"/>
              <w:snapToGrid w:val="0"/>
              <w:rPr>
                <w:rFonts w:ascii="宋体" w:hAnsi="宋体"/>
                <w:sz w:val="24"/>
              </w:rPr>
            </w:pPr>
            <w:r w:rsidRPr="00195867">
              <w:rPr>
                <w:rFonts w:ascii="宋体" w:hAnsi="宋体" w:hint="eastAsia"/>
                <w:sz w:val="24"/>
              </w:rPr>
              <w:t>现金红利发放日</w:t>
            </w:r>
          </w:p>
        </w:tc>
        <w:tc>
          <w:tcPr>
            <w:tcW w:w="3724" w:type="pct"/>
            <w:tcBorders>
              <w:top w:val="single" w:sz="4" w:space="0" w:color="auto"/>
              <w:left w:val="single" w:sz="4" w:space="0" w:color="auto"/>
              <w:bottom w:val="single" w:sz="4" w:space="0" w:color="auto"/>
              <w:right w:val="single" w:sz="4" w:space="0" w:color="auto"/>
            </w:tcBorders>
            <w:vAlign w:val="center"/>
            <w:hideMark/>
          </w:tcPr>
          <w:p w:rsidR="00A44BB6" w:rsidRPr="00195867" w:rsidRDefault="00F17DAE" w:rsidP="007A32EC">
            <w:pPr>
              <w:adjustRightInd w:val="0"/>
              <w:snapToGrid w:val="0"/>
              <w:rPr>
                <w:rFonts w:ascii="宋体" w:hAnsi="宋体"/>
                <w:sz w:val="24"/>
              </w:rPr>
            </w:pPr>
            <w:r>
              <w:rPr>
                <w:rFonts w:ascii="宋体" w:hAnsi="宋体"/>
                <w:sz w:val="24"/>
                <w:szCs w:val="24"/>
              </w:rPr>
              <w:t>2023年3月30日</w:t>
            </w:r>
          </w:p>
        </w:tc>
      </w:tr>
      <w:tr w:rsidR="00E11D5E" w:rsidRPr="00195867" w:rsidTr="00F56BE4">
        <w:trPr>
          <w:trHeight w:val="84"/>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F56BE4">
            <w:pPr>
              <w:adjustRightInd w:val="0"/>
              <w:snapToGrid w:val="0"/>
              <w:rPr>
                <w:rFonts w:ascii="宋体" w:hAnsi="宋体"/>
                <w:sz w:val="24"/>
              </w:rPr>
            </w:pPr>
            <w:r w:rsidRPr="00195867">
              <w:rPr>
                <w:rFonts w:ascii="宋体" w:hAnsi="宋体" w:hint="eastAsia"/>
                <w:sz w:val="24"/>
              </w:rPr>
              <w:t>分红对象</w:t>
            </w:r>
          </w:p>
        </w:tc>
        <w:tc>
          <w:tcPr>
            <w:tcW w:w="3724"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F56BE4">
            <w:pPr>
              <w:adjustRightInd w:val="0"/>
              <w:snapToGrid w:val="0"/>
              <w:rPr>
                <w:rFonts w:ascii="宋体" w:hAnsi="宋体"/>
                <w:sz w:val="24"/>
              </w:rPr>
            </w:pPr>
            <w:r w:rsidRPr="00195867">
              <w:rPr>
                <w:rFonts w:ascii="宋体" w:hAnsi="宋体" w:hint="eastAsia"/>
                <w:sz w:val="24"/>
              </w:rPr>
              <w:t>权益登记日登记在册的本基金全体份额持有人</w:t>
            </w:r>
          </w:p>
        </w:tc>
      </w:tr>
      <w:tr w:rsidR="00E11D5E" w:rsidRPr="00195867" w:rsidTr="00F56BE4">
        <w:trPr>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F56BE4">
            <w:pPr>
              <w:adjustRightInd w:val="0"/>
              <w:snapToGrid w:val="0"/>
              <w:rPr>
                <w:rFonts w:ascii="宋体" w:hAnsi="宋体"/>
                <w:sz w:val="24"/>
              </w:rPr>
            </w:pPr>
            <w:r w:rsidRPr="00195867">
              <w:rPr>
                <w:rFonts w:ascii="宋体" w:hAnsi="宋体" w:hint="eastAsia"/>
                <w:sz w:val="24"/>
              </w:rPr>
              <w:t>红利再投资相关</w:t>
            </w:r>
            <w:r w:rsidRPr="00195867">
              <w:rPr>
                <w:rFonts w:ascii="宋体" w:hAnsi="宋体" w:hint="eastAsia"/>
                <w:sz w:val="24"/>
              </w:rPr>
              <w:lastRenderedPageBreak/>
              <w:t>事项的说明</w:t>
            </w:r>
          </w:p>
        </w:tc>
        <w:tc>
          <w:tcPr>
            <w:tcW w:w="3724"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D820C0">
            <w:pPr>
              <w:adjustRightInd w:val="0"/>
              <w:snapToGrid w:val="0"/>
              <w:rPr>
                <w:rFonts w:ascii="宋体" w:hAnsi="宋体"/>
                <w:sz w:val="24"/>
              </w:rPr>
            </w:pPr>
            <w:r w:rsidRPr="00195867">
              <w:rPr>
                <w:rFonts w:ascii="宋体" w:hAnsi="宋体" w:hint="eastAsia"/>
                <w:sz w:val="24"/>
              </w:rPr>
              <w:lastRenderedPageBreak/>
              <w:t>选择红利再投资方式的投资者，</w:t>
            </w:r>
            <w:r w:rsidR="00F70301">
              <w:rPr>
                <w:rFonts w:ascii="宋体" w:hAnsi="宋体" w:hint="eastAsia"/>
                <w:sz w:val="24"/>
              </w:rPr>
              <w:t>其红利将按照</w:t>
            </w:r>
            <w:r w:rsidR="00950A3A">
              <w:rPr>
                <w:rFonts w:ascii="宋体" w:hAnsi="宋体"/>
                <w:sz w:val="24"/>
              </w:rPr>
              <w:t>2023年3</w:t>
            </w:r>
            <w:r w:rsidR="00950A3A">
              <w:rPr>
                <w:rFonts w:ascii="宋体" w:hAnsi="宋体"/>
                <w:sz w:val="24"/>
              </w:rPr>
              <w:lastRenderedPageBreak/>
              <w:t>月29日</w:t>
            </w:r>
            <w:r w:rsidR="00F70301">
              <w:rPr>
                <w:rFonts w:ascii="宋体" w:hAnsi="宋体" w:hint="eastAsia"/>
                <w:sz w:val="24"/>
              </w:rPr>
              <w:t>除息后的基金份额净值计算基准确定再投资份额。</w:t>
            </w:r>
            <w:r w:rsidRPr="00195867">
              <w:rPr>
                <w:rFonts w:ascii="宋体" w:hAnsi="宋体" w:hint="eastAsia"/>
                <w:sz w:val="24"/>
              </w:rPr>
              <w:t>其红利再投资的份额将于</w:t>
            </w:r>
            <w:r w:rsidR="00B9228B" w:rsidRPr="00B9228B">
              <w:rPr>
                <w:rFonts w:ascii="宋体" w:hAnsi="宋体"/>
                <w:sz w:val="24"/>
              </w:rPr>
              <w:t>2023年3月30日</w:t>
            </w:r>
            <w:r w:rsidRPr="00195867">
              <w:rPr>
                <w:rFonts w:ascii="宋体" w:hAnsi="宋体" w:hint="eastAsia"/>
                <w:sz w:val="24"/>
              </w:rPr>
              <w:t>直接计入其基金账户，</w:t>
            </w:r>
            <w:r w:rsidR="007F1126">
              <w:rPr>
                <w:rFonts w:ascii="宋体" w:hAnsi="宋体"/>
                <w:sz w:val="24"/>
              </w:rPr>
              <w:t>2023年3月31日</w:t>
            </w:r>
            <w:r w:rsidRPr="001E2DCD">
              <w:rPr>
                <w:rFonts w:ascii="宋体" w:hAnsi="宋体" w:hint="eastAsia"/>
                <w:sz w:val="24"/>
              </w:rPr>
              <w:t>起可以</w:t>
            </w:r>
            <w:r w:rsidRPr="00195867">
              <w:rPr>
                <w:rFonts w:ascii="宋体" w:hAnsi="宋体" w:hint="eastAsia"/>
                <w:sz w:val="24"/>
              </w:rPr>
              <w:t>查询、赎回。</w:t>
            </w:r>
          </w:p>
        </w:tc>
      </w:tr>
      <w:tr w:rsidR="00E11D5E" w:rsidRPr="00195867" w:rsidTr="00F56BE4">
        <w:trPr>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F56BE4">
            <w:pPr>
              <w:adjustRightInd w:val="0"/>
              <w:snapToGrid w:val="0"/>
              <w:rPr>
                <w:rFonts w:ascii="宋体" w:hAnsi="宋体"/>
                <w:sz w:val="24"/>
              </w:rPr>
            </w:pPr>
            <w:r w:rsidRPr="00195867">
              <w:rPr>
                <w:rFonts w:ascii="宋体" w:hAnsi="宋体" w:hint="eastAsia"/>
                <w:sz w:val="24"/>
              </w:rPr>
              <w:lastRenderedPageBreak/>
              <w:t>税收相关事项的说明</w:t>
            </w:r>
          </w:p>
        </w:tc>
        <w:tc>
          <w:tcPr>
            <w:tcW w:w="3724"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F56BE4">
            <w:pPr>
              <w:adjustRightInd w:val="0"/>
              <w:snapToGrid w:val="0"/>
              <w:rPr>
                <w:rFonts w:ascii="宋体" w:hAnsi="宋体"/>
                <w:sz w:val="24"/>
              </w:rPr>
            </w:pPr>
            <w:r w:rsidRPr="00195867">
              <w:rPr>
                <w:rFonts w:ascii="宋体" w:hAnsi="宋体" w:hint="eastAsia"/>
                <w:sz w:val="24"/>
              </w:rPr>
              <w:t>根据财政部、国家税务总局的相关规定，基金向投资者分配的基金收益，暂免征收所得税。</w:t>
            </w:r>
          </w:p>
        </w:tc>
      </w:tr>
      <w:tr w:rsidR="00E11D5E" w:rsidRPr="00195867" w:rsidTr="00F56BE4">
        <w:trPr>
          <w:jc w:val="center"/>
        </w:trPr>
        <w:tc>
          <w:tcPr>
            <w:tcW w:w="1276"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F56BE4">
            <w:pPr>
              <w:adjustRightInd w:val="0"/>
              <w:snapToGrid w:val="0"/>
              <w:rPr>
                <w:rFonts w:ascii="宋体" w:hAnsi="宋体"/>
                <w:sz w:val="24"/>
              </w:rPr>
            </w:pPr>
            <w:r w:rsidRPr="00195867">
              <w:rPr>
                <w:rFonts w:ascii="宋体" w:hAnsi="宋体" w:hint="eastAsia"/>
                <w:sz w:val="24"/>
              </w:rPr>
              <w:t>费用相关事项的说明</w:t>
            </w:r>
          </w:p>
        </w:tc>
        <w:tc>
          <w:tcPr>
            <w:tcW w:w="3724" w:type="pct"/>
            <w:tcBorders>
              <w:top w:val="single" w:sz="4" w:space="0" w:color="auto"/>
              <w:left w:val="single" w:sz="4" w:space="0" w:color="auto"/>
              <w:bottom w:val="single" w:sz="4" w:space="0" w:color="auto"/>
              <w:right w:val="single" w:sz="4" w:space="0" w:color="auto"/>
            </w:tcBorders>
            <w:vAlign w:val="center"/>
            <w:hideMark/>
          </w:tcPr>
          <w:p w:rsidR="00E11D5E" w:rsidRPr="00195867" w:rsidRDefault="00E11D5E" w:rsidP="00F56BE4">
            <w:pPr>
              <w:adjustRightInd w:val="0"/>
              <w:snapToGrid w:val="0"/>
              <w:rPr>
                <w:rFonts w:ascii="宋体" w:hAnsi="宋体"/>
                <w:sz w:val="24"/>
              </w:rPr>
            </w:pPr>
            <w:r w:rsidRPr="00195867">
              <w:rPr>
                <w:rFonts w:ascii="宋体" w:hAnsi="宋体" w:hint="eastAsia"/>
                <w:sz w:val="24"/>
              </w:rPr>
              <w:t>本基金本次分红免收分红手续费。选择红利再投资方式的投资者</w:t>
            </w:r>
            <w:r w:rsidR="00CE50F1" w:rsidRPr="00195867">
              <w:rPr>
                <w:rFonts w:ascii="宋体" w:hAnsi="宋体" w:hint="eastAsia"/>
                <w:sz w:val="24"/>
              </w:rPr>
              <w:t>，</w:t>
            </w:r>
            <w:r w:rsidRPr="00195867">
              <w:rPr>
                <w:rFonts w:ascii="宋体" w:hAnsi="宋体" w:hint="eastAsia"/>
                <w:sz w:val="24"/>
              </w:rPr>
              <w:t>其红利所转换的基金份额免收申购费用。</w:t>
            </w:r>
          </w:p>
        </w:tc>
      </w:tr>
    </w:tbl>
    <w:p w:rsidR="00741F1B" w:rsidRDefault="00741F1B" w:rsidP="00E11D5E"/>
    <w:p w:rsidR="007F14CB" w:rsidRPr="00B42DCE" w:rsidRDefault="007F14CB" w:rsidP="00E11D5E"/>
    <w:p w:rsidR="00E11D5E" w:rsidRPr="00B42DCE" w:rsidRDefault="00E11D5E" w:rsidP="00E11D5E">
      <w:pPr>
        <w:adjustRightInd w:val="0"/>
        <w:snapToGrid w:val="0"/>
        <w:spacing w:line="360" w:lineRule="auto"/>
        <w:ind w:firstLineChars="200" w:firstLine="482"/>
        <w:rPr>
          <w:rFonts w:ascii="宋体" w:hAnsi="宋体"/>
          <w:b/>
          <w:sz w:val="24"/>
        </w:rPr>
      </w:pPr>
      <w:r w:rsidRPr="00B42DCE">
        <w:rPr>
          <w:rFonts w:ascii="宋体" w:hAnsi="宋体" w:hint="eastAsia"/>
          <w:b/>
          <w:sz w:val="24"/>
        </w:rPr>
        <w:t>3 其他需要提示的事项</w:t>
      </w:r>
    </w:p>
    <w:p w:rsidR="00E11D5E" w:rsidRPr="00B42DCE" w:rsidRDefault="00E11D5E" w:rsidP="00E11D5E">
      <w:pPr>
        <w:adjustRightInd w:val="0"/>
        <w:snapToGrid w:val="0"/>
        <w:spacing w:line="360" w:lineRule="auto"/>
        <w:ind w:firstLineChars="200" w:firstLine="480"/>
        <w:rPr>
          <w:rFonts w:ascii="宋体" w:hAnsi="宋体"/>
          <w:sz w:val="24"/>
        </w:rPr>
      </w:pPr>
      <w:r w:rsidRPr="00B42DCE">
        <w:rPr>
          <w:rFonts w:ascii="宋体" w:hAnsi="宋体" w:hint="eastAsia"/>
          <w:sz w:val="24"/>
        </w:rPr>
        <w:t>（1）权益登记日申请申购的基金份额不享有本次分红权益，权益登记日申请赎回的基金份额享有本次分红权益。</w:t>
      </w:r>
    </w:p>
    <w:p w:rsidR="00E11D5E" w:rsidRDefault="00E11D5E" w:rsidP="00E11D5E">
      <w:pPr>
        <w:adjustRightInd w:val="0"/>
        <w:snapToGrid w:val="0"/>
        <w:spacing w:line="360" w:lineRule="auto"/>
        <w:ind w:firstLineChars="200" w:firstLine="480"/>
        <w:rPr>
          <w:rFonts w:ascii="宋体" w:hAnsi="宋体"/>
          <w:sz w:val="24"/>
        </w:rPr>
      </w:pPr>
      <w:r w:rsidRPr="00B42DCE">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w:t>
      </w:r>
    </w:p>
    <w:p w:rsidR="00E461DB" w:rsidRPr="00E461DB" w:rsidRDefault="00E461DB" w:rsidP="00E11D5E">
      <w:pPr>
        <w:adjustRightInd w:val="0"/>
        <w:snapToGrid w:val="0"/>
        <w:spacing w:line="360" w:lineRule="auto"/>
        <w:ind w:firstLineChars="200" w:firstLine="480"/>
        <w:rPr>
          <w:rFonts w:ascii="宋体" w:hAnsi="宋体"/>
          <w:sz w:val="24"/>
        </w:rPr>
      </w:pPr>
      <w:r w:rsidRPr="00E461DB">
        <w:rPr>
          <w:rFonts w:ascii="宋体" w:hAnsi="宋体" w:hint="eastAsia"/>
          <w:sz w:val="24"/>
        </w:rPr>
        <w:t>（3）基金份额持有人可对A类和C类基金份额分别选择不同的分红方式。选择采取红利再投资形式的，同一类别基金份额的分红资金将按除息日该类别的基金份额净值转成相应的同一类别的基金份额。</w:t>
      </w:r>
    </w:p>
    <w:p w:rsidR="00E11D5E" w:rsidRPr="00B42DCE" w:rsidRDefault="00E11D5E" w:rsidP="00E11D5E">
      <w:pPr>
        <w:adjustRightInd w:val="0"/>
        <w:snapToGrid w:val="0"/>
        <w:spacing w:line="360" w:lineRule="auto"/>
        <w:ind w:firstLineChars="200" w:firstLine="480"/>
        <w:rPr>
          <w:rFonts w:ascii="宋体" w:hAnsi="宋体"/>
          <w:sz w:val="24"/>
        </w:rPr>
      </w:pPr>
      <w:r>
        <w:rPr>
          <w:rFonts w:ascii="宋体" w:hAnsi="宋体" w:hint="eastAsia"/>
          <w:sz w:val="24"/>
        </w:rPr>
        <w:t>（</w:t>
      </w:r>
      <w:r w:rsidR="00E461DB">
        <w:rPr>
          <w:rFonts w:ascii="宋体" w:hAnsi="宋体" w:hint="eastAsia"/>
          <w:sz w:val="24"/>
        </w:rPr>
        <w:t>4</w:t>
      </w:r>
      <w:r>
        <w:rPr>
          <w:rFonts w:ascii="宋体" w:hAnsi="宋体" w:hint="eastAsia"/>
          <w:sz w:val="24"/>
        </w:rPr>
        <w:t>）</w:t>
      </w:r>
      <w:r w:rsidRPr="00B42DCE">
        <w:rPr>
          <w:rFonts w:ascii="宋体" w:hAnsi="宋体" w:hint="eastAsia"/>
          <w:sz w:val="24"/>
        </w:rPr>
        <w:t>投资者可以在本基金开放日的交易时间内到销售网点修改分红方式，本次分红确认的方式将按照投资者在权益登记日之前(不含</w:t>
      </w:r>
      <w:r w:rsidR="007F1126">
        <w:rPr>
          <w:rFonts w:ascii="宋体" w:hAnsi="宋体"/>
          <w:sz w:val="24"/>
          <w:szCs w:val="24"/>
        </w:rPr>
        <w:t>2023年3月29日</w:t>
      </w:r>
      <w:r w:rsidRPr="00B42DCE">
        <w:rPr>
          <w:rFonts w:ascii="宋体" w:hAnsi="宋体" w:hint="eastAsia"/>
          <w:sz w:val="24"/>
        </w:rPr>
        <w:t>)最后一次选择的分红方式为准。请投资者到销售网点或通过本基金管理人客户服务中心确认分红方式是否正确，如不正确或希望修改分红方式的，请在上述规定时间前到销售网点办理变更手续。</w:t>
      </w:r>
    </w:p>
    <w:p w:rsidR="00E11D5E" w:rsidRPr="00B42DCE" w:rsidRDefault="00E11D5E" w:rsidP="00E11D5E">
      <w:pPr>
        <w:adjustRightInd w:val="0"/>
        <w:snapToGrid w:val="0"/>
        <w:spacing w:line="360" w:lineRule="auto"/>
        <w:ind w:firstLineChars="200" w:firstLine="480"/>
        <w:rPr>
          <w:rFonts w:ascii="宋体" w:hAnsi="宋体"/>
          <w:sz w:val="24"/>
        </w:rPr>
      </w:pPr>
      <w:r w:rsidRPr="00B42DCE">
        <w:rPr>
          <w:rFonts w:ascii="宋体" w:hAnsi="宋体" w:hint="eastAsia"/>
          <w:sz w:val="24"/>
        </w:rPr>
        <w:t>（</w:t>
      </w:r>
      <w:r w:rsidR="00E461DB">
        <w:rPr>
          <w:rFonts w:ascii="宋体" w:hAnsi="宋体"/>
          <w:sz w:val="24"/>
        </w:rPr>
        <w:t>5</w:t>
      </w:r>
      <w:r w:rsidRPr="00B42DCE">
        <w:rPr>
          <w:rFonts w:ascii="宋体" w:hAnsi="宋体" w:hint="eastAsia"/>
          <w:sz w:val="24"/>
        </w:rPr>
        <w:t>）冻结基金份额的红利发放按照红利再投资处理。</w:t>
      </w:r>
    </w:p>
    <w:p w:rsidR="00E11D5E" w:rsidRPr="00B42DCE" w:rsidRDefault="00E11D5E" w:rsidP="00E11D5E">
      <w:pPr>
        <w:adjustRightInd w:val="0"/>
        <w:snapToGrid w:val="0"/>
        <w:spacing w:line="360" w:lineRule="auto"/>
        <w:ind w:firstLineChars="200" w:firstLine="480"/>
        <w:rPr>
          <w:rFonts w:ascii="宋体" w:hAnsi="宋体"/>
          <w:sz w:val="24"/>
        </w:rPr>
      </w:pPr>
      <w:r w:rsidRPr="00B42DCE">
        <w:rPr>
          <w:rFonts w:ascii="宋体" w:hAnsi="宋体" w:hint="eastAsia"/>
          <w:sz w:val="24"/>
        </w:rPr>
        <w:t>（</w:t>
      </w:r>
      <w:r w:rsidR="00E461DB">
        <w:rPr>
          <w:rFonts w:ascii="宋体" w:hAnsi="宋体"/>
          <w:sz w:val="24"/>
        </w:rPr>
        <w:t>6</w:t>
      </w:r>
      <w:r w:rsidRPr="00B42DCE">
        <w:rPr>
          <w:rFonts w:ascii="宋体" w:hAnsi="宋体" w:hint="eastAsia"/>
          <w:sz w:val="24"/>
        </w:rPr>
        <w:t>）红利再投资份额的持有期自红利发放日起计算。</w:t>
      </w:r>
    </w:p>
    <w:p w:rsidR="00E11D5E" w:rsidRDefault="00E11D5E" w:rsidP="00E11D5E">
      <w:pPr>
        <w:adjustRightInd w:val="0"/>
        <w:snapToGrid w:val="0"/>
        <w:spacing w:line="360" w:lineRule="auto"/>
        <w:ind w:firstLineChars="200" w:firstLine="480"/>
        <w:rPr>
          <w:rFonts w:ascii="宋体" w:hAnsi="宋体"/>
          <w:sz w:val="24"/>
        </w:rPr>
      </w:pPr>
      <w:r>
        <w:rPr>
          <w:rFonts w:ascii="宋体" w:hAnsi="宋体" w:hint="eastAsia"/>
          <w:sz w:val="24"/>
        </w:rPr>
        <w:t>（</w:t>
      </w:r>
      <w:r w:rsidR="00E461DB">
        <w:rPr>
          <w:rFonts w:ascii="宋体" w:hAnsi="宋体"/>
          <w:sz w:val="24"/>
        </w:rPr>
        <w:t>7</w:t>
      </w:r>
      <w:r>
        <w:rPr>
          <w:rFonts w:ascii="宋体" w:hAnsi="宋体" w:hint="eastAsia"/>
          <w:sz w:val="24"/>
        </w:rPr>
        <w:t>）</w:t>
      </w:r>
      <w:r w:rsidRPr="00B42DCE">
        <w:rPr>
          <w:rFonts w:ascii="宋体" w:hAnsi="宋体" w:hint="eastAsia"/>
          <w:sz w:val="24"/>
        </w:rPr>
        <w:t>本基金份额持有人及希望了解本基金其他有关信息的投资者，可以</w:t>
      </w:r>
      <w:r w:rsidR="00353637">
        <w:rPr>
          <w:rFonts w:ascii="宋体" w:hAnsi="宋体" w:hint="eastAsia"/>
          <w:sz w:val="24"/>
        </w:rPr>
        <w:t>登陆</w:t>
      </w:r>
      <w:r w:rsidRPr="00B42DCE">
        <w:rPr>
          <w:rFonts w:ascii="宋体" w:hAnsi="宋体" w:hint="eastAsia"/>
          <w:sz w:val="24"/>
        </w:rPr>
        <w:t>本基金管理人网站（www.qhkyfund.com）或拨打客服电话（4001-666-998）咨询相关事宜。</w:t>
      </w:r>
    </w:p>
    <w:p w:rsidR="00E11D5E" w:rsidRPr="00315E09" w:rsidRDefault="00E11D5E" w:rsidP="00E11D5E">
      <w:pPr>
        <w:adjustRightInd w:val="0"/>
        <w:snapToGrid w:val="0"/>
        <w:spacing w:line="360" w:lineRule="auto"/>
        <w:ind w:firstLineChars="200" w:firstLine="480"/>
        <w:rPr>
          <w:rFonts w:ascii="宋体" w:hAnsi="宋体"/>
          <w:sz w:val="24"/>
        </w:rPr>
      </w:pPr>
    </w:p>
    <w:p w:rsidR="00E11D5E" w:rsidRPr="00B42DCE" w:rsidRDefault="00E11D5E" w:rsidP="00E11D5E">
      <w:pPr>
        <w:adjustRightInd w:val="0"/>
        <w:snapToGrid w:val="0"/>
        <w:spacing w:line="360" w:lineRule="auto"/>
        <w:ind w:firstLineChars="200" w:firstLine="480"/>
        <w:rPr>
          <w:rFonts w:ascii="宋体" w:hAnsi="宋体"/>
          <w:sz w:val="24"/>
        </w:rPr>
      </w:pPr>
      <w:r w:rsidRPr="00B42DCE">
        <w:rPr>
          <w:rFonts w:ascii="宋体" w:hAnsi="宋体" w:hint="eastAsia"/>
          <w:sz w:val="24"/>
        </w:rPr>
        <w:t>风险提示：本基金分红并不改变本基金的风险收益特征，也不会因此降低基金投资风险或提高基金投资收益。本公司承诺以诚实信用、勤勉尽责的原则管理和运用基金</w:t>
      </w:r>
      <w:r w:rsidR="00C0707F">
        <w:rPr>
          <w:rFonts w:ascii="宋体" w:hAnsi="宋体" w:hint="eastAsia"/>
          <w:sz w:val="24"/>
        </w:rPr>
        <w:t>资产</w:t>
      </w:r>
      <w:r w:rsidRPr="00B42DCE">
        <w:rPr>
          <w:rFonts w:ascii="宋体" w:hAnsi="宋体" w:hint="eastAsia"/>
          <w:sz w:val="24"/>
        </w:rPr>
        <w:t>，但不保证本基金一定盈利，也不保证最低收益。基金的过往业绩及其净值高低并不预示其未来业绩表现。投资者投资基金前应认真阅读基金合</w:t>
      </w:r>
      <w:r w:rsidRPr="00B42DCE">
        <w:rPr>
          <w:rFonts w:ascii="宋体" w:hAnsi="宋体" w:hint="eastAsia"/>
          <w:sz w:val="24"/>
        </w:rPr>
        <w:lastRenderedPageBreak/>
        <w:t>同、招募说明书</w:t>
      </w:r>
      <w:r w:rsidR="00741F1B">
        <w:rPr>
          <w:rFonts w:ascii="宋体" w:hAnsi="宋体" w:hint="eastAsia"/>
          <w:sz w:val="24"/>
        </w:rPr>
        <w:t>、基金产品资料概要</w:t>
      </w:r>
      <w:r w:rsidR="00A85CF7">
        <w:rPr>
          <w:rFonts w:ascii="宋体" w:hAnsi="宋体" w:hint="eastAsia"/>
          <w:sz w:val="24"/>
        </w:rPr>
        <w:t>及其更新</w:t>
      </w:r>
      <w:r w:rsidRPr="00B42DCE">
        <w:rPr>
          <w:rFonts w:ascii="宋体" w:hAnsi="宋体" w:hint="eastAsia"/>
          <w:sz w:val="24"/>
        </w:rPr>
        <w:t>等法律文件，了解所投资基金的风险收益特征，并根据自身情况购买与本人风险承受能力相匹配的产品。敬请投资者注意投资风险。</w:t>
      </w:r>
    </w:p>
    <w:p w:rsidR="00E11D5E" w:rsidRPr="00B42DCE" w:rsidRDefault="00E11D5E" w:rsidP="00E11D5E">
      <w:pPr>
        <w:adjustRightInd w:val="0"/>
        <w:snapToGrid w:val="0"/>
        <w:spacing w:line="360" w:lineRule="auto"/>
        <w:ind w:firstLineChars="200" w:firstLine="480"/>
        <w:rPr>
          <w:rFonts w:ascii="宋体" w:hAnsi="宋体"/>
          <w:sz w:val="24"/>
        </w:rPr>
      </w:pPr>
      <w:r w:rsidRPr="00B42DCE">
        <w:rPr>
          <w:rFonts w:ascii="宋体" w:hAnsi="宋体" w:hint="eastAsia"/>
          <w:sz w:val="24"/>
        </w:rPr>
        <w:t>特此公告</w:t>
      </w:r>
    </w:p>
    <w:p w:rsidR="00E11D5E" w:rsidRPr="00B42DCE" w:rsidRDefault="00E11D5E" w:rsidP="00E11D5E">
      <w:pPr>
        <w:adjustRightInd w:val="0"/>
        <w:snapToGrid w:val="0"/>
        <w:spacing w:line="360" w:lineRule="auto"/>
        <w:ind w:firstLineChars="200" w:firstLine="480"/>
        <w:rPr>
          <w:rFonts w:ascii="宋体" w:hAnsi="宋体"/>
          <w:sz w:val="24"/>
        </w:rPr>
      </w:pPr>
    </w:p>
    <w:p w:rsidR="00E11D5E" w:rsidRPr="00B42DCE" w:rsidRDefault="00E11D5E" w:rsidP="00E11D5E">
      <w:pPr>
        <w:adjustRightInd w:val="0"/>
        <w:snapToGrid w:val="0"/>
        <w:spacing w:line="360" w:lineRule="auto"/>
        <w:ind w:firstLineChars="200" w:firstLine="480"/>
        <w:rPr>
          <w:rFonts w:ascii="宋体" w:hAnsi="宋体"/>
          <w:sz w:val="24"/>
        </w:rPr>
      </w:pPr>
    </w:p>
    <w:p w:rsidR="00E11D5E" w:rsidRPr="00B42DCE" w:rsidRDefault="00E11D5E" w:rsidP="00E11D5E">
      <w:pPr>
        <w:adjustRightInd w:val="0"/>
        <w:snapToGrid w:val="0"/>
        <w:spacing w:line="360" w:lineRule="auto"/>
        <w:ind w:firstLineChars="200" w:firstLine="480"/>
        <w:rPr>
          <w:rFonts w:ascii="宋体" w:hAnsi="宋体"/>
          <w:sz w:val="24"/>
        </w:rPr>
      </w:pPr>
    </w:p>
    <w:p w:rsidR="00E11D5E" w:rsidRPr="00B42DCE" w:rsidRDefault="00E11D5E" w:rsidP="00E11D5E">
      <w:pPr>
        <w:adjustRightInd w:val="0"/>
        <w:snapToGrid w:val="0"/>
        <w:spacing w:line="360" w:lineRule="auto"/>
        <w:ind w:firstLineChars="200" w:firstLine="480"/>
        <w:jc w:val="right"/>
        <w:rPr>
          <w:rFonts w:ascii="宋体" w:hAnsi="宋体"/>
          <w:sz w:val="24"/>
        </w:rPr>
      </w:pPr>
      <w:r w:rsidRPr="00B42DCE">
        <w:rPr>
          <w:rFonts w:ascii="宋体" w:hAnsi="宋体" w:hint="eastAsia"/>
          <w:sz w:val="24"/>
        </w:rPr>
        <w:t>前海开源基金管理有限公司</w:t>
      </w:r>
    </w:p>
    <w:p w:rsidR="00E11D5E" w:rsidRPr="00B42DCE" w:rsidRDefault="00950A3A" w:rsidP="00E11D5E">
      <w:pPr>
        <w:adjustRightInd w:val="0"/>
        <w:snapToGrid w:val="0"/>
        <w:spacing w:line="360" w:lineRule="auto"/>
        <w:ind w:firstLineChars="200" w:firstLine="480"/>
        <w:jc w:val="right"/>
        <w:rPr>
          <w:rFonts w:ascii="宋体" w:hAnsi="宋体"/>
          <w:sz w:val="24"/>
        </w:rPr>
      </w:pPr>
      <w:r>
        <w:rPr>
          <w:rFonts w:ascii="宋体" w:hAnsi="宋体"/>
          <w:sz w:val="24"/>
        </w:rPr>
        <w:t>2023年3月28日</w:t>
      </w:r>
    </w:p>
    <w:p w:rsidR="00B42DCE" w:rsidRPr="00B42DCE" w:rsidRDefault="00B42DCE" w:rsidP="00B42DCE">
      <w:pPr>
        <w:adjustRightInd w:val="0"/>
        <w:snapToGrid w:val="0"/>
        <w:spacing w:line="360" w:lineRule="auto"/>
        <w:ind w:firstLineChars="200" w:firstLine="480"/>
        <w:jc w:val="right"/>
        <w:rPr>
          <w:rFonts w:ascii="宋体" w:hAnsi="宋体"/>
          <w:sz w:val="24"/>
        </w:rPr>
      </w:pPr>
    </w:p>
    <w:sectPr w:rsidR="00B42DCE" w:rsidRPr="00B42DCE" w:rsidSect="0024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ECC" w:rsidRDefault="00184ECC" w:rsidP="008958C9">
      <w:r>
        <w:separator/>
      </w:r>
    </w:p>
  </w:endnote>
  <w:endnote w:type="continuationSeparator" w:id="0">
    <w:p w:rsidR="00184ECC" w:rsidRDefault="00184ECC" w:rsidP="00895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ECC" w:rsidRDefault="00184ECC" w:rsidP="008958C9">
      <w:r>
        <w:separator/>
      </w:r>
    </w:p>
  </w:footnote>
  <w:footnote w:type="continuationSeparator" w:id="0">
    <w:p w:rsidR="00184ECC" w:rsidRDefault="00184ECC" w:rsidP="00895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7E9D"/>
    <w:rsid w:val="00002086"/>
    <w:rsid w:val="0000522D"/>
    <w:rsid w:val="00013A60"/>
    <w:rsid w:val="00020F3D"/>
    <w:rsid w:val="00023EB9"/>
    <w:rsid w:val="00037A04"/>
    <w:rsid w:val="00052C08"/>
    <w:rsid w:val="000744B7"/>
    <w:rsid w:val="00090393"/>
    <w:rsid w:val="00092212"/>
    <w:rsid w:val="0009590E"/>
    <w:rsid w:val="000B0E6C"/>
    <w:rsid w:val="000D2F28"/>
    <w:rsid w:val="000D3C87"/>
    <w:rsid w:val="000F2794"/>
    <w:rsid w:val="00101B67"/>
    <w:rsid w:val="00102248"/>
    <w:rsid w:val="00104A59"/>
    <w:rsid w:val="001056B5"/>
    <w:rsid w:val="00112DF0"/>
    <w:rsid w:val="00122BC3"/>
    <w:rsid w:val="00123B9C"/>
    <w:rsid w:val="0013064A"/>
    <w:rsid w:val="0013213F"/>
    <w:rsid w:val="00141A6C"/>
    <w:rsid w:val="0014484E"/>
    <w:rsid w:val="00146278"/>
    <w:rsid w:val="00154C48"/>
    <w:rsid w:val="00177453"/>
    <w:rsid w:val="00183DEE"/>
    <w:rsid w:val="00184ECC"/>
    <w:rsid w:val="00191CE7"/>
    <w:rsid w:val="00192865"/>
    <w:rsid w:val="00192CFD"/>
    <w:rsid w:val="00195867"/>
    <w:rsid w:val="001A31C7"/>
    <w:rsid w:val="001A5414"/>
    <w:rsid w:val="001B3455"/>
    <w:rsid w:val="001B7E00"/>
    <w:rsid w:val="001C1AB2"/>
    <w:rsid w:val="001C1C9B"/>
    <w:rsid w:val="001C362F"/>
    <w:rsid w:val="001D37A6"/>
    <w:rsid w:val="001E1D79"/>
    <w:rsid w:val="001E2DCD"/>
    <w:rsid w:val="001E6D80"/>
    <w:rsid w:val="001F59D5"/>
    <w:rsid w:val="00210D5A"/>
    <w:rsid w:val="00246851"/>
    <w:rsid w:val="00257B3A"/>
    <w:rsid w:val="002600DE"/>
    <w:rsid w:val="002604D0"/>
    <w:rsid w:val="002671DE"/>
    <w:rsid w:val="00271D57"/>
    <w:rsid w:val="0029704B"/>
    <w:rsid w:val="002A2C5F"/>
    <w:rsid w:val="002A4F35"/>
    <w:rsid w:val="002C24B4"/>
    <w:rsid w:val="002C5608"/>
    <w:rsid w:val="002C7447"/>
    <w:rsid w:val="002E0880"/>
    <w:rsid w:val="002E7D6E"/>
    <w:rsid w:val="002F1511"/>
    <w:rsid w:val="00306775"/>
    <w:rsid w:val="00313B23"/>
    <w:rsid w:val="00324CE7"/>
    <w:rsid w:val="003270E5"/>
    <w:rsid w:val="00330E5B"/>
    <w:rsid w:val="003359A9"/>
    <w:rsid w:val="00350646"/>
    <w:rsid w:val="00352B2E"/>
    <w:rsid w:val="00353637"/>
    <w:rsid w:val="00353AC1"/>
    <w:rsid w:val="003575AF"/>
    <w:rsid w:val="00364F2F"/>
    <w:rsid w:val="003654DA"/>
    <w:rsid w:val="0038026E"/>
    <w:rsid w:val="00390D9C"/>
    <w:rsid w:val="003919D2"/>
    <w:rsid w:val="00394883"/>
    <w:rsid w:val="003953A0"/>
    <w:rsid w:val="0039608E"/>
    <w:rsid w:val="003C44AE"/>
    <w:rsid w:val="003D2646"/>
    <w:rsid w:val="003E480A"/>
    <w:rsid w:val="003F0C2D"/>
    <w:rsid w:val="004062B8"/>
    <w:rsid w:val="00444467"/>
    <w:rsid w:val="00444DCB"/>
    <w:rsid w:val="0044720D"/>
    <w:rsid w:val="00450F3D"/>
    <w:rsid w:val="004523EB"/>
    <w:rsid w:val="00452FE1"/>
    <w:rsid w:val="0048561B"/>
    <w:rsid w:val="0049119A"/>
    <w:rsid w:val="0049281F"/>
    <w:rsid w:val="004C4648"/>
    <w:rsid w:val="004D05B1"/>
    <w:rsid w:val="004D13B0"/>
    <w:rsid w:val="004D1D61"/>
    <w:rsid w:val="004D241B"/>
    <w:rsid w:val="004D5C78"/>
    <w:rsid w:val="004E62E2"/>
    <w:rsid w:val="004E78EC"/>
    <w:rsid w:val="00511A72"/>
    <w:rsid w:val="00530B9B"/>
    <w:rsid w:val="00542639"/>
    <w:rsid w:val="0055156E"/>
    <w:rsid w:val="00556715"/>
    <w:rsid w:val="00563CB0"/>
    <w:rsid w:val="00566911"/>
    <w:rsid w:val="00591FDE"/>
    <w:rsid w:val="005A16B7"/>
    <w:rsid w:val="005A1C7E"/>
    <w:rsid w:val="005A7EB1"/>
    <w:rsid w:val="005B3766"/>
    <w:rsid w:val="005C1C72"/>
    <w:rsid w:val="005E3877"/>
    <w:rsid w:val="006132AE"/>
    <w:rsid w:val="00622E57"/>
    <w:rsid w:val="00644403"/>
    <w:rsid w:val="00665DD7"/>
    <w:rsid w:val="00673494"/>
    <w:rsid w:val="006778D9"/>
    <w:rsid w:val="0068188E"/>
    <w:rsid w:val="006A187A"/>
    <w:rsid w:val="006B6B9D"/>
    <w:rsid w:val="006B77D9"/>
    <w:rsid w:val="006C12D0"/>
    <w:rsid w:val="006C235F"/>
    <w:rsid w:val="006C4FCA"/>
    <w:rsid w:val="006D7643"/>
    <w:rsid w:val="006E20DE"/>
    <w:rsid w:val="006E4260"/>
    <w:rsid w:val="006E6CC0"/>
    <w:rsid w:val="006F0F83"/>
    <w:rsid w:val="006F251D"/>
    <w:rsid w:val="006F3A93"/>
    <w:rsid w:val="006F4A43"/>
    <w:rsid w:val="006F6778"/>
    <w:rsid w:val="00702BAB"/>
    <w:rsid w:val="0072082C"/>
    <w:rsid w:val="00727488"/>
    <w:rsid w:val="00741F1B"/>
    <w:rsid w:val="0074634C"/>
    <w:rsid w:val="00750CBB"/>
    <w:rsid w:val="0075446A"/>
    <w:rsid w:val="007A2BD8"/>
    <w:rsid w:val="007A32EC"/>
    <w:rsid w:val="007B52E1"/>
    <w:rsid w:val="007B7728"/>
    <w:rsid w:val="007C0276"/>
    <w:rsid w:val="007C2223"/>
    <w:rsid w:val="007C2F7A"/>
    <w:rsid w:val="007D4C1C"/>
    <w:rsid w:val="007F1126"/>
    <w:rsid w:val="007F14CB"/>
    <w:rsid w:val="007F36CF"/>
    <w:rsid w:val="00831659"/>
    <w:rsid w:val="00885A83"/>
    <w:rsid w:val="008860FB"/>
    <w:rsid w:val="008958C9"/>
    <w:rsid w:val="008A5C12"/>
    <w:rsid w:val="008A6D4E"/>
    <w:rsid w:val="008B68AF"/>
    <w:rsid w:val="008C1A4B"/>
    <w:rsid w:val="008D5265"/>
    <w:rsid w:val="008D60DA"/>
    <w:rsid w:val="008E0E22"/>
    <w:rsid w:val="008E512A"/>
    <w:rsid w:val="008F3630"/>
    <w:rsid w:val="008F7710"/>
    <w:rsid w:val="008F7E9D"/>
    <w:rsid w:val="00907730"/>
    <w:rsid w:val="00913356"/>
    <w:rsid w:val="00914935"/>
    <w:rsid w:val="009252DE"/>
    <w:rsid w:val="00927491"/>
    <w:rsid w:val="00930F02"/>
    <w:rsid w:val="009349FF"/>
    <w:rsid w:val="009361DA"/>
    <w:rsid w:val="009437D1"/>
    <w:rsid w:val="00950A3A"/>
    <w:rsid w:val="00955863"/>
    <w:rsid w:val="009634A3"/>
    <w:rsid w:val="00974F8E"/>
    <w:rsid w:val="00985695"/>
    <w:rsid w:val="009E0476"/>
    <w:rsid w:val="009E5DCC"/>
    <w:rsid w:val="00A14B0B"/>
    <w:rsid w:val="00A20BF5"/>
    <w:rsid w:val="00A25C24"/>
    <w:rsid w:val="00A3279D"/>
    <w:rsid w:val="00A41D62"/>
    <w:rsid w:val="00A44BB6"/>
    <w:rsid w:val="00A47747"/>
    <w:rsid w:val="00A57A05"/>
    <w:rsid w:val="00A75EAC"/>
    <w:rsid w:val="00A85CF7"/>
    <w:rsid w:val="00A94E0E"/>
    <w:rsid w:val="00A94E5B"/>
    <w:rsid w:val="00AC0034"/>
    <w:rsid w:val="00AD3DB1"/>
    <w:rsid w:val="00AD574D"/>
    <w:rsid w:val="00AE58B2"/>
    <w:rsid w:val="00B12C24"/>
    <w:rsid w:val="00B16376"/>
    <w:rsid w:val="00B262A2"/>
    <w:rsid w:val="00B272B4"/>
    <w:rsid w:val="00B401D9"/>
    <w:rsid w:val="00B40896"/>
    <w:rsid w:val="00B42696"/>
    <w:rsid w:val="00B42DCE"/>
    <w:rsid w:val="00B4410B"/>
    <w:rsid w:val="00B454F2"/>
    <w:rsid w:val="00B50341"/>
    <w:rsid w:val="00B50F01"/>
    <w:rsid w:val="00B535D8"/>
    <w:rsid w:val="00B56C27"/>
    <w:rsid w:val="00B628EC"/>
    <w:rsid w:val="00B734D8"/>
    <w:rsid w:val="00B751C3"/>
    <w:rsid w:val="00B87A64"/>
    <w:rsid w:val="00B9228B"/>
    <w:rsid w:val="00B9552D"/>
    <w:rsid w:val="00BA786D"/>
    <w:rsid w:val="00BC4257"/>
    <w:rsid w:val="00BC7073"/>
    <w:rsid w:val="00BD2DB7"/>
    <w:rsid w:val="00BE2564"/>
    <w:rsid w:val="00BE4931"/>
    <w:rsid w:val="00BE7814"/>
    <w:rsid w:val="00C00546"/>
    <w:rsid w:val="00C0707F"/>
    <w:rsid w:val="00C120FA"/>
    <w:rsid w:val="00C22DF1"/>
    <w:rsid w:val="00C23FCA"/>
    <w:rsid w:val="00C26D0E"/>
    <w:rsid w:val="00C26FCE"/>
    <w:rsid w:val="00C36AA9"/>
    <w:rsid w:val="00C376ED"/>
    <w:rsid w:val="00C45807"/>
    <w:rsid w:val="00C70E43"/>
    <w:rsid w:val="00C73FEC"/>
    <w:rsid w:val="00C7507A"/>
    <w:rsid w:val="00C76EE7"/>
    <w:rsid w:val="00C8418D"/>
    <w:rsid w:val="00C844F2"/>
    <w:rsid w:val="00CA1002"/>
    <w:rsid w:val="00CA522F"/>
    <w:rsid w:val="00CB0520"/>
    <w:rsid w:val="00CC2AEA"/>
    <w:rsid w:val="00CD2776"/>
    <w:rsid w:val="00CD28D5"/>
    <w:rsid w:val="00CE50F1"/>
    <w:rsid w:val="00CE6511"/>
    <w:rsid w:val="00CE6976"/>
    <w:rsid w:val="00CF0FCF"/>
    <w:rsid w:val="00CF4DC6"/>
    <w:rsid w:val="00CF5406"/>
    <w:rsid w:val="00CF5CE5"/>
    <w:rsid w:val="00D22C9C"/>
    <w:rsid w:val="00D35748"/>
    <w:rsid w:val="00D55970"/>
    <w:rsid w:val="00D57BC7"/>
    <w:rsid w:val="00D62C62"/>
    <w:rsid w:val="00D62EAB"/>
    <w:rsid w:val="00D633DF"/>
    <w:rsid w:val="00D64766"/>
    <w:rsid w:val="00D715A6"/>
    <w:rsid w:val="00D72502"/>
    <w:rsid w:val="00D77D25"/>
    <w:rsid w:val="00D820C0"/>
    <w:rsid w:val="00D841AA"/>
    <w:rsid w:val="00D95DB0"/>
    <w:rsid w:val="00DC42A8"/>
    <w:rsid w:val="00DC432A"/>
    <w:rsid w:val="00DD2325"/>
    <w:rsid w:val="00DD2A1F"/>
    <w:rsid w:val="00DE62E9"/>
    <w:rsid w:val="00DE7951"/>
    <w:rsid w:val="00E06DC5"/>
    <w:rsid w:val="00E11D5E"/>
    <w:rsid w:val="00E16353"/>
    <w:rsid w:val="00E2275C"/>
    <w:rsid w:val="00E266F9"/>
    <w:rsid w:val="00E32743"/>
    <w:rsid w:val="00E461DB"/>
    <w:rsid w:val="00E50DEC"/>
    <w:rsid w:val="00E62051"/>
    <w:rsid w:val="00E75193"/>
    <w:rsid w:val="00E80D5E"/>
    <w:rsid w:val="00E9487A"/>
    <w:rsid w:val="00E970BB"/>
    <w:rsid w:val="00EA06A9"/>
    <w:rsid w:val="00EB0037"/>
    <w:rsid w:val="00EB35DB"/>
    <w:rsid w:val="00EB4E21"/>
    <w:rsid w:val="00ED2B51"/>
    <w:rsid w:val="00ED6452"/>
    <w:rsid w:val="00EE205B"/>
    <w:rsid w:val="00EE3D46"/>
    <w:rsid w:val="00EE452F"/>
    <w:rsid w:val="00EF5935"/>
    <w:rsid w:val="00EF5C48"/>
    <w:rsid w:val="00F009B3"/>
    <w:rsid w:val="00F17DAE"/>
    <w:rsid w:val="00F56BE4"/>
    <w:rsid w:val="00F70301"/>
    <w:rsid w:val="00F71B06"/>
    <w:rsid w:val="00F778B8"/>
    <w:rsid w:val="00F77DFE"/>
    <w:rsid w:val="00FB4D32"/>
    <w:rsid w:val="00FC35E0"/>
    <w:rsid w:val="00FC4DA2"/>
    <w:rsid w:val="00FC670D"/>
    <w:rsid w:val="00FC7839"/>
    <w:rsid w:val="00FE2474"/>
    <w:rsid w:val="00FF5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8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958C9"/>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4"/>
    <w:uiPriority w:val="99"/>
    <w:rsid w:val="008958C9"/>
    <w:rPr>
      <w:sz w:val="18"/>
      <w:szCs w:val="18"/>
    </w:rPr>
  </w:style>
  <w:style w:type="paragraph" w:styleId="a5">
    <w:name w:val="footer"/>
    <w:basedOn w:val="a"/>
    <w:link w:val="Char0"/>
    <w:uiPriority w:val="99"/>
    <w:unhideWhenUsed/>
    <w:rsid w:val="008958C9"/>
    <w:pPr>
      <w:tabs>
        <w:tab w:val="center" w:pos="4153"/>
        <w:tab w:val="right" w:pos="8306"/>
      </w:tabs>
      <w:snapToGrid w:val="0"/>
      <w:jc w:val="left"/>
    </w:pPr>
    <w:rPr>
      <w:kern w:val="0"/>
      <w:sz w:val="18"/>
      <w:szCs w:val="18"/>
      <w:lang/>
    </w:rPr>
  </w:style>
  <w:style w:type="character" w:customStyle="1" w:styleId="Char0">
    <w:name w:val="页脚 Char"/>
    <w:link w:val="a5"/>
    <w:uiPriority w:val="99"/>
    <w:rsid w:val="008958C9"/>
    <w:rPr>
      <w:sz w:val="18"/>
      <w:szCs w:val="18"/>
    </w:rPr>
  </w:style>
  <w:style w:type="paragraph" w:styleId="a6">
    <w:name w:val="Balloon Text"/>
    <w:basedOn w:val="a"/>
    <w:link w:val="Char1"/>
    <w:uiPriority w:val="99"/>
    <w:semiHidden/>
    <w:unhideWhenUsed/>
    <w:rsid w:val="00591FDE"/>
    <w:rPr>
      <w:kern w:val="0"/>
      <w:sz w:val="18"/>
      <w:szCs w:val="18"/>
      <w:lang/>
    </w:rPr>
  </w:style>
  <w:style w:type="character" w:customStyle="1" w:styleId="Char1">
    <w:name w:val="批注框文本 Char"/>
    <w:link w:val="a6"/>
    <w:uiPriority w:val="99"/>
    <w:semiHidden/>
    <w:rsid w:val="00591FDE"/>
    <w:rPr>
      <w:sz w:val="18"/>
      <w:szCs w:val="18"/>
    </w:rPr>
  </w:style>
  <w:style w:type="character" w:styleId="a7">
    <w:name w:val="annotation reference"/>
    <w:uiPriority w:val="99"/>
    <w:semiHidden/>
    <w:unhideWhenUsed/>
    <w:rsid w:val="00A94E5B"/>
    <w:rPr>
      <w:sz w:val="21"/>
      <w:szCs w:val="21"/>
    </w:rPr>
  </w:style>
  <w:style w:type="paragraph" w:styleId="a8">
    <w:name w:val="annotation text"/>
    <w:basedOn w:val="a"/>
    <w:link w:val="Char2"/>
    <w:uiPriority w:val="99"/>
    <w:semiHidden/>
    <w:unhideWhenUsed/>
    <w:rsid w:val="00A94E5B"/>
    <w:pPr>
      <w:jc w:val="left"/>
    </w:pPr>
    <w:rPr>
      <w:lang/>
    </w:rPr>
  </w:style>
  <w:style w:type="character" w:customStyle="1" w:styleId="Char2">
    <w:name w:val="批注文字 Char"/>
    <w:link w:val="a8"/>
    <w:uiPriority w:val="99"/>
    <w:semiHidden/>
    <w:rsid w:val="00A94E5B"/>
    <w:rPr>
      <w:kern w:val="2"/>
      <w:sz w:val="21"/>
      <w:szCs w:val="22"/>
    </w:rPr>
  </w:style>
  <w:style w:type="paragraph" w:styleId="a9">
    <w:name w:val="annotation subject"/>
    <w:basedOn w:val="a8"/>
    <w:next w:val="a8"/>
    <w:link w:val="Char3"/>
    <w:uiPriority w:val="99"/>
    <w:semiHidden/>
    <w:unhideWhenUsed/>
    <w:rsid w:val="00A94E5B"/>
    <w:rPr>
      <w:b/>
      <w:bCs/>
    </w:rPr>
  </w:style>
  <w:style w:type="character" w:customStyle="1" w:styleId="Char3">
    <w:name w:val="批注主题 Char"/>
    <w:link w:val="a9"/>
    <w:uiPriority w:val="99"/>
    <w:semiHidden/>
    <w:rsid w:val="00A94E5B"/>
    <w:rPr>
      <w:b/>
      <w:bCs/>
      <w:kern w:val="2"/>
      <w:sz w:val="21"/>
      <w:szCs w:val="22"/>
    </w:rPr>
  </w:style>
  <w:style w:type="paragraph" w:styleId="aa">
    <w:name w:val="Revision"/>
    <w:hidden/>
    <w:uiPriority w:val="99"/>
    <w:semiHidden/>
    <w:rsid w:val="00F77DFE"/>
    <w:rPr>
      <w:kern w:val="2"/>
      <w:sz w:val="21"/>
      <w:szCs w:val="22"/>
    </w:rPr>
  </w:style>
</w:styles>
</file>

<file path=word/webSettings.xml><?xml version="1.0" encoding="utf-8"?>
<w:webSettings xmlns:r="http://schemas.openxmlformats.org/officeDocument/2006/relationships" xmlns:w="http://schemas.openxmlformats.org/wordprocessingml/2006/main">
  <w:divs>
    <w:div w:id="42603721">
      <w:bodyDiv w:val="1"/>
      <w:marLeft w:val="0"/>
      <w:marRight w:val="0"/>
      <w:marTop w:val="0"/>
      <w:marBottom w:val="0"/>
      <w:divBdr>
        <w:top w:val="none" w:sz="0" w:space="0" w:color="auto"/>
        <w:left w:val="none" w:sz="0" w:space="0" w:color="auto"/>
        <w:bottom w:val="none" w:sz="0" w:space="0" w:color="auto"/>
        <w:right w:val="none" w:sz="0" w:space="0" w:color="auto"/>
      </w:divBdr>
    </w:div>
    <w:div w:id="58024373">
      <w:bodyDiv w:val="1"/>
      <w:marLeft w:val="0"/>
      <w:marRight w:val="0"/>
      <w:marTop w:val="0"/>
      <w:marBottom w:val="0"/>
      <w:divBdr>
        <w:top w:val="none" w:sz="0" w:space="0" w:color="auto"/>
        <w:left w:val="none" w:sz="0" w:space="0" w:color="auto"/>
        <w:bottom w:val="none" w:sz="0" w:space="0" w:color="auto"/>
        <w:right w:val="none" w:sz="0" w:space="0" w:color="auto"/>
      </w:divBdr>
    </w:div>
    <w:div w:id="139884505">
      <w:bodyDiv w:val="1"/>
      <w:marLeft w:val="0"/>
      <w:marRight w:val="0"/>
      <w:marTop w:val="0"/>
      <w:marBottom w:val="0"/>
      <w:divBdr>
        <w:top w:val="none" w:sz="0" w:space="0" w:color="auto"/>
        <w:left w:val="none" w:sz="0" w:space="0" w:color="auto"/>
        <w:bottom w:val="none" w:sz="0" w:space="0" w:color="auto"/>
        <w:right w:val="none" w:sz="0" w:space="0" w:color="auto"/>
      </w:divBdr>
    </w:div>
    <w:div w:id="207883529">
      <w:bodyDiv w:val="1"/>
      <w:marLeft w:val="0"/>
      <w:marRight w:val="0"/>
      <w:marTop w:val="0"/>
      <w:marBottom w:val="0"/>
      <w:divBdr>
        <w:top w:val="none" w:sz="0" w:space="0" w:color="auto"/>
        <w:left w:val="none" w:sz="0" w:space="0" w:color="auto"/>
        <w:bottom w:val="none" w:sz="0" w:space="0" w:color="auto"/>
        <w:right w:val="none" w:sz="0" w:space="0" w:color="auto"/>
      </w:divBdr>
    </w:div>
    <w:div w:id="229655795">
      <w:bodyDiv w:val="1"/>
      <w:marLeft w:val="0"/>
      <w:marRight w:val="0"/>
      <w:marTop w:val="0"/>
      <w:marBottom w:val="0"/>
      <w:divBdr>
        <w:top w:val="none" w:sz="0" w:space="0" w:color="auto"/>
        <w:left w:val="none" w:sz="0" w:space="0" w:color="auto"/>
        <w:bottom w:val="none" w:sz="0" w:space="0" w:color="auto"/>
        <w:right w:val="none" w:sz="0" w:space="0" w:color="auto"/>
      </w:divBdr>
    </w:div>
    <w:div w:id="231889466">
      <w:bodyDiv w:val="1"/>
      <w:marLeft w:val="0"/>
      <w:marRight w:val="0"/>
      <w:marTop w:val="0"/>
      <w:marBottom w:val="0"/>
      <w:divBdr>
        <w:top w:val="none" w:sz="0" w:space="0" w:color="auto"/>
        <w:left w:val="none" w:sz="0" w:space="0" w:color="auto"/>
        <w:bottom w:val="none" w:sz="0" w:space="0" w:color="auto"/>
        <w:right w:val="none" w:sz="0" w:space="0" w:color="auto"/>
      </w:divBdr>
    </w:div>
    <w:div w:id="662512293">
      <w:bodyDiv w:val="1"/>
      <w:marLeft w:val="0"/>
      <w:marRight w:val="0"/>
      <w:marTop w:val="0"/>
      <w:marBottom w:val="0"/>
      <w:divBdr>
        <w:top w:val="none" w:sz="0" w:space="0" w:color="auto"/>
        <w:left w:val="none" w:sz="0" w:space="0" w:color="auto"/>
        <w:bottom w:val="none" w:sz="0" w:space="0" w:color="auto"/>
        <w:right w:val="none" w:sz="0" w:space="0" w:color="auto"/>
      </w:divBdr>
    </w:div>
    <w:div w:id="872158118">
      <w:bodyDiv w:val="1"/>
      <w:marLeft w:val="0"/>
      <w:marRight w:val="0"/>
      <w:marTop w:val="0"/>
      <w:marBottom w:val="0"/>
      <w:divBdr>
        <w:top w:val="none" w:sz="0" w:space="0" w:color="auto"/>
        <w:left w:val="none" w:sz="0" w:space="0" w:color="auto"/>
        <w:bottom w:val="none" w:sz="0" w:space="0" w:color="auto"/>
        <w:right w:val="none" w:sz="0" w:space="0" w:color="auto"/>
      </w:divBdr>
    </w:div>
    <w:div w:id="1037393242">
      <w:bodyDiv w:val="1"/>
      <w:marLeft w:val="0"/>
      <w:marRight w:val="0"/>
      <w:marTop w:val="0"/>
      <w:marBottom w:val="0"/>
      <w:divBdr>
        <w:top w:val="none" w:sz="0" w:space="0" w:color="auto"/>
        <w:left w:val="none" w:sz="0" w:space="0" w:color="auto"/>
        <w:bottom w:val="none" w:sz="0" w:space="0" w:color="auto"/>
        <w:right w:val="none" w:sz="0" w:space="0" w:color="auto"/>
      </w:divBdr>
    </w:div>
    <w:div w:id="1107239643">
      <w:bodyDiv w:val="1"/>
      <w:marLeft w:val="0"/>
      <w:marRight w:val="0"/>
      <w:marTop w:val="0"/>
      <w:marBottom w:val="0"/>
      <w:divBdr>
        <w:top w:val="none" w:sz="0" w:space="0" w:color="auto"/>
        <w:left w:val="none" w:sz="0" w:space="0" w:color="auto"/>
        <w:bottom w:val="none" w:sz="0" w:space="0" w:color="auto"/>
        <w:right w:val="none" w:sz="0" w:space="0" w:color="auto"/>
      </w:divBdr>
    </w:div>
    <w:div w:id="1221280944">
      <w:bodyDiv w:val="1"/>
      <w:marLeft w:val="0"/>
      <w:marRight w:val="0"/>
      <w:marTop w:val="0"/>
      <w:marBottom w:val="0"/>
      <w:divBdr>
        <w:top w:val="none" w:sz="0" w:space="0" w:color="auto"/>
        <w:left w:val="none" w:sz="0" w:space="0" w:color="auto"/>
        <w:bottom w:val="none" w:sz="0" w:space="0" w:color="auto"/>
        <w:right w:val="none" w:sz="0" w:space="0" w:color="auto"/>
      </w:divBdr>
    </w:div>
    <w:div w:id="1330399663">
      <w:bodyDiv w:val="1"/>
      <w:marLeft w:val="0"/>
      <w:marRight w:val="0"/>
      <w:marTop w:val="0"/>
      <w:marBottom w:val="0"/>
      <w:divBdr>
        <w:top w:val="none" w:sz="0" w:space="0" w:color="auto"/>
        <w:left w:val="none" w:sz="0" w:space="0" w:color="auto"/>
        <w:bottom w:val="none" w:sz="0" w:space="0" w:color="auto"/>
        <w:right w:val="none" w:sz="0" w:space="0" w:color="auto"/>
      </w:divBdr>
    </w:div>
    <w:div w:id="1475173368">
      <w:bodyDiv w:val="1"/>
      <w:marLeft w:val="0"/>
      <w:marRight w:val="0"/>
      <w:marTop w:val="0"/>
      <w:marBottom w:val="0"/>
      <w:divBdr>
        <w:top w:val="none" w:sz="0" w:space="0" w:color="auto"/>
        <w:left w:val="none" w:sz="0" w:space="0" w:color="auto"/>
        <w:bottom w:val="none" w:sz="0" w:space="0" w:color="auto"/>
        <w:right w:val="none" w:sz="0" w:space="0" w:color="auto"/>
      </w:divBdr>
    </w:div>
    <w:div w:id="1524973830">
      <w:bodyDiv w:val="1"/>
      <w:marLeft w:val="0"/>
      <w:marRight w:val="0"/>
      <w:marTop w:val="0"/>
      <w:marBottom w:val="0"/>
      <w:divBdr>
        <w:top w:val="none" w:sz="0" w:space="0" w:color="auto"/>
        <w:left w:val="none" w:sz="0" w:space="0" w:color="auto"/>
        <w:bottom w:val="none" w:sz="0" w:space="0" w:color="auto"/>
        <w:right w:val="none" w:sz="0" w:space="0" w:color="auto"/>
      </w:divBdr>
    </w:div>
    <w:div w:id="1996177763">
      <w:bodyDiv w:val="1"/>
      <w:marLeft w:val="0"/>
      <w:marRight w:val="0"/>
      <w:marTop w:val="0"/>
      <w:marBottom w:val="0"/>
      <w:divBdr>
        <w:top w:val="none" w:sz="0" w:space="0" w:color="auto"/>
        <w:left w:val="none" w:sz="0" w:space="0" w:color="auto"/>
        <w:bottom w:val="none" w:sz="0" w:space="0" w:color="auto"/>
        <w:right w:val="none" w:sz="0" w:space="0" w:color="auto"/>
      </w:divBdr>
    </w:div>
    <w:div w:id="20622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12D20-61BC-4D6C-AFB3-D57888B1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1520</Characters>
  <Application>Microsoft Office Word</Application>
  <DocSecurity>4</DocSecurity>
  <Lines>12</Lines>
  <Paragraphs>3</Paragraphs>
  <ScaleCrop>false</ScaleCrop>
  <Company>Lenovo</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唐研然</dc:creator>
  <cp:lastModifiedBy>ZHONGM</cp:lastModifiedBy>
  <cp:revision>2</cp:revision>
  <dcterms:created xsi:type="dcterms:W3CDTF">2023-03-27T16:02:00Z</dcterms:created>
  <dcterms:modified xsi:type="dcterms:W3CDTF">2023-03-27T16:02:00Z</dcterms:modified>
</cp:coreProperties>
</file>