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D16290">
        <w:rPr>
          <w:rStyle w:val="d1"/>
          <w:rFonts w:hAnsi="宋体" w:hint="eastAsia"/>
          <w:color w:val="000000"/>
          <w:sz w:val="24"/>
          <w:szCs w:val="24"/>
        </w:rPr>
        <w:t>深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02426D">
        <w:rPr>
          <w:rStyle w:val="d1"/>
          <w:rFonts w:hAnsi="宋体" w:hint="eastAsia"/>
          <w:color w:val="auto"/>
          <w:sz w:val="24"/>
          <w:szCs w:val="24"/>
        </w:rPr>
        <w:t>东海证券</w:t>
      </w:r>
      <w:r w:rsidR="00092BDB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C740C" w:rsidRDefault="00737436" w:rsidP="003659A8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color w:val="auto"/>
          <w:sz w:val="24"/>
          <w:szCs w:val="24"/>
        </w:rPr>
        <w:t>自</w:t>
      </w:r>
      <w:r w:rsidR="00C31D82">
        <w:rPr>
          <w:rStyle w:val="c1"/>
          <w:rFonts w:hint="eastAsia"/>
          <w:color w:val="auto"/>
          <w:sz w:val="24"/>
          <w:szCs w:val="24"/>
        </w:rPr>
        <w:t>202</w:t>
      </w:r>
      <w:r w:rsidR="00367B28">
        <w:rPr>
          <w:rStyle w:val="c1"/>
          <w:color w:val="auto"/>
          <w:sz w:val="24"/>
          <w:szCs w:val="24"/>
        </w:rPr>
        <w:t>3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A61ED5">
        <w:rPr>
          <w:rStyle w:val="c1"/>
          <w:color w:val="auto"/>
          <w:sz w:val="24"/>
          <w:szCs w:val="24"/>
        </w:rPr>
        <w:t>3</w:t>
      </w:r>
      <w:r w:rsidR="00A61ED5">
        <w:rPr>
          <w:rStyle w:val="c1"/>
          <w:color w:val="auto"/>
          <w:sz w:val="24"/>
          <w:szCs w:val="24"/>
        </w:rPr>
        <w:t>月</w:t>
      </w:r>
      <w:r w:rsidR="00A61ED5">
        <w:rPr>
          <w:rStyle w:val="c1"/>
          <w:color w:val="auto"/>
          <w:sz w:val="24"/>
          <w:szCs w:val="24"/>
        </w:rPr>
        <w:t>1</w:t>
      </w:r>
      <w:r w:rsidR="0002426D">
        <w:rPr>
          <w:rStyle w:val="c1"/>
          <w:color w:val="auto"/>
          <w:sz w:val="24"/>
          <w:szCs w:val="24"/>
        </w:rPr>
        <w:t>7</w:t>
      </w:r>
      <w:r w:rsidR="00A61ED5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color w:val="auto"/>
          <w:sz w:val="24"/>
          <w:szCs w:val="24"/>
        </w:rPr>
        <w:t>起，</w:t>
      </w:r>
      <w:r w:rsidR="00B04C94" w:rsidRPr="00B04C94">
        <w:rPr>
          <w:rStyle w:val="c1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color w:val="auto"/>
          <w:sz w:val="24"/>
          <w:szCs w:val="24"/>
        </w:rPr>
        <w:t>旗下</w:t>
      </w:r>
      <w:r w:rsidR="00430047">
        <w:rPr>
          <w:rStyle w:val="c1"/>
          <w:rFonts w:hint="eastAsia"/>
          <w:color w:val="auto"/>
          <w:sz w:val="24"/>
          <w:szCs w:val="24"/>
        </w:rPr>
        <w:t>部分</w:t>
      </w:r>
      <w:r w:rsidR="00D16290">
        <w:rPr>
          <w:rStyle w:val="c1"/>
          <w:rFonts w:hint="eastAsia"/>
          <w:color w:val="auto"/>
          <w:sz w:val="24"/>
          <w:szCs w:val="24"/>
        </w:rPr>
        <w:t>深</w:t>
      </w:r>
      <w:r w:rsidR="0073005E" w:rsidRPr="00B04C94">
        <w:rPr>
          <w:rStyle w:val="c1"/>
          <w:rFonts w:hint="eastAsia"/>
          <w:color w:val="auto"/>
          <w:sz w:val="24"/>
          <w:szCs w:val="24"/>
        </w:rPr>
        <w:t>交所</w:t>
      </w:r>
      <w:r w:rsidR="00443D48" w:rsidRPr="00B04C94">
        <w:rPr>
          <w:rStyle w:val="c1"/>
          <w:color w:val="auto"/>
          <w:sz w:val="24"/>
          <w:szCs w:val="24"/>
        </w:rPr>
        <w:t>ETF</w:t>
      </w:r>
      <w:r w:rsidRPr="00B04C94">
        <w:rPr>
          <w:rStyle w:val="c1"/>
          <w:color w:val="auto"/>
          <w:sz w:val="24"/>
          <w:szCs w:val="24"/>
        </w:rPr>
        <w:t>新增</w:t>
      </w:r>
      <w:r w:rsidR="0002426D" w:rsidRPr="0002426D">
        <w:rPr>
          <w:rStyle w:val="c1"/>
          <w:rFonts w:hint="eastAsia"/>
          <w:color w:val="auto"/>
          <w:sz w:val="24"/>
          <w:szCs w:val="24"/>
        </w:rPr>
        <w:t>东海证券股份有限公司</w:t>
      </w:r>
      <w:r w:rsidR="00092BDB">
        <w:rPr>
          <w:rStyle w:val="c1"/>
          <w:rFonts w:hint="eastAsia"/>
          <w:color w:val="auto"/>
          <w:sz w:val="24"/>
          <w:szCs w:val="24"/>
        </w:rPr>
        <w:t>（</w:t>
      </w:r>
      <w:r w:rsidR="00092BDB" w:rsidRPr="00B04C94">
        <w:rPr>
          <w:rStyle w:val="c1"/>
          <w:rFonts w:hint="eastAsia"/>
          <w:bCs/>
          <w:color w:val="auto"/>
          <w:sz w:val="24"/>
          <w:szCs w:val="24"/>
        </w:rPr>
        <w:t>以下简称“</w:t>
      </w:r>
      <w:r w:rsidR="0002426D">
        <w:rPr>
          <w:rStyle w:val="c1"/>
          <w:rFonts w:hint="eastAsia"/>
          <w:bCs/>
          <w:color w:val="auto"/>
          <w:sz w:val="24"/>
          <w:szCs w:val="24"/>
        </w:rPr>
        <w:t>东海证券</w:t>
      </w:r>
      <w:r w:rsidR="00092BDB" w:rsidRPr="00B04C94">
        <w:rPr>
          <w:rStyle w:val="c1"/>
          <w:rFonts w:hint="eastAsia"/>
          <w:bCs/>
          <w:color w:val="auto"/>
          <w:sz w:val="24"/>
          <w:szCs w:val="24"/>
        </w:rPr>
        <w:t>”</w:t>
      </w:r>
      <w:r w:rsidR="00092BDB">
        <w:rPr>
          <w:rStyle w:val="c1"/>
          <w:rFonts w:hint="eastAsia"/>
          <w:color w:val="auto"/>
          <w:sz w:val="24"/>
          <w:szCs w:val="24"/>
        </w:rPr>
        <w:t>）</w:t>
      </w:r>
      <w:r w:rsidR="00E90262" w:rsidRPr="00B04C94">
        <w:rPr>
          <w:rStyle w:val="c1"/>
          <w:color w:val="auto"/>
          <w:sz w:val="24"/>
          <w:szCs w:val="24"/>
        </w:rPr>
        <w:t>为</w:t>
      </w:r>
      <w:r w:rsidR="00062D7F" w:rsidRPr="00B04C94">
        <w:rPr>
          <w:rStyle w:val="c1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color w:val="auto"/>
          <w:sz w:val="24"/>
          <w:szCs w:val="24"/>
        </w:rPr>
        <w:t>。</w:t>
      </w:r>
      <w:r w:rsidR="003659A8" w:rsidRPr="00005359">
        <w:rPr>
          <w:rStyle w:val="c1"/>
          <w:rFonts w:hAnsi="宋体" w:hint="eastAsia"/>
          <w:color w:val="auto"/>
          <w:sz w:val="24"/>
          <w:szCs w:val="24"/>
        </w:rPr>
        <w:t>投资者在</w:t>
      </w:r>
      <w:r w:rsidR="0002426D">
        <w:rPr>
          <w:rStyle w:val="c1"/>
          <w:rFonts w:hint="eastAsia"/>
          <w:bCs/>
          <w:color w:val="auto"/>
          <w:sz w:val="24"/>
          <w:szCs w:val="24"/>
        </w:rPr>
        <w:t>东海证券</w:t>
      </w:r>
      <w:r w:rsidR="003659A8" w:rsidRPr="00005359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办理对应基金的申购、赎回等业务，</w:t>
      </w:r>
      <w:r w:rsidR="003659A8">
        <w:rPr>
          <w:rStyle w:val="c1"/>
          <w:color w:val="auto"/>
          <w:sz w:val="24"/>
          <w:szCs w:val="24"/>
        </w:rPr>
        <w:t>具体流程、规则等以</w:t>
      </w:r>
      <w:r w:rsidR="0002426D">
        <w:rPr>
          <w:rStyle w:val="c1"/>
          <w:rFonts w:hint="eastAsia"/>
          <w:bCs/>
          <w:color w:val="auto"/>
          <w:sz w:val="24"/>
          <w:szCs w:val="24"/>
        </w:rPr>
        <w:t>东海证券</w:t>
      </w:r>
      <w:r w:rsidR="003659A8">
        <w:rPr>
          <w:rStyle w:val="c1"/>
          <w:color w:val="auto"/>
          <w:sz w:val="24"/>
          <w:szCs w:val="24"/>
        </w:rPr>
        <w:t>的规定为准，</w:t>
      </w:r>
      <w:r w:rsidR="0002426D">
        <w:rPr>
          <w:rStyle w:val="c1"/>
          <w:rFonts w:hint="eastAsia"/>
          <w:bCs/>
          <w:color w:val="auto"/>
          <w:sz w:val="24"/>
          <w:szCs w:val="24"/>
        </w:rPr>
        <w:t>东海证券</w:t>
      </w:r>
      <w:r w:rsidR="003659A8" w:rsidRPr="00005359">
        <w:rPr>
          <w:rStyle w:val="c1"/>
          <w:color w:val="auto"/>
          <w:sz w:val="24"/>
          <w:szCs w:val="24"/>
        </w:rPr>
        <w:t>的业务办理状况亦</w:t>
      </w:r>
      <w:r w:rsidR="003659A8">
        <w:rPr>
          <w:rStyle w:val="c1"/>
          <w:rFonts w:hint="eastAsia"/>
          <w:color w:val="auto"/>
          <w:sz w:val="24"/>
          <w:szCs w:val="24"/>
        </w:rPr>
        <w:t>请</w:t>
      </w:r>
      <w:r w:rsidR="003659A8" w:rsidRPr="00005359">
        <w:rPr>
          <w:rStyle w:val="c1"/>
          <w:color w:val="auto"/>
          <w:sz w:val="24"/>
          <w:szCs w:val="24"/>
        </w:rPr>
        <w:t>遵循其规定执行。</w:t>
      </w:r>
      <w:r w:rsidR="00C0246E" w:rsidRPr="00B04C94">
        <w:rPr>
          <w:rStyle w:val="c1"/>
          <w:color w:val="auto"/>
          <w:sz w:val="24"/>
          <w:szCs w:val="24"/>
        </w:rPr>
        <w:t>具体</w:t>
      </w:r>
      <w:r w:rsidR="003659A8">
        <w:rPr>
          <w:rStyle w:val="c1"/>
          <w:rFonts w:hint="eastAsia"/>
          <w:color w:val="auto"/>
          <w:sz w:val="24"/>
          <w:szCs w:val="24"/>
        </w:rPr>
        <w:t>基金明细</w:t>
      </w:r>
      <w:r w:rsidRPr="00B04C94">
        <w:rPr>
          <w:rStyle w:val="c1"/>
          <w:color w:val="auto"/>
          <w:sz w:val="24"/>
          <w:szCs w:val="24"/>
        </w:rPr>
        <w:t>如下：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176"/>
        <w:gridCol w:w="1903"/>
      </w:tblGrid>
      <w:tr w:rsidR="00D16290" w:rsidRPr="00B64712" w:rsidTr="0002426D">
        <w:tc>
          <w:tcPr>
            <w:tcW w:w="1101" w:type="dxa"/>
            <w:shd w:val="clear" w:color="auto" w:fill="auto"/>
            <w:vAlign w:val="center"/>
          </w:tcPr>
          <w:p w:rsidR="00D16290" w:rsidRPr="00B64712" w:rsidRDefault="00D16290" w:rsidP="00B84BF2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B64712">
              <w:rPr>
                <w:rFonts w:hint="eastAsia"/>
                <w:b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16290" w:rsidRPr="00B64712" w:rsidRDefault="00D16290" w:rsidP="00B64712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B64712">
              <w:rPr>
                <w:rFonts w:hint="eastAsia"/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16290" w:rsidRPr="00B64712" w:rsidRDefault="00D16290" w:rsidP="00B64712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B64712">
              <w:rPr>
                <w:rFonts w:hint="eastAsia"/>
                <w:b/>
                <w:color w:val="000000"/>
                <w:kern w:val="0"/>
                <w:szCs w:val="21"/>
              </w:rPr>
              <w:t>场内证券简称</w:t>
            </w:r>
          </w:p>
        </w:tc>
      </w:tr>
      <w:tr w:rsidR="0002426D" w:rsidRPr="00B64712" w:rsidTr="0002426D">
        <w:tc>
          <w:tcPr>
            <w:tcW w:w="1101" w:type="dxa"/>
            <w:shd w:val="clear" w:color="auto" w:fill="auto"/>
          </w:tcPr>
          <w:p w:rsidR="0002426D" w:rsidRPr="00BE029E" w:rsidRDefault="0002426D" w:rsidP="0002426D">
            <w:pPr>
              <w:jc w:val="center"/>
              <w:rPr>
                <w:rFonts w:hint="eastAsia"/>
              </w:rPr>
            </w:pPr>
            <w:r w:rsidRPr="00CD5D39">
              <w:rPr>
                <w:rFonts w:hint="eastAsia"/>
              </w:rPr>
              <w:t>159985</w:t>
            </w:r>
          </w:p>
        </w:tc>
        <w:tc>
          <w:tcPr>
            <w:tcW w:w="6176" w:type="dxa"/>
            <w:shd w:val="clear" w:color="auto" w:fill="auto"/>
          </w:tcPr>
          <w:p w:rsidR="0002426D" w:rsidRPr="00BE029E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华夏饲料豆粕期货交易型开放式证券投资基金</w:t>
            </w:r>
          </w:p>
        </w:tc>
        <w:tc>
          <w:tcPr>
            <w:tcW w:w="1903" w:type="dxa"/>
            <w:shd w:val="clear" w:color="auto" w:fill="auto"/>
          </w:tcPr>
          <w:p w:rsidR="0002426D" w:rsidRPr="00BE029E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豆粕</w:t>
            </w:r>
            <w:r w:rsidRPr="00CD5D39">
              <w:rPr>
                <w:rFonts w:hint="eastAsia"/>
              </w:rPr>
              <w:t>ETF</w:t>
            </w:r>
          </w:p>
        </w:tc>
      </w:tr>
      <w:tr w:rsidR="0002426D" w:rsidRPr="00B64712" w:rsidTr="0002426D">
        <w:tc>
          <w:tcPr>
            <w:tcW w:w="1101" w:type="dxa"/>
            <w:shd w:val="clear" w:color="auto" w:fill="auto"/>
          </w:tcPr>
          <w:p w:rsidR="0002426D" w:rsidRPr="00FD785D" w:rsidRDefault="0002426D" w:rsidP="0002426D">
            <w:pPr>
              <w:jc w:val="center"/>
              <w:rPr>
                <w:rFonts w:hint="eastAsia"/>
              </w:rPr>
            </w:pPr>
            <w:r w:rsidRPr="00CD5D39">
              <w:rPr>
                <w:rFonts w:hint="eastAsia"/>
              </w:rPr>
              <w:t>159617</w:t>
            </w:r>
          </w:p>
        </w:tc>
        <w:tc>
          <w:tcPr>
            <w:tcW w:w="6176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华夏中证智选</w:t>
            </w:r>
            <w:r w:rsidRPr="00CD5D39">
              <w:rPr>
                <w:rFonts w:hint="eastAsia"/>
              </w:rPr>
              <w:t>500</w:t>
            </w:r>
            <w:r w:rsidRPr="00CD5D39">
              <w:rPr>
                <w:rFonts w:hint="eastAsia"/>
              </w:rPr>
              <w:t>价值稳健策略交易型开放式指数证券投资基金</w:t>
            </w:r>
          </w:p>
        </w:tc>
        <w:tc>
          <w:tcPr>
            <w:tcW w:w="1903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500</w:t>
            </w:r>
            <w:r w:rsidRPr="00CD5D39">
              <w:rPr>
                <w:rFonts w:hint="eastAsia"/>
              </w:rPr>
              <w:t>价值</w:t>
            </w:r>
            <w:r w:rsidRPr="00CD5D39">
              <w:rPr>
                <w:rFonts w:hint="eastAsia"/>
              </w:rPr>
              <w:t>ETF</w:t>
            </w:r>
          </w:p>
        </w:tc>
      </w:tr>
      <w:tr w:rsidR="0002426D" w:rsidRPr="00B64712" w:rsidTr="0002426D">
        <w:tc>
          <w:tcPr>
            <w:tcW w:w="1101" w:type="dxa"/>
            <w:shd w:val="clear" w:color="auto" w:fill="auto"/>
          </w:tcPr>
          <w:p w:rsidR="0002426D" w:rsidRPr="00FD785D" w:rsidRDefault="0002426D" w:rsidP="0002426D">
            <w:pPr>
              <w:jc w:val="center"/>
              <w:rPr>
                <w:rFonts w:hint="eastAsia"/>
              </w:rPr>
            </w:pPr>
            <w:r w:rsidRPr="00CD5D39">
              <w:rPr>
                <w:rFonts w:hint="eastAsia"/>
              </w:rPr>
              <w:t>159620</w:t>
            </w:r>
          </w:p>
        </w:tc>
        <w:tc>
          <w:tcPr>
            <w:tcW w:w="6176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华夏中证智选</w:t>
            </w:r>
            <w:r w:rsidRPr="00CD5D39">
              <w:rPr>
                <w:rFonts w:hint="eastAsia"/>
              </w:rPr>
              <w:t>500</w:t>
            </w:r>
            <w:r w:rsidRPr="00CD5D39">
              <w:rPr>
                <w:rFonts w:hint="eastAsia"/>
              </w:rPr>
              <w:t>成长创新策略交易型开放式指数证券投资基金</w:t>
            </w:r>
          </w:p>
        </w:tc>
        <w:tc>
          <w:tcPr>
            <w:tcW w:w="1903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500</w:t>
            </w:r>
            <w:r w:rsidRPr="00CD5D39">
              <w:rPr>
                <w:rFonts w:hint="eastAsia"/>
              </w:rPr>
              <w:t>成长</w:t>
            </w:r>
            <w:r w:rsidRPr="00CD5D39">
              <w:rPr>
                <w:rFonts w:hint="eastAsia"/>
              </w:rPr>
              <w:t>ETF</w:t>
            </w:r>
          </w:p>
        </w:tc>
      </w:tr>
      <w:tr w:rsidR="0002426D" w:rsidRPr="00B64712" w:rsidTr="0002426D">
        <w:tc>
          <w:tcPr>
            <w:tcW w:w="1101" w:type="dxa"/>
            <w:shd w:val="clear" w:color="auto" w:fill="auto"/>
          </w:tcPr>
          <w:p w:rsidR="0002426D" w:rsidRPr="00FD785D" w:rsidRDefault="0002426D" w:rsidP="0002426D">
            <w:pPr>
              <w:jc w:val="center"/>
              <w:rPr>
                <w:rFonts w:hint="eastAsia"/>
              </w:rPr>
            </w:pPr>
            <w:r w:rsidRPr="00CD5D39">
              <w:rPr>
                <w:rFonts w:hint="eastAsia"/>
              </w:rPr>
              <w:t>159920</w:t>
            </w:r>
          </w:p>
        </w:tc>
        <w:tc>
          <w:tcPr>
            <w:tcW w:w="6176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恒生交易型开放式指数证券投资基金</w:t>
            </w:r>
          </w:p>
        </w:tc>
        <w:tc>
          <w:tcPr>
            <w:tcW w:w="1903" w:type="dxa"/>
            <w:shd w:val="clear" w:color="auto" w:fill="auto"/>
          </w:tcPr>
          <w:p w:rsidR="0002426D" w:rsidRPr="00FD785D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恒生</w:t>
            </w:r>
            <w:r w:rsidRPr="00CD5D39">
              <w:rPr>
                <w:rFonts w:hint="eastAsia"/>
              </w:rPr>
              <w:t>ETF</w:t>
            </w:r>
          </w:p>
        </w:tc>
      </w:tr>
      <w:tr w:rsidR="0002426D" w:rsidRPr="00B64712" w:rsidTr="0002426D">
        <w:tc>
          <w:tcPr>
            <w:tcW w:w="1101" w:type="dxa"/>
            <w:shd w:val="clear" w:color="auto" w:fill="auto"/>
          </w:tcPr>
          <w:p w:rsidR="0002426D" w:rsidRPr="00BE029E" w:rsidRDefault="0002426D" w:rsidP="0002426D">
            <w:pPr>
              <w:jc w:val="center"/>
              <w:rPr>
                <w:rFonts w:hint="eastAsia"/>
              </w:rPr>
            </w:pPr>
            <w:r w:rsidRPr="00CD5D39">
              <w:rPr>
                <w:rFonts w:hint="eastAsia"/>
              </w:rPr>
              <w:t>159957</w:t>
            </w:r>
          </w:p>
        </w:tc>
        <w:tc>
          <w:tcPr>
            <w:tcW w:w="6176" w:type="dxa"/>
            <w:shd w:val="clear" w:color="auto" w:fill="auto"/>
          </w:tcPr>
          <w:p w:rsidR="0002426D" w:rsidRPr="00BE029E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华夏创业板交易型开放式指数证券投资基金</w:t>
            </w:r>
          </w:p>
        </w:tc>
        <w:tc>
          <w:tcPr>
            <w:tcW w:w="1903" w:type="dxa"/>
            <w:shd w:val="clear" w:color="auto" w:fill="auto"/>
          </w:tcPr>
          <w:p w:rsidR="0002426D" w:rsidRPr="00BE029E" w:rsidRDefault="0002426D" w:rsidP="0002426D">
            <w:pPr>
              <w:rPr>
                <w:rFonts w:hint="eastAsia"/>
              </w:rPr>
            </w:pPr>
            <w:r w:rsidRPr="00CD5D39">
              <w:rPr>
                <w:rFonts w:hint="eastAsia"/>
              </w:rPr>
              <w:t>创业板</w:t>
            </w:r>
            <w:r w:rsidRPr="00CD5D39">
              <w:rPr>
                <w:rFonts w:hint="eastAsia"/>
              </w:rPr>
              <w:t>ETF</w:t>
            </w:r>
            <w:r w:rsidRPr="00CD5D39">
              <w:rPr>
                <w:rFonts w:hint="eastAsia"/>
              </w:rPr>
              <w:t>华夏</w:t>
            </w:r>
          </w:p>
        </w:tc>
      </w:tr>
    </w:tbl>
    <w:p w:rsidR="003659A8" w:rsidRDefault="003659A8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 w:rsidRPr="003659A8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投资者可通过以下渠道咨询详情：</w:t>
      </w:r>
    </w:p>
    <w:p w:rsidR="00C6282A" w:rsidRPr="009A11C4" w:rsidRDefault="00C6282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（一）</w:t>
      </w:r>
      <w:r w:rsidR="0002426D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东海证券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客户服务电话：</w:t>
      </w:r>
      <w:r w:rsidR="0002426D" w:rsidRPr="0002426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95531</w:t>
      </w:r>
      <w:r w:rsidR="0002426D" w:rsidRPr="0002426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、</w:t>
      </w:r>
      <w:r w:rsidR="0002426D" w:rsidRPr="0002426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400-888-8588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C6282A" w:rsidRPr="009A11C4" w:rsidRDefault="0002426D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东海证券</w:t>
      </w:r>
      <w:r w:rsidR="00C6282A"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网站</w:t>
      </w:r>
      <w:r w:rsidR="00C6282A"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：</w:t>
      </w:r>
      <w:r w:rsidRPr="0002426D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www.longone.com.cn</w:t>
      </w:r>
      <w:r w:rsidR="00C6282A"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；</w:t>
      </w:r>
    </w:p>
    <w:p w:rsidR="00C6282A" w:rsidRPr="007A137C" w:rsidRDefault="00C6282A" w:rsidP="00092BDB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（二）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本公司客户服务电话：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400-818-6666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C6282A" w:rsidRPr="007A137C" w:rsidRDefault="00C6282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本公司网站：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www.ChinaAMC.com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AE185B" w:rsidRDefault="00AE185B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AE185B" w:rsidRDefault="00AE185B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5B1DE3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</w:t>
      </w:r>
      <w:r w:rsidR="00367B28">
        <w:rPr>
          <w:rFonts w:ascii="宋体" w:hAnsi="宋体" w:hint="eastAsia"/>
          <w:sz w:val="24"/>
        </w:rPr>
        <w:t>三</w:t>
      </w:r>
      <w:r w:rsidR="00004A27">
        <w:rPr>
          <w:rFonts w:ascii="宋体" w:hAnsi="宋体" w:hint="eastAsia"/>
          <w:sz w:val="24"/>
        </w:rPr>
        <w:t>年</w:t>
      </w:r>
      <w:r w:rsidR="00A61ED5">
        <w:rPr>
          <w:rFonts w:ascii="宋体" w:hAnsi="宋体" w:hint="eastAsia"/>
          <w:sz w:val="24"/>
        </w:rPr>
        <w:t>三</w:t>
      </w:r>
      <w:r w:rsidR="00236739">
        <w:rPr>
          <w:rFonts w:ascii="宋体" w:hAnsi="宋体" w:hint="eastAsia"/>
          <w:sz w:val="24"/>
        </w:rPr>
        <w:t>月</w:t>
      </w:r>
      <w:r w:rsidR="00367B28">
        <w:rPr>
          <w:rFonts w:ascii="宋体" w:hAnsi="宋体" w:hint="eastAsia"/>
          <w:sz w:val="24"/>
        </w:rPr>
        <w:t>十</w:t>
      </w:r>
      <w:r w:rsidR="0002426D">
        <w:rPr>
          <w:rFonts w:ascii="宋体" w:hAnsi="宋体" w:hint="eastAsia"/>
          <w:sz w:val="24"/>
        </w:rPr>
        <w:t>七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99" w:rsidRDefault="00BC0399">
      <w:r>
        <w:separator/>
      </w:r>
    </w:p>
  </w:endnote>
  <w:endnote w:type="continuationSeparator" w:id="0">
    <w:p w:rsidR="00BC0399" w:rsidRDefault="00BC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6D" w:rsidRDefault="000242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6D" w:rsidRDefault="000242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6D" w:rsidRDefault="00024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99" w:rsidRDefault="00BC0399">
      <w:r>
        <w:separator/>
      </w:r>
    </w:p>
  </w:footnote>
  <w:footnote w:type="continuationSeparator" w:id="0">
    <w:p w:rsidR="00BC0399" w:rsidRDefault="00BC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6D" w:rsidRDefault="000242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6D" w:rsidRDefault="000242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3E22166"/>
    <w:multiLevelType w:val="hybridMultilevel"/>
    <w:tmpl w:val="BE7AD2AC"/>
    <w:lvl w:ilvl="0" w:tplc="D46A6A5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426D"/>
    <w:rsid w:val="00025FFB"/>
    <w:rsid w:val="0004030B"/>
    <w:rsid w:val="000422AF"/>
    <w:rsid w:val="00042706"/>
    <w:rsid w:val="000515B4"/>
    <w:rsid w:val="00052927"/>
    <w:rsid w:val="00056734"/>
    <w:rsid w:val="00057433"/>
    <w:rsid w:val="000577F0"/>
    <w:rsid w:val="00062D7F"/>
    <w:rsid w:val="00063ED7"/>
    <w:rsid w:val="00072ADD"/>
    <w:rsid w:val="00077EFE"/>
    <w:rsid w:val="000809A2"/>
    <w:rsid w:val="00082B5B"/>
    <w:rsid w:val="00085DC6"/>
    <w:rsid w:val="00092BDB"/>
    <w:rsid w:val="000B2C0E"/>
    <w:rsid w:val="000B6319"/>
    <w:rsid w:val="000C0A87"/>
    <w:rsid w:val="000C524C"/>
    <w:rsid w:val="000C5D7F"/>
    <w:rsid w:val="000D2E11"/>
    <w:rsid w:val="000E2803"/>
    <w:rsid w:val="000E3EAF"/>
    <w:rsid w:val="000F0115"/>
    <w:rsid w:val="000F2D06"/>
    <w:rsid w:val="000F34FA"/>
    <w:rsid w:val="000F6DDC"/>
    <w:rsid w:val="00101842"/>
    <w:rsid w:val="00101C34"/>
    <w:rsid w:val="00101DA0"/>
    <w:rsid w:val="00102EC9"/>
    <w:rsid w:val="00103CA6"/>
    <w:rsid w:val="00106317"/>
    <w:rsid w:val="00106360"/>
    <w:rsid w:val="001076DC"/>
    <w:rsid w:val="00113CAD"/>
    <w:rsid w:val="0012378F"/>
    <w:rsid w:val="00124CAF"/>
    <w:rsid w:val="00133B7C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A6C82"/>
    <w:rsid w:val="001C100F"/>
    <w:rsid w:val="001C1D22"/>
    <w:rsid w:val="001C3801"/>
    <w:rsid w:val="001C5360"/>
    <w:rsid w:val="001E2CB0"/>
    <w:rsid w:val="001E6855"/>
    <w:rsid w:val="001E7602"/>
    <w:rsid w:val="001F0D81"/>
    <w:rsid w:val="001F1672"/>
    <w:rsid w:val="001F292B"/>
    <w:rsid w:val="001F3AAB"/>
    <w:rsid w:val="00205C83"/>
    <w:rsid w:val="00207C71"/>
    <w:rsid w:val="00216EF1"/>
    <w:rsid w:val="0022502B"/>
    <w:rsid w:val="00225A70"/>
    <w:rsid w:val="00231171"/>
    <w:rsid w:val="002317C0"/>
    <w:rsid w:val="00236739"/>
    <w:rsid w:val="0024226E"/>
    <w:rsid w:val="00246CC3"/>
    <w:rsid w:val="002512E8"/>
    <w:rsid w:val="00251683"/>
    <w:rsid w:val="00254C3B"/>
    <w:rsid w:val="002648A8"/>
    <w:rsid w:val="0026648C"/>
    <w:rsid w:val="002712CC"/>
    <w:rsid w:val="00284B79"/>
    <w:rsid w:val="00287D7D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F0FF8"/>
    <w:rsid w:val="002F19C4"/>
    <w:rsid w:val="002F301E"/>
    <w:rsid w:val="002F4933"/>
    <w:rsid w:val="002F71DF"/>
    <w:rsid w:val="00300D57"/>
    <w:rsid w:val="00305AA9"/>
    <w:rsid w:val="00335094"/>
    <w:rsid w:val="003370CB"/>
    <w:rsid w:val="003405D4"/>
    <w:rsid w:val="003539A4"/>
    <w:rsid w:val="00353F40"/>
    <w:rsid w:val="003635BD"/>
    <w:rsid w:val="00364840"/>
    <w:rsid w:val="003659A8"/>
    <w:rsid w:val="00367B28"/>
    <w:rsid w:val="003706ED"/>
    <w:rsid w:val="00377985"/>
    <w:rsid w:val="00383199"/>
    <w:rsid w:val="00384EFB"/>
    <w:rsid w:val="00387EED"/>
    <w:rsid w:val="00395364"/>
    <w:rsid w:val="0039565C"/>
    <w:rsid w:val="003A3B2B"/>
    <w:rsid w:val="003A530C"/>
    <w:rsid w:val="003A6FBA"/>
    <w:rsid w:val="003B242E"/>
    <w:rsid w:val="003B2B6B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10B9"/>
    <w:rsid w:val="0046280A"/>
    <w:rsid w:val="00467CE8"/>
    <w:rsid w:val="00470072"/>
    <w:rsid w:val="00470129"/>
    <w:rsid w:val="004708D6"/>
    <w:rsid w:val="00482F11"/>
    <w:rsid w:val="00483F62"/>
    <w:rsid w:val="00484474"/>
    <w:rsid w:val="00484E4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51ED"/>
    <w:rsid w:val="004E6685"/>
    <w:rsid w:val="004E7975"/>
    <w:rsid w:val="004F4146"/>
    <w:rsid w:val="004F7939"/>
    <w:rsid w:val="005036A0"/>
    <w:rsid w:val="00503D75"/>
    <w:rsid w:val="00504463"/>
    <w:rsid w:val="00512548"/>
    <w:rsid w:val="00513DC6"/>
    <w:rsid w:val="00520A23"/>
    <w:rsid w:val="00526299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0AF9"/>
    <w:rsid w:val="005A588A"/>
    <w:rsid w:val="005B1DE3"/>
    <w:rsid w:val="005B4A84"/>
    <w:rsid w:val="005B508B"/>
    <w:rsid w:val="005C39C3"/>
    <w:rsid w:val="005C73D7"/>
    <w:rsid w:val="005E4DD6"/>
    <w:rsid w:val="005E607D"/>
    <w:rsid w:val="005E7708"/>
    <w:rsid w:val="005E7F0E"/>
    <w:rsid w:val="005F622B"/>
    <w:rsid w:val="00601248"/>
    <w:rsid w:val="0061102E"/>
    <w:rsid w:val="0061161B"/>
    <w:rsid w:val="00611E9D"/>
    <w:rsid w:val="00622C78"/>
    <w:rsid w:val="00623C23"/>
    <w:rsid w:val="00630AF9"/>
    <w:rsid w:val="00631B67"/>
    <w:rsid w:val="00633A3C"/>
    <w:rsid w:val="00635513"/>
    <w:rsid w:val="00635B6D"/>
    <w:rsid w:val="006364FB"/>
    <w:rsid w:val="0064070C"/>
    <w:rsid w:val="00650336"/>
    <w:rsid w:val="00655122"/>
    <w:rsid w:val="0065633F"/>
    <w:rsid w:val="006606D1"/>
    <w:rsid w:val="006653D4"/>
    <w:rsid w:val="00665E61"/>
    <w:rsid w:val="00665F49"/>
    <w:rsid w:val="0066615B"/>
    <w:rsid w:val="0066784D"/>
    <w:rsid w:val="00672CA5"/>
    <w:rsid w:val="006742E6"/>
    <w:rsid w:val="00674EA1"/>
    <w:rsid w:val="00674F97"/>
    <w:rsid w:val="0067541F"/>
    <w:rsid w:val="006800D7"/>
    <w:rsid w:val="0069316C"/>
    <w:rsid w:val="00693C52"/>
    <w:rsid w:val="006946A4"/>
    <w:rsid w:val="006A537C"/>
    <w:rsid w:val="006A7564"/>
    <w:rsid w:val="006B70C7"/>
    <w:rsid w:val="006C179A"/>
    <w:rsid w:val="006C2EB9"/>
    <w:rsid w:val="006D47EA"/>
    <w:rsid w:val="006E0F5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48D6"/>
    <w:rsid w:val="0073005E"/>
    <w:rsid w:val="0073283A"/>
    <w:rsid w:val="00733867"/>
    <w:rsid w:val="00735D7C"/>
    <w:rsid w:val="00736AF0"/>
    <w:rsid w:val="00737436"/>
    <w:rsid w:val="00744428"/>
    <w:rsid w:val="00754F30"/>
    <w:rsid w:val="007577A2"/>
    <w:rsid w:val="00760B95"/>
    <w:rsid w:val="00783168"/>
    <w:rsid w:val="007842E2"/>
    <w:rsid w:val="00785500"/>
    <w:rsid w:val="00785BF9"/>
    <w:rsid w:val="00791339"/>
    <w:rsid w:val="007914D0"/>
    <w:rsid w:val="007924F4"/>
    <w:rsid w:val="007940D7"/>
    <w:rsid w:val="00796D3B"/>
    <w:rsid w:val="007A0829"/>
    <w:rsid w:val="007A39A1"/>
    <w:rsid w:val="007B1904"/>
    <w:rsid w:val="007B4700"/>
    <w:rsid w:val="007B6263"/>
    <w:rsid w:val="007C19F0"/>
    <w:rsid w:val="007C24FE"/>
    <w:rsid w:val="007C5E5F"/>
    <w:rsid w:val="007C740C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32796"/>
    <w:rsid w:val="00832835"/>
    <w:rsid w:val="00841C1E"/>
    <w:rsid w:val="00843955"/>
    <w:rsid w:val="00845991"/>
    <w:rsid w:val="00854D00"/>
    <w:rsid w:val="00856D58"/>
    <w:rsid w:val="008570C8"/>
    <w:rsid w:val="00866761"/>
    <w:rsid w:val="00876C28"/>
    <w:rsid w:val="0088704B"/>
    <w:rsid w:val="00890497"/>
    <w:rsid w:val="00890837"/>
    <w:rsid w:val="00893EDE"/>
    <w:rsid w:val="0089473F"/>
    <w:rsid w:val="00897277"/>
    <w:rsid w:val="008A5EE5"/>
    <w:rsid w:val="008A6375"/>
    <w:rsid w:val="008B372D"/>
    <w:rsid w:val="008B5432"/>
    <w:rsid w:val="008C283B"/>
    <w:rsid w:val="008C71E2"/>
    <w:rsid w:val="008F350B"/>
    <w:rsid w:val="008F3F69"/>
    <w:rsid w:val="008F44A5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651AC"/>
    <w:rsid w:val="0097000A"/>
    <w:rsid w:val="009857F3"/>
    <w:rsid w:val="009A0B40"/>
    <w:rsid w:val="009A1B48"/>
    <w:rsid w:val="009A4625"/>
    <w:rsid w:val="009A5DD0"/>
    <w:rsid w:val="009B0FA1"/>
    <w:rsid w:val="009B540C"/>
    <w:rsid w:val="009B7B27"/>
    <w:rsid w:val="009C058D"/>
    <w:rsid w:val="009C10A7"/>
    <w:rsid w:val="009C3B98"/>
    <w:rsid w:val="009C5FD8"/>
    <w:rsid w:val="009E2C4A"/>
    <w:rsid w:val="009E2C89"/>
    <w:rsid w:val="009E6DAF"/>
    <w:rsid w:val="009E773A"/>
    <w:rsid w:val="00A02531"/>
    <w:rsid w:val="00A05B99"/>
    <w:rsid w:val="00A214B6"/>
    <w:rsid w:val="00A31CFB"/>
    <w:rsid w:val="00A370CD"/>
    <w:rsid w:val="00A40AFE"/>
    <w:rsid w:val="00A44763"/>
    <w:rsid w:val="00A5116D"/>
    <w:rsid w:val="00A61ED5"/>
    <w:rsid w:val="00A6274B"/>
    <w:rsid w:val="00A7241E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1CE1"/>
    <w:rsid w:val="00AD2C59"/>
    <w:rsid w:val="00AD5D92"/>
    <w:rsid w:val="00AE185B"/>
    <w:rsid w:val="00AE73D4"/>
    <w:rsid w:val="00AF14A3"/>
    <w:rsid w:val="00AF304C"/>
    <w:rsid w:val="00AF32DA"/>
    <w:rsid w:val="00AF3950"/>
    <w:rsid w:val="00AF7245"/>
    <w:rsid w:val="00AF7A16"/>
    <w:rsid w:val="00B01915"/>
    <w:rsid w:val="00B04C94"/>
    <w:rsid w:val="00B12D26"/>
    <w:rsid w:val="00B22140"/>
    <w:rsid w:val="00B2680B"/>
    <w:rsid w:val="00B50A70"/>
    <w:rsid w:val="00B529A7"/>
    <w:rsid w:val="00B53BF4"/>
    <w:rsid w:val="00B61033"/>
    <w:rsid w:val="00B64712"/>
    <w:rsid w:val="00B665F0"/>
    <w:rsid w:val="00B71179"/>
    <w:rsid w:val="00B72C2D"/>
    <w:rsid w:val="00B73863"/>
    <w:rsid w:val="00B82F95"/>
    <w:rsid w:val="00B84BF2"/>
    <w:rsid w:val="00B86A0F"/>
    <w:rsid w:val="00B91C8C"/>
    <w:rsid w:val="00B926E1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0399"/>
    <w:rsid w:val="00BC4DA9"/>
    <w:rsid w:val="00BC4DD4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31D82"/>
    <w:rsid w:val="00C51331"/>
    <w:rsid w:val="00C515BD"/>
    <w:rsid w:val="00C51FDA"/>
    <w:rsid w:val="00C57F38"/>
    <w:rsid w:val="00C6282A"/>
    <w:rsid w:val="00C71199"/>
    <w:rsid w:val="00C747C0"/>
    <w:rsid w:val="00C768C2"/>
    <w:rsid w:val="00C7769D"/>
    <w:rsid w:val="00C8099C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C7F40"/>
    <w:rsid w:val="00CD000C"/>
    <w:rsid w:val="00CD26B1"/>
    <w:rsid w:val="00CD271E"/>
    <w:rsid w:val="00CD3457"/>
    <w:rsid w:val="00CD3EF0"/>
    <w:rsid w:val="00CD534C"/>
    <w:rsid w:val="00CD5C1E"/>
    <w:rsid w:val="00CE234D"/>
    <w:rsid w:val="00CF4742"/>
    <w:rsid w:val="00D008E5"/>
    <w:rsid w:val="00D04F8B"/>
    <w:rsid w:val="00D064D3"/>
    <w:rsid w:val="00D07E55"/>
    <w:rsid w:val="00D12DE3"/>
    <w:rsid w:val="00D14537"/>
    <w:rsid w:val="00D15B78"/>
    <w:rsid w:val="00D16266"/>
    <w:rsid w:val="00D16290"/>
    <w:rsid w:val="00D203B5"/>
    <w:rsid w:val="00D2183E"/>
    <w:rsid w:val="00D22F47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6B06"/>
    <w:rsid w:val="00D77D02"/>
    <w:rsid w:val="00D80A7E"/>
    <w:rsid w:val="00D864FF"/>
    <w:rsid w:val="00D91E6E"/>
    <w:rsid w:val="00D92E11"/>
    <w:rsid w:val="00D948F1"/>
    <w:rsid w:val="00DB16E3"/>
    <w:rsid w:val="00DB3224"/>
    <w:rsid w:val="00DB5FAC"/>
    <w:rsid w:val="00DC10BB"/>
    <w:rsid w:val="00DC18F6"/>
    <w:rsid w:val="00DE545F"/>
    <w:rsid w:val="00E0164E"/>
    <w:rsid w:val="00E100AD"/>
    <w:rsid w:val="00E11E8B"/>
    <w:rsid w:val="00E12FFC"/>
    <w:rsid w:val="00E132A3"/>
    <w:rsid w:val="00E14098"/>
    <w:rsid w:val="00E21642"/>
    <w:rsid w:val="00E239A7"/>
    <w:rsid w:val="00E24707"/>
    <w:rsid w:val="00E3137A"/>
    <w:rsid w:val="00E450A9"/>
    <w:rsid w:val="00E462F9"/>
    <w:rsid w:val="00E4748F"/>
    <w:rsid w:val="00E47EF4"/>
    <w:rsid w:val="00E614FD"/>
    <w:rsid w:val="00E70BD6"/>
    <w:rsid w:val="00E738E2"/>
    <w:rsid w:val="00E8016B"/>
    <w:rsid w:val="00E82854"/>
    <w:rsid w:val="00E86769"/>
    <w:rsid w:val="00E90262"/>
    <w:rsid w:val="00EA072D"/>
    <w:rsid w:val="00EA1031"/>
    <w:rsid w:val="00EA1C50"/>
    <w:rsid w:val="00EB06B3"/>
    <w:rsid w:val="00EB0F88"/>
    <w:rsid w:val="00EB7C0B"/>
    <w:rsid w:val="00ED11F9"/>
    <w:rsid w:val="00ED4403"/>
    <w:rsid w:val="00ED580B"/>
    <w:rsid w:val="00EE0E9F"/>
    <w:rsid w:val="00EE423E"/>
    <w:rsid w:val="00EF389A"/>
    <w:rsid w:val="00F036D0"/>
    <w:rsid w:val="00F23CA7"/>
    <w:rsid w:val="00F30B22"/>
    <w:rsid w:val="00F320C3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4E99"/>
    <w:rsid w:val="00FA668E"/>
    <w:rsid w:val="00FB3278"/>
    <w:rsid w:val="00FB7650"/>
    <w:rsid w:val="00FD330D"/>
    <w:rsid w:val="00FD48A2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FAF79-A8B7-4A3E-B6E2-838B05A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Company>MC SYSTEM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2023-03-16T16:01:00Z</dcterms:created>
  <dcterms:modified xsi:type="dcterms:W3CDTF">2023-03-16T16:01:00Z</dcterms:modified>
</cp:coreProperties>
</file>