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841" w:rsidRPr="000D5841" w:rsidRDefault="000D5841" w:rsidP="000D5841">
      <w:pPr>
        <w:spacing w:line="360" w:lineRule="auto"/>
        <w:ind w:left="353" w:hanging="353"/>
        <w:jc w:val="center"/>
        <w:rPr>
          <w:rFonts w:ascii="宋体" w:eastAsia="宋体" w:hAnsi="宋体" w:cs="Times New Roman"/>
          <w:b/>
          <w:bCs/>
          <w:sz w:val="28"/>
          <w:szCs w:val="28"/>
        </w:rPr>
      </w:pPr>
      <w:bookmarkStart w:id="0" w:name="_GoBack"/>
      <w:bookmarkEnd w:id="0"/>
      <w:r w:rsidRPr="000D5841">
        <w:rPr>
          <w:rFonts w:ascii="宋体" w:eastAsia="宋体" w:hAnsi="宋体" w:cs="Times New Roman"/>
          <w:b/>
          <w:bCs/>
          <w:sz w:val="28"/>
          <w:szCs w:val="28"/>
        </w:rPr>
        <w:t>国泰基金管理有限公司关于旗下部分交易型开放式基金新增</w:t>
      </w:r>
      <w:r w:rsidRPr="000D5841">
        <w:rPr>
          <w:rFonts w:ascii="宋体" w:eastAsia="宋体" w:hAnsi="宋体" w:cs="Times New Roman" w:hint="eastAsia"/>
          <w:b/>
          <w:bCs/>
          <w:sz w:val="28"/>
          <w:szCs w:val="28"/>
        </w:rPr>
        <w:t>东海证券股份有限公司</w:t>
      </w:r>
      <w:r w:rsidRPr="000D5841">
        <w:rPr>
          <w:rFonts w:ascii="宋体" w:eastAsia="宋体" w:hAnsi="宋体" w:cs="Times New Roman"/>
          <w:b/>
          <w:bCs/>
          <w:sz w:val="28"/>
          <w:szCs w:val="28"/>
        </w:rPr>
        <w:t>为一级交易商的公告</w:t>
      </w:r>
    </w:p>
    <w:p w:rsidR="000D5841" w:rsidRPr="00644F86" w:rsidRDefault="000D5841" w:rsidP="000D5841">
      <w:pPr>
        <w:spacing w:line="360" w:lineRule="auto"/>
        <w:ind w:left="353" w:hanging="353"/>
        <w:jc w:val="center"/>
        <w:rPr>
          <w:rFonts w:ascii="Times New Roman" w:hAnsi="Times New Roman" w:cs="Times New Roman"/>
          <w:b/>
          <w:bCs/>
          <w:szCs w:val="21"/>
        </w:rPr>
      </w:pPr>
    </w:p>
    <w:p w:rsidR="000D5841" w:rsidRPr="000D5841" w:rsidRDefault="000D5841" w:rsidP="000D5841">
      <w:pPr>
        <w:pStyle w:val="Default"/>
        <w:tabs>
          <w:tab w:val="left" w:pos="426"/>
        </w:tabs>
        <w:spacing w:line="360" w:lineRule="auto"/>
        <w:ind w:leftChars="43" w:left="90" w:firstLineChars="207" w:firstLine="435"/>
        <w:jc w:val="both"/>
        <w:rPr>
          <w:rFonts w:hAnsi="宋体" w:cs="Times New Roman"/>
          <w:sz w:val="21"/>
          <w:szCs w:val="21"/>
        </w:rPr>
      </w:pPr>
      <w:r w:rsidRPr="000D5841">
        <w:rPr>
          <w:rFonts w:hAnsi="宋体" w:cs="Times New Roman"/>
          <w:sz w:val="21"/>
          <w:szCs w:val="21"/>
        </w:rPr>
        <w:t>国泰基金管理有限公司（以下简称“本基金管理人”）旗下部分交易型开放式基金自</w:t>
      </w:r>
      <w:r w:rsidRPr="000D5841">
        <w:rPr>
          <w:rFonts w:ascii="Times New Roman" w:hAnsi="Times New Roman" w:cs="Times New Roman"/>
          <w:sz w:val="21"/>
          <w:szCs w:val="21"/>
        </w:rPr>
        <w:t>2023</w:t>
      </w:r>
      <w:r w:rsidRPr="000D5841">
        <w:rPr>
          <w:rFonts w:hAnsi="宋体" w:cs="Times New Roman"/>
          <w:sz w:val="21"/>
          <w:szCs w:val="21"/>
        </w:rPr>
        <w:t>年</w:t>
      </w:r>
      <w:r w:rsidRPr="000D5841">
        <w:rPr>
          <w:rFonts w:ascii="Times New Roman" w:hAnsi="Times New Roman" w:cs="Times New Roman"/>
          <w:sz w:val="21"/>
          <w:szCs w:val="21"/>
        </w:rPr>
        <w:t>3</w:t>
      </w:r>
      <w:r w:rsidRPr="000D5841">
        <w:rPr>
          <w:rFonts w:hAnsi="宋体" w:cs="Times New Roman"/>
          <w:sz w:val="21"/>
          <w:szCs w:val="21"/>
        </w:rPr>
        <w:t>月</w:t>
      </w:r>
      <w:r w:rsidR="00250C64" w:rsidRPr="000D5841">
        <w:rPr>
          <w:rFonts w:ascii="Times New Roman" w:hAnsi="Times New Roman" w:cs="Times New Roman" w:hint="eastAsia"/>
          <w:sz w:val="21"/>
          <w:szCs w:val="21"/>
        </w:rPr>
        <w:t>1</w:t>
      </w:r>
      <w:r w:rsidR="00250C64">
        <w:rPr>
          <w:rFonts w:ascii="Times New Roman" w:hAnsi="Times New Roman" w:cs="Times New Roman"/>
          <w:sz w:val="21"/>
          <w:szCs w:val="21"/>
        </w:rPr>
        <w:t>7</w:t>
      </w:r>
      <w:r w:rsidRPr="000D5841">
        <w:rPr>
          <w:rFonts w:hAnsi="宋体" w:cs="Times New Roman"/>
          <w:sz w:val="21"/>
          <w:szCs w:val="21"/>
        </w:rPr>
        <w:t>日起增加</w:t>
      </w:r>
      <w:r w:rsidRPr="000D5841">
        <w:rPr>
          <w:rFonts w:hAnsi="宋体" w:cs="Times New Roman" w:hint="eastAsia"/>
          <w:sz w:val="21"/>
          <w:szCs w:val="21"/>
        </w:rPr>
        <w:t>东海证券股份有限公司</w:t>
      </w:r>
      <w:r w:rsidRPr="000D5841">
        <w:rPr>
          <w:rFonts w:hAnsi="宋体" w:cs="Times New Roman"/>
          <w:sz w:val="21"/>
          <w:szCs w:val="21"/>
        </w:rPr>
        <w:t>（以下简称“</w:t>
      </w:r>
      <w:r w:rsidRPr="000D5841">
        <w:rPr>
          <w:rFonts w:hAnsi="宋体" w:cs="Times New Roman" w:hint="eastAsia"/>
          <w:sz w:val="21"/>
          <w:szCs w:val="21"/>
        </w:rPr>
        <w:t>东海证券</w:t>
      </w:r>
      <w:r w:rsidRPr="000D5841">
        <w:rPr>
          <w:rFonts w:hAnsi="宋体" w:cs="Times New Roman"/>
          <w:sz w:val="21"/>
          <w:szCs w:val="21"/>
        </w:rPr>
        <w:t>”）为申购赎回代理券商（以下简称“一级交易商”）。投资者可通过</w:t>
      </w:r>
      <w:r w:rsidRPr="000D5841">
        <w:rPr>
          <w:rFonts w:hAnsi="宋体" w:cs="Times New Roman" w:hint="eastAsia"/>
          <w:sz w:val="21"/>
          <w:szCs w:val="21"/>
        </w:rPr>
        <w:t>东海证券</w:t>
      </w:r>
      <w:r w:rsidRPr="000D5841">
        <w:rPr>
          <w:rFonts w:hAnsi="宋体" w:cs="Times New Roman"/>
          <w:sz w:val="21"/>
          <w:szCs w:val="21"/>
        </w:rPr>
        <w:t>各营业网点办理相关基金的申购、赎回等业务。具体公告如下：</w:t>
      </w:r>
    </w:p>
    <w:p w:rsidR="000D5841" w:rsidRPr="000D5841" w:rsidRDefault="000D5841" w:rsidP="000D5841">
      <w:pPr>
        <w:pStyle w:val="CM12"/>
        <w:numPr>
          <w:ilvl w:val="0"/>
          <w:numId w:val="1"/>
        </w:numPr>
        <w:spacing w:line="360" w:lineRule="auto"/>
        <w:jc w:val="both"/>
        <w:rPr>
          <w:rFonts w:hAnsi="宋体" w:cs="Times New Roman"/>
          <w:color w:val="000000"/>
          <w:sz w:val="21"/>
          <w:szCs w:val="21"/>
        </w:rPr>
      </w:pPr>
      <w:r w:rsidRPr="000D5841">
        <w:rPr>
          <w:rFonts w:hAnsi="宋体" w:cs="Times New Roman"/>
          <w:color w:val="000000"/>
          <w:sz w:val="21"/>
          <w:szCs w:val="21"/>
        </w:rPr>
        <w:t>适用基金列表：</w:t>
      </w:r>
    </w:p>
    <w:tbl>
      <w:tblPr>
        <w:tblW w:w="7740" w:type="dxa"/>
        <w:jc w:val="center"/>
        <w:tblLook w:val="04A0"/>
      </w:tblPr>
      <w:tblGrid>
        <w:gridCol w:w="1271"/>
        <w:gridCol w:w="6469"/>
      </w:tblGrid>
      <w:tr w:rsidR="000D5841" w:rsidRPr="00E75675" w:rsidTr="0095122F">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41" w:rsidRPr="000D5841" w:rsidRDefault="000D5841" w:rsidP="00250C64">
            <w:pPr>
              <w:jc w:val="center"/>
              <w:rPr>
                <w:rFonts w:ascii="宋体" w:eastAsia="宋体" w:hAnsi="宋体"/>
              </w:rPr>
            </w:pPr>
            <w:r w:rsidRPr="000D5841">
              <w:rPr>
                <w:rFonts w:ascii="宋体" w:eastAsia="宋体" w:hAnsi="宋体"/>
              </w:rPr>
              <w:t>基金代码</w:t>
            </w:r>
          </w:p>
        </w:tc>
        <w:tc>
          <w:tcPr>
            <w:tcW w:w="6469" w:type="dxa"/>
            <w:tcBorders>
              <w:top w:val="single" w:sz="4" w:space="0" w:color="auto"/>
              <w:left w:val="nil"/>
              <w:bottom w:val="single" w:sz="4" w:space="0" w:color="auto"/>
              <w:right w:val="single" w:sz="4" w:space="0" w:color="auto"/>
            </w:tcBorders>
            <w:shd w:val="clear" w:color="auto" w:fill="auto"/>
            <w:vAlign w:val="center"/>
            <w:hideMark/>
          </w:tcPr>
          <w:p w:rsidR="000D5841" w:rsidRPr="00E75675" w:rsidRDefault="000D5841">
            <w:pPr>
              <w:jc w:val="center"/>
              <w:rPr>
                <w:rFonts w:ascii="Times New Roman" w:eastAsia="宋体" w:hAnsi="Times New Roman" w:cs="Times New Roman"/>
                <w:kern w:val="0"/>
                <w:szCs w:val="20"/>
              </w:rPr>
            </w:pPr>
            <w:r w:rsidRPr="000D5841">
              <w:rPr>
                <w:rFonts w:ascii="宋体" w:eastAsia="宋体" w:hAnsi="宋体"/>
              </w:rPr>
              <w:t>基金名称</w:t>
            </w:r>
          </w:p>
        </w:tc>
      </w:tr>
      <w:tr w:rsidR="000D5841" w:rsidRPr="00E75675" w:rsidTr="0095122F">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5841" w:rsidRPr="000D5841" w:rsidRDefault="000D5841" w:rsidP="00250C64">
            <w:pPr>
              <w:widowControl/>
              <w:jc w:val="center"/>
              <w:rPr>
                <w:rFonts w:ascii="Times New Roman" w:hAnsi="Times New Roman" w:cs="Times New Roman"/>
                <w:sz w:val="20"/>
                <w:szCs w:val="20"/>
              </w:rPr>
            </w:pPr>
            <w:r w:rsidRPr="000D5841">
              <w:rPr>
                <w:rFonts w:ascii="Times New Roman" w:hAnsi="Times New Roman" w:cs="Times New Roman"/>
                <w:sz w:val="20"/>
                <w:szCs w:val="20"/>
              </w:rPr>
              <w:t>159612</w:t>
            </w:r>
          </w:p>
        </w:tc>
        <w:tc>
          <w:tcPr>
            <w:tcW w:w="6469" w:type="dxa"/>
            <w:tcBorders>
              <w:top w:val="single" w:sz="4" w:space="0" w:color="auto"/>
              <w:left w:val="nil"/>
              <w:bottom w:val="single" w:sz="4" w:space="0" w:color="auto"/>
              <w:right w:val="single" w:sz="4" w:space="0" w:color="auto"/>
            </w:tcBorders>
            <w:shd w:val="clear" w:color="auto" w:fill="auto"/>
            <w:vAlign w:val="center"/>
          </w:tcPr>
          <w:p w:rsidR="000D5841" w:rsidRPr="000D5841" w:rsidRDefault="000D5841">
            <w:pPr>
              <w:jc w:val="center"/>
              <w:rPr>
                <w:rFonts w:ascii="宋体" w:eastAsia="宋体" w:hAnsi="宋体"/>
              </w:rPr>
            </w:pPr>
            <w:r w:rsidRPr="000D5841">
              <w:rPr>
                <w:rFonts w:ascii="宋体" w:eastAsia="宋体" w:hAnsi="宋体" w:hint="eastAsia"/>
              </w:rPr>
              <w:t>国泰标普</w:t>
            </w:r>
            <w:r w:rsidRPr="000D5841">
              <w:rPr>
                <w:rFonts w:ascii="Times New Roman" w:eastAsia="宋体" w:hAnsi="Times New Roman"/>
              </w:rPr>
              <w:t>500</w:t>
            </w:r>
            <w:r w:rsidRPr="000D5841">
              <w:rPr>
                <w:rFonts w:ascii="宋体" w:eastAsia="宋体" w:hAnsi="宋体"/>
              </w:rPr>
              <w:t>交易型开放式指数证券投资基金(</w:t>
            </w:r>
            <w:r w:rsidRPr="000D5841">
              <w:rPr>
                <w:rFonts w:ascii="Times New Roman" w:eastAsia="宋体" w:hAnsi="Times New Roman"/>
              </w:rPr>
              <w:t>QDII</w:t>
            </w:r>
            <w:r w:rsidRPr="000D5841">
              <w:rPr>
                <w:rFonts w:ascii="宋体" w:eastAsia="宋体" w:hAnsi="宋体"/>
              </w:rPr>
              <w:t>)</w:t>
            </w:r>
          </w:p>
        </w:tc>
      </w:tr>
      <w:tr w:rsidR="000D5841" w:rsidRPr="00E75675" w:rsidTr="0095122F">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41" w:rsidRPr="000D5841" w:rsidRDefault="000D5841" w:rsidP="00250C64">
            <w:pPr>
              <w:jc w:val="center"/>
              <w:rPr>
                <w:rFonts w:ascii="Times New Roman" w:hAnsi="Times New Roman" w:cs="Times New Roman"/>
                <w:sz w:val="20"/>
                <w:szCs w:val="20"/>
              </w:rPr>
            </w:pPr>
            <w:r w:rsidRPr="000D5841">
              <w:rPr>
                <w:rFonts w:ascii="Times New Roman" w:hAnsi="Times New Roman" w:cs="Times New Roman"/>
                <w:sz w:val="20"/>
                <w:szCs w:val="20"/>
              </w:rPr>
              <w:t>159669</w:t>
            </w:r>
          </w:p>
        </w:tc>
        <w:tc>
          <w:tcPr>
            <w:tcW w:w="6469" w:type="dxa"/>
            <w:tcBorders>
              <w:top w:val="single" w:sz="4" w:space="0" w:color="auto"/>
              <w:left w:val="nil"/>
              <w:bottom w:val="single" w:sz="4" w:space="0" w:color="auto"/>
              <w:right w:val="single" w:sz="4" w:space="0" w:color="auto"/>
            </w:tcBorders>
            <w:shd w:val="clear" w:color="auto" w:fill="auto"/>
            <w:vAlign w:val="center"/>
          </w:tcPr>
          <w:p w:rsidR="000D5841" w:rsidRPr="000D5841" w:rsidRDefault="000D5841">
            <w:pPr>
              <w:jc w:val="center"/>
              <w:rPr>
                <w:rFonts w:ascii="宋体" w:eastAsia="宋体" w:hAnsi="宋体"/>
              </w:rPr>
            </w:pPr>
            <w:r w:rsidRPr="000D5841">
              <w:rPr>
                <w:rFonts w:ascii="宋体" w:eastAsia="宋体" w:hAnsi="宋体" w:hint="eastAsia"/>
              </w:rPr>
              <w:t>国泰国证绿色电力交易型开放式指数证券投资基金</w:t>
            </w:r>
          </w:p>
        </w:tc>
      </w:tr>
      <w:tr w:rsidR="000D5841" w:rsidRPr="00E75675" w:rsidTr="0095122F">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0D5841" w:rsidRPr="000D5841" w:rsidRDefault="000D5841" w:rsidP="00250C64">
            <w:pPr>
              <w:jc w:val="center"/>
              <w:rPr>
                <w:rFonts w:ascii="Times New Roman" w:hAnsi="Times New Roman" w:cs="Times New Roman"/>
                <w:sz w:val="20"/>
                <w:szCs w:val="20"/>
              </w:rPr>
            </w:pPr>
            <w:r w:rsidRPr="000D5841">
              <w:rPr>
                <w:rFonts w:ascii="Times New Roman" w:hAnsi="Times New Roman" w:cs="Times New Roman"/>
                <w:sz w:val="20"/>
                <w:szCs w:val="20"/>
              </w:rPr>
              <w:t>159745</w:t>
            </w:r>
          </w:p>
        </w:tc>
        <w:tc>
          <w:tcPr>
            <w:tcW w:w="6469" w:type="dxa"/>
            <w:tcBorders>
              <w:top w:val="single" w:sz="4" w:space="0" w:color="auto"/>
              <w:left w:val="nil"/>
              <w:bottom w:val="single" w:sz="4" w:space="0" w:color="auto"/>
              <w:right w:val="single" w:sz="4" w:space="0" w:color="auto"/>
            </w:tcBorders>
            <w:shd w:val="clear" w:color="auto" w:fill="auto"/>
            <w:vAlign w:val="center"/>
          </w:tcPr>
          <w:p w:rsidR="000D5841" w:rsidRPr="000D5841" w:rsidRDefault="000D5841">
            <w:pPr>
              <w:jc w:val="center"/>
              <w:rPr>
                <w:rFonts w:ascii="宋体" w:eastAsia="宋体" w:hAnsi="宋体"/>
              </w:rPr>
            </w:pPr>
            <w:r w:rsidRPr="000D5841">
              <w:rPr>
                <w:rFonts w:ascii="宋体" w:eastAsia="宋体" w:hAnsi="宋体" w:hint="eastAsia"/>
              </w:rPr>
              <w:t>国泰中证全指建筑材料交易型开放式指数证券投资基金</w:t>
            </w:r>
          </w:p>
        </w:tc>
      </w:tr>
      <w:tr w:rsidR="000D5841" w:rsidRPr="00E75675" w:rsidTr="0095122F">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0D5841" w:rsidRPr="000D5841" w:rsidRDefault="000D5841" w:rsidP="00250C64">
            <w:pPr>
              <w:jc w:val="center"/>
              <w:rPr>
                <w:rFonts w:ascii="Times New Roman" w:hAnsi="Times New Roman" w:cs="Times New Roman"/>
                <w:sz w:val="20"/>
                <w:szCs w:val="20"/>
              </w:rPr>
            </w:pPr>
            <w:r w:rsidRPr="000D5841">
              <w:rPr>
                <w:rFonts w:ascii="Times New Roman" w:hAnsi="Times New Roman" w:cs="Times New Roman"/>
                <w:sz w:val="20"/>
                <w:szCs w:val="20"/>
              </w:rPr>
              <w:t>159828</w:t>
            </w:r>
          </w:p>
        </w:tc>
        <w:tc>
          <w:tcPr>
            <w:tcW w:w="6469" w:type="dxa"/>
            <w:tcBorders>
              <w:top w:val="single" w:sz="4" w:space="0" w:color="auto"/>
              <w:left w:val="nil"/>
              <w:bottom w:val="single" w:sz="4" w:space="0" w:color="auto"/>
              <w:right w:val="single" w:sz="4" w:space="0" w:color="auto"/>
            </w:tcBorders>
            <w:shd w:val="clear" w:color="auto" w:fill="auto"/>
            <w:vAlign w:val="center"/>
          </w:tcPr>
          <w:p w:rsidR="000D5841" w:rsidRPr="000D5841" w:rsidRDefault="000D5841">
            <w:pPr>
              <w:jc w:val="center"/>
              <w:rPr>
                <w:rFonts w:ascii="宋体" w:eastAsia="宋体" w:hAnsi="宋体"/>
              </w:rPr>
            </w:pPr>
            <w:r w:rsidRPr="000D5841">
              <w:rPr>
                <w:rFonts w:ascii="宋体" w:eastAsia="宋体" w:hAnsi="宋体" w:hint="eastAsia"/>
              </w:rPr>
              <w:t>国泰中证医疗交易型开放式指数证券投资基金</w:t>
            </w:r>
          </w:p>
        </w:tc>
      </w:tr>
      <w:tr w:rsidR="000D5841" w:rsidRPr="00E75675" w:rsidTr="0095122F">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0D5841" w:rsidRPr="000D5841" w:rsidRDefault="000D5841" w:rsidP="00250C64">
            <w:pPr>
              <w:jc w:val="center"/>
              <w:rPr>
                <w:rFonts w:ascii="Times New Roman" w:hAnsi="Times New Roman" w:cs="Times New Roman"/>
                <w:sz w:val="20"/>
                <w:szCs w:val="20"/>
              </w:rPr>
            </w:pPr>
            <w:r w:rsidRPr="000D5841">
              <w:rPr>
                <w:rFonts w:ascii="Times New Roman" w:hAnsi="Times New Roman" w:cs="Times New Roman"/>
                <w:sz w:val="20"/>
                <w:szCs w:val="20"/>
              </w:rPr>
              <w:t>159861</w:t>
            </w:r>
          </w:p>
        </w:tc>
        <w:tc>
          <w:tcPr>
            <w:tcW w:w="6469" w:type="dxa"/>
            <w:tcBorders>
              <w:top w:val="single" w:sz="4" w:space="0" w:color="auto"/>
              <w:left w:val="nil"/>
              <w:bottom w:val="single" w:sz="4" w:space="0" w:color="auto"/>
              <w:right w:val="single" w:sz="4" w:space="0" w:color="auto"/>
            </w:tcBorders>
            <w:shd w:val="clear" w:color="auto" w:fill="auto"/>
            <w:vAlign w:val="center"/>
          </w:tcPr>
          <w:p w:rsidR="000D5841" w:rsidRPr="000D5841" w:rsidRDefault="000D5841">
            <w:pPr>
              <w:jc w:val="center"/>
              <w:rPr>
                <w:rFonts w:ascii="宋体" w:eastAsia="宋体" w:hAnsi="宋体"/>
              </w:rPr>
            </w:pPr>
            <w:r w:rsidRPr="000D5841">
              <w:rPr>
                <w:rFonts w:ascii="宋体" w:eastAsia="宋体" w:hAnsi="宋体" w:hint="eastAsia"/>
              </w:rPr>
              <w:t>国泰中证环保产业</w:t>
            </w:r>
            <w:r w:rsidRPr="000D5841">
              <w:rPr>
                <w:rFonts w:ascii="Times New Roman" w:eastAsia="宋体" w:hAnsi="Times New Roman"/>
              </w:rPr>
              <w:t>50</w:t>
            </w:r>
            <w:r w:rsidRPr="000D5841">
              <w:rPr>
                <w:rFonts w:ascii="宋体" w:eastAsia="宋体" w:hAnsi="宋体"/>
              </w:rPr>
              <w:t>交易型开放式指数证券投资基金</w:t>
            </w:r>
          </w:p>
        </w:tc>
      </w:tr>
      <w:tr w:rsidR="000D5841" w:rsidRPr="00E75675" w:rsidTr="0095122F">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0D5841" w:rsidRPr="000D5841" w:rsidRDefault="000D5841" w:rsidP="00250C64">
            <w:pPr>
              <w:jc w:val="center"/>
              <w:rPr>
                <w:rFonts w:ascii="Times New Roman" w:hAnsi="Times New Roman" w:cs="Times New Roman"/>
                <w:sz w:val="20"/>
                <w:szCs w:val="20"/>
              </w:rPr>
            </w:pPr>
            <w:r w:rsidRPr="000D5841">
              <w:rPr>
                <w:rFonts w:ascii="Times New Roman" w:hAnsi="Times New Roman" w:cs="Times New Roman"/>
                <w:sz w:val="20"/>
                <w:szCs w:val="20"/>
              </w:rPr>
              <w:t>159864</w:t>
            </w:r>
          </w:p>
        </w:tc>
        <w:tc>
          <w:tcPr>
            <w:tcW w:w="6469" w:type="dxa"/>
            <w:tcBorders>
              <w:top w:val="single" w:sz="4" w:space="0" w:color="auto"/>
              <w:left w:val="nil"/>
              <w:bottom w:val="single" w:sz="4" w:space="0" w:color="auto"/>
              <w:right w:val="single" w:sz="4" w:space="0" w:color="auto"/>
            </w:tcBorders>
            <w:shd w:val="clear" w:color="auto" w:fill="auto"/>
            <w:vAlign w:val="center"/>
          </w:tcPr>
          <w:p w:rsidR="000D5841" w:rsidRPr="000D5841" w:rsidRDefault="000D5841">
            <w:pPr>
              <w:jc w:val="center"/>
              <w:rPr>
                <w:rFonts w:ascii="宋体" w:eastAsia="宋体" w:hAnsi="宋体"/>
              </w:rPr>
            </w:pPr>
            <w:r w:rsidRPr="000D5841">
              <w:rPr>
                <w:rFonts w:ascii="宋体" w:eastAsia="宋体" w:hAnsi="宋体" w:hint="eastAsia"/>
              </w:rPr>
              <w:t>国泰中证光伏产业交易型开放式指数证券投资基金</w:t>
            </w:r>
          </w:p>
        </w:tc>
      </w:tr>
      <w:tr w:rsidR="000D5841" w:rsidRPr="00E75675" w:rsidTr="0095122F">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0D5841" w:rsidRPr="000D5841" w:rsidRDefault="000D5841" w:rsidP="00250C64">
            <w:pPr>
              <w:jc w:val="center"/>
              <w:rPr>
                <w:rFonts w:ascii="Times New Roman" w:hAnsi="Times New Roman" w:cs="Times New Roman"/>
                <w:sz w:val="20"/>
                <w:szCs w:val="20"/>
              </w:rPr>
            </w:pPr>
            <w:r w:rsidRPr="000D5841">
              <w:rPr>
                <w:rFonts w:ascii="Times New Roman" w:hAnsi="Times New Roman" w:cs="Times New Roman"/>
                <w:sz w:val="20"/>
                <w:szCs w:val="20"/>
              </w:rPr>
              <w:t>159865</w:t>
            </w:r>
          </w:p>
        </w:tc>
        <w:tc>
          <w:tcPr>
            <w:tcW w:w="6469" w:type="dxa"/>
            <w:tcBorders>
              <w:top w:val="single" w:sz="4" w:space="0" w:color="auto"/>
              <w:left w:val="nil"/>
              <w:bottom w:val="single" w:sz="4" w:space="0" w:color="auto"/>
              <w:right w:val="single" w:sz="4" w:space="0" w:color="auto"/>
            </w:tcBorders>
            <w:shd w:val="clear" w:color="auto" w:fill="auto"/>
            <w:vAlign w:val="center"/>
          </w:tcPr>
          <w:p w:rsidR="000D5841" w:rsidRPr="000D5841" w:rsidRDefault="000D5841">
            <w:pPr>
              <w:jc w:val="center"/>
              <w:rPr>
                <w:rFonts w:ascii="宋体" w:eastAsia="宋体" w:hAnsi="宋体"/>
              </w:rPr>
            </w:pPr>
            <w:r w:rsidRPr="000D5841">
              <w:rPr>
                <w:rFonts w:ascii="宋体" w:eastAsia="宋体" w:hAnsi="宋体" w:hint="eastAsia"/>
              </w:rPr>
              <w:t>国泰中证畜牧养殖交易型开放式指数证券投资基金</w:t>
            </w:r>
          </w:p>
        </w:tc>
      </w:tr>
      <w:tr w:rsidR="000D5841" w:rsidRPr="00E75675" w:rsidTr="0095122F">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0D5841" w:rsidRPr="000D5841" w:rsidRDefault="000D5841" w:rsidP="00250C64">
            <w:pPr>
              <w:jc w:val="center"/>
              <w:rPr>
                <w:rFonts w:ascii="Times New Roman" w:hAnsi="Times New Roman" w:cs="Times New Roman"/>
                <w:sz w:val="20"/>
                <w:szCs w:val="20"/>
              </w:rPr>
            </w:pPr>
            <w:r w:rsidRPr="000D5841">
              <w:rPr>
                <w:rFonts w:ascii="Times New Roman" w:hAnsi="Times New Roman" w:cs="Times New Roman"/>
                <w:sz w:val="20"/>
                <w:szCs w:val="20"/>
              </w:rPr>
              <w:t>159881</w:t>
            </w:r>
          </w:p>
        </w:tc>
        <w:tc>
          <w:tcPr>
            <w:tcW w:w="6469" w:type="dxa"/>
            <w:tcBorders>
              <w:top w:val="single" w:sz="4" w:space="0" w:color="auto"/>
              <w:left w:val="nil"/>
              <w:bottom w:val="single" w:sz="4" w:space="0" w:color="auto"/>
              <w:right w:val="single" w:sz="4" w:space="0" w:color="auto"/>
            </w:tcBorders>
            <w:shd w:val="clear" w:color="auto" w:fill="auto"/>
            <w:vAlign w:val="center"/>
          </w:tcPr>
          <w:p w:rsidR="000D5841" w:rsidRPr="000D5841" w:rsidRDefault="000D5841">
            <w:pPr>
              <w:jc w:val="center"/>
              <w:rPr>
                <w:rFonts w:ascii="宋体" w:eastAsia="宋体" w:hAnsi="宋体"/>
              </w:rPr>
            </w:pPr>
            <w:r w:rsidRPr="000D5841">
              <w:rPr>
                <w:rFonts w:ascii="宋体" w:eastAsia="宋体" w:hAnsi="宋体" w:hint="eastAsia"/>
              </w:rPr>
              <w:t>国泰中证有色金属交易型开放式指数证券投资基金</w:t>
            </w:r>
          </w:p>
        </w:tc>
      </w:tr>
      <w:tr w:rsidR="000D5841" w:rsidRPr="00E75675" w:rsidTr="0095122F">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0D5841" w:rsidRPr="000D5841" w:rsidRDefault="000D5841" w:rsidP="00250C64">
            <w:pPr>
              <w:jc w:val="center"/>
              <w:rPr>
                <w:rFonts w:ascii="Times New Roman" w:hAnsi="Times New Roman" w:cs="Times New Roman"/>
                <w:sz w:val="20"/>
                <w:szCs w:val="20"/>
              </w:rPr>
            </w:pPr>
            <w:r w:rsidRPr="000D5841">
              <w:rPr>
                <w:rFonts w:ascii="Times New Roman" w:hAnsi="Times New Roman" w:cs="Times New Roman"/>
                <w:sz w:val="20"/>
                <w:szCs w:val="20"/>
              </w:rPr>
              <w:t>159889</w:t>
            </w:r>
          </w:p>
        </w:tc>
        <w:tc>
          <w:tcPr>
            <w:tcW w:w="6469" w:type="dxa"/>
            <w:tcBorders>
              <w:top w:val="single" w:sz="4" w:space="0" w:color="auto"/>
              <w:left w:val="nil"/>
              <w:bottom w:val="single" w:sz="4" w:space="0" w:color="auto"/>
              <w:right w:val="single" w:sz="4" w:space="0" w:color="auto"/>
            </w:tcBorders>
            <w:shd w:val="clear" w:color="auto" w:fill="auto"/>
            <w:vAlign w:val="center"/>
          </w:tcPr>
          <w:p w:rsidR="000D5841" w:rsidRPr="000D5841" w:rsidRDefault="000D5841">
            <w:pPr>
              <w:jc w:val="center"/>
              <w:rPr>
                <w:rFonts w:ascii="宋体" w:eastAsia="宋体" w:hAnsi="宋体"/>
              </w:rPr>
            </w:pPr>
            <w:r w:rsidRPr="000D5841">
              <w:rPr>
                <w:rFonts w:ascii="宋体" w:eastAsia="宋体" w:hAnsi="宋体" w:hint="eastAsia"/>
              </w:rPr>
              <w:t>国泰中证智能汽车主题交易型开放式指数证券投资基金</w:t>
            </w:r>
          </w:p>
        </w:tc>
      </w:tr>
    </w:tbl>
    <w:p w:rsidR="000D5841" w:rsidRPr="000D5841" w:rsidRDefault="000D5841" w:rsidP="000D5841">
      <w:pPr>
        <w:spacing w:line="360" w:lineRule="auto"/>
        <w:ind w:firstLine="420"/>
        <w:rPr>
          <w:rFonts w:ascii="宋体" w:eastAsia="宋体" w:hAnsi="宋体"/>
        </w:rPr>
      </w:pPr>
      <w:r w:rsidRPr="000D5841">
        <w:rPr>
          <w:rFonts w:ascii="宋体" w:eastAsia="宋体" w:hAnsi="宋体"/>
        </w:rPr>
        <w:t>注： 1、上述表格内基金的最小申购、赎回单位限制请详见本基金管理人发布的相关业务公告。</w:t>
      </w:r>
    </w:p>
    <w:p w:rsidR="000D5841" w:rsidRPr="000D5841" w:rsidRDefault="000D5841" w:rsidP="000D5841">
      <w:pPr>
        <w:spacing w:line="360" w:lineRule="auto"/>
        <w:ind w:firstLine="420"/>
        <w:rPr>
          <w:rFonts w:ascii="宋体" w:eastAsia="宋体" w:hAnsi="宋体"/>
        </w:rPr>
      </w:pPr>
      <w:r w:rsidRPr="000D5841">
        <w:rPr>
          <w:rFonts w:ascii="宋体" w:eastAsia="宋体" w:hAnsi="宋体"/>
        </w:rPr>
        <w:t>2、根据上述基金《基金合同》的约定，投资者应通过具备申购赎回业务资格的一级交易商办理基金的申购和赎回业务。</w:t>
      </w:r>
    </w:p>
    <w:p w:rsidR="000D5841" w:rsidRPr="004E18DC" w:rsidRDefault="000D5841" w:rsidP="000D5841">
      <w:pPr>
        <w:spacing w:line="360" w:lineRule="auto"/>
        <w:ind w:firstLine="420"/>
        <w:rPr>
          <w:rFonts w:ascii="Times New Roman" w:hAnsi="Times New Roman" w:cs="Times New Roman"/>
          <w:bCs/>
          <w:kern w:val="0"/>
          <w:szCs w:val="21"/>
        </w:rPr>
      </w:pPr>
    </w:p>
    <w:p w:rsidR="000D5841" w:rsidRPr="000D5841" w:rsidRDefault="000D5841" w:rsidP="000D5841">
      <w:pPr>
        <w:spacing w:line="360" w:lineRule="auto"/>
        <w:ind w:firstLine="420"/>
        <w:rPr>
          <w:rFonts w:ascii="宋体" w:eastAsia="宋体" w:hAnsi="宋体"/>
        </w:rPr>
      </w:pPr>
      <w:r w:rsidRPr="000D5841">
        <w:rPr>
          <w:rFonts w:ascii="宋体" w:eastAsia="宋体" w:hAnsi="宋体"/>
        </w:rPr>
        <w:t>二、新增一级交易商的基本信息及联系方式</w:t>
      </w:r>
    </w:p>
    <w:p w:rsidR="000D5841" w:rsidRPr="000D5841" w:rsidRDefault="000D5841" w:rsidP="000D5841">
      <w:pPr>
        <w:spacing w:line="360" w:lineRule="auto"/>
        <w:ind w:firstLine="420"/>
        <w:rPr>
          <w:rFonts w:ascii="宋体" w:eastAsia="宋体" w:hAnsi="宋体"/>
        </w:rPr>
      </w:pPr>
      <w:r w:rsidRPr="000D5841">
        <w:rPr>
          <w:rFonts w:ascii="宋体" w:eastAsia="宋体" w:hAnsi="宋体" w:hint="eastAsia"/>
        </w:rPr>
        <w:t>东海证券股份有限公司</w:t>
      </w:r>
    </w:p>
    <w:p w:rsidR="000D5841" w:rsidRPr="000D5841" w:rsidRDefault="000D5841" w:rsidP="000D5841">
      <w:pPr>
        <w:spacing w:line="360" w:lineRule="auto"/>
        <w:ind w:firstLine="420"/>
        <w:rPr>
          <w:rFonts w:ascii="宋体" w:eastAsia="宋体" w:hAnsi="宋体" w:cs="Times New Roman"/>
          <w:bCs/>
          <w:kern w:val="0"/>
          <w:szCs w:val="21"/>
        </w:rPr>
      </w:pPr>
      <w:r w:rsidRPr="000D5841">
        <w:rPr>
          <w:rFonts w:ascii="宋体" w:eastAsia="宋体" w:hAnsi="宋体" w:cs="Times New Roman" w:hint="eastAsia"/>
          <w:bCs/>
          <w:kern w:val="0"/>
          <w:szCs w:val="21"/>
        </w:rPr>
        <w:t>地址：江苏省常州延陵西路</w:t>
      </w:r>
      <w:r w:rsidRPr="000D5841">
        <w:rPr>
          <w:rFonts w:ascii="Times New Roman" w:eastAsia="宋体" w:hAnsi="Times New Roman" w:cs="Times New Roman" w:hint="eastAsia"/>
          <w:bCs/>
          <w:kern w:val="0"/>
          <w:szCs w:val="21"/>
        </w:rPr>
        <w:t>23</w:t>
      </w:r>
      <w:r w:rsidRPr="000D5841">
        <w:rPr>
          <w:rFonts w:ascii="宋体" w:eastAsia="宋体" w:hAnsi="宋体" w:cs="Times New Roman" w:hint="eastAsia"/>
          <w:bCs/>
          <w:kern w:val="0"/>
          <w:szCs w:val="21"/>
        </w:rPr>
        <w:t>号投资广场</w:t>
      </w:r>
      <w:r w:rsidRPr="000D5841">
        <w:rPr>
          <w:rFonts w:ascii="Times New Roman" w:eastAsia="宋体" w:hAnsi="Times New Roman" w:cs="Times New Roman" w:hint="eastAsia"/>
          <w:bCs/>
          <w:kern w:val="0"/>
          <w:szCs w:val="21"/>
        </w:rPr>
        <w:t>18</w:t>
      </w:r>
      <w:r w:rsidRPr="000D5841">
        <w:rPr>
          <w:rFonts w:ascii="宋体" w:eastAsia="宋体" w:hAnsi="宋体" w:cs="Times New Roman" w:hint="eastAsia"/>
          <w:bCs/>
          <w:kern w:val="0"/>
          <w:szCs w:val="21"/>
        </w:rPr>
        <w:t>层</w:t>
      </w:r>
    </w:p>
    <w:p w:rsidR="000D5841" w:rsidRPr="000D5841" w:rsidRDefault="000D5841" w:rsidP="000D5841">
      <w:pPr>
        <w:spacing w:line="360" w:lineRule="auto"/>
        <w:ind w:firstLine="420"/>
        <w:rPr>
          <w:rFonts w:ascii="宋体" w:eastAsia="宋体" w:hAnsi="宋体" w:cs="Times New Roman"/>
          <w:bCs/>
          <w:kern w:val="0"/>
          <w:szCs w:val="21"/>
        </w:rPr>
      </w:pPr>
      <w:r w:rsidRPr="000D5841">
        <w:rPr>
          <w:rFonts w:ascii="宋体" w:eastAsia="宋体" w:hAnsi="宋体" w:cs="Times New Roman" w:hint="eastAsia"/>
          <w:bCs/>
          <w:kern w:val="0"/>
          <w:szCs w:val="21"/>
        </w:rPr>
        <w:t>客服电话：</w:t>
      </w:r>
      <w:r w:rsidRPr="000D5841">
        <w:rPr>
          <w:rFonts w:ascii="Times New Roman" w:eastAsia="宋体" w:hAnsi="Times New Roman" w:cs="Times New Roman" w:hint="eastAsia"/>
          <w:bCs/>
          <w:kern w:val="0"/>
          <w:szCs w:val="21"/>
        </w:rPr>
        <w:t>95531</w:t>
      </w:r>
      <w:r w:rsidRPr="000D5841">
        <w:rPr>
          <w:rFonts w:ascii="宋体" w:eastAsia="宋体" w:hAnsi="宋体" w:cs="Times New Roman" w:hint="eastAsia"/>
          <w:bCs/>
          <w:kern w:val="0"/>
          <w:szCs w:val="21"/>
        </w:rPr>
        <w:t>；</w:t>
      </w:r>
      <w:r w:rsidRPr="000D5841">
        <w:rPr>
          <w:rFonts w:ascii="Times New Roman" w:eastAsia="宋体" w:hAnsi="Times New Roman" w:cs="Times New Roman" w:hint="eastAsia"/>
          <w:bCs/>
          <w:kern w:val="0"/>
          <w:szCs w:val="21"/>
        </w:rPr>
        <w:t>400</w:t>
      </w:r>
      <w:r w:rsidRPr="000D5841">
        <w:rPr>
          <w:rFonts w:ascii="宋体" w:eastAsia="宋体" w:hAnsi="宋体" w:cs="Times New Roman" w:hint="eastAsia"/>
          <w:bCs/>
          <w:kern w:val="0"/>
          <w:szCs w:val="21"/>
        </w:rPr>
        <w:t>-</w:t>
      </w:r>
      <w:r w:rsidRPr="000D5841">
        <w:rPr>
          <w:rFonts w:ascii="Times New Roman" w:eastAsia="宋体" w:hAnsi="Times New Roman" w:cs="Times New Roman" w:hint="eastAsia"/>
          <w:bCs/>
          <w:kern w:val="0"/>
          <w:szCs w:val="21"/>
        </w:rPr>
        <w:t>8888</w:t>
      </w:r>
      <w:r w:rsidRPr="000D5841">
        <w:rPr>
          <w:rFonts w:ascii="宋体" w:eastAsia="宋体" w:hAnsi="宋体" w:cs="Times New Roman" w:hint="eastAsia"/>
          <w:bCs/>
          <w:kern w:val="0"/>
          <w:szCs w:val="21"/>
        </w:rPr>
        <w:t>-</w:t>
      </w:r>
      <w:r w:rsidRPr="000D5841">
        <w:rPr>
          <w:rFonts w:ascii="Times New Roman" w:eastAsia="宋体" w:hAnsi="Times New Roman" w:cs="Times New Roman" w:hint="eastAsia"/>
          <w:bCs/>
          <w:kern w:val="0"/>
          <w:szCs w:val="21"/>
        </w:rPr>
        <w:t>588</w:t>
      </w:r>
    </w:p>
    <w:p w:rsidR="000D5841" w:rsidRPr="000D5841" w:rsidRDefault="000D5841" w:rsidP="000D5841">
      <w:pPr>
        <w:spacing w:line="360" w:lineRule="auto"/>
        <w:ind w:firstLine="420"/>
        <w:rPr>
          <w:rFonts w:ascii="宋体" w:eastAsia="宋体" w:hAnsi="宋体" w:cs="Times New Roman"/>
          <w:bCs/>
          <w:kern w:val="0"/>
          <w:szCs w:val="21"/>
        </w:rPr>
      </w:pPr>
      <w:r w:rsidRPr="000D5841">
        <w:rPr>
          <w:rFonts w:ascii="宋体" w:eastAsia="宋体" w:hAnsi="宋体" w:cs="Times New Roman" w:hint="eastAsia"/>
          <w:bCs/>
          <w:kern w:val="0"/>
          <w:szCs w:val="21"/>
        </w:rPr>
        <w:t>网址：</w:t>
      </w:r>
      <w:r w:rsidRPr="000D5841">
        <w:rPr>
          <w:rFonts w:ascii="Times New Roman" w:eastAsia="宋体" w:hAnsi="Times New Roman" w:cs="Times New Roman" w:hint="eastAsia"/>
          <w:bCs/>
          <w:kern w:val="0"/>
          <w:szCs w:val="21"/>
        </w:rPr>
        <w:t>www</w:t>
      </w:r>
      <w:r w:rsidRPr="000D5841">
        <w:rPr>
          <w:rFonts w:ascii="宋体" w:eastAsia="宋体" w:hAnsi="宋体" w:cs="Times New Roman" w:hint="eastAsia"/>
          <w:bCs/>
          <w:kern w:val="0"/>
          <w:szCs w:val="21"/>
        </w:rPr>
        <w:t>.</w:t>
      </w:r>
      <w:r w:rsidRPr="000D5841">
        <w:rPr>
          <w:rFonts w:ascii="Times New Roman" w:eastAsia="宋体" w:hAnsi="Times New Roman" w:cs="Times New Roman" w:hint="eastAsia"/>
          <w:bCs/>
          <w:kern w:val="0"/>
          <w:szCs w:val="21"/>
        </w:rPr>
        <w:t>longone</w:t>
      </w:r>
      <w:r w:rsidRPr="000D5841">
        <w:rPr>
          <w:rFonts w:ascii="宋体" w:eastAsia="宋体" w:hAnsi="宋体" w:cs="Times New Roman" w:hint="eastAsia"/>
          <w:bCs/>
          <w:kern w:val="0"/>
          <w:szCs w:val="21"/>
        </w:rPr>
        <w:t>.</w:t>
      </w:r>
      <w:r w:rsidRPr="000D5841">
        <w:rPr>
          <w:rFonts w:ascii="Times New Roman" w:eastAsia="宋体" w:hAnsi="Times New Roman" w:cs="Times New Roman" w:hint="eastAsia"/>
          <w:bCs/>
          <w:kern w:val="0"/>
          <w:szCs w:val="21"/>
        </w:rPr>
        <w:t>com</w:t>
      </w:r>
      <w:r w:rsidRPr="000D5841">
        <w:rPr>
          <w:rFonts w:ascii="宋体" w:eastAsia="宋体" w:hAnsi="宋体" w:cs="Times New Roman" w:hint="eastAsia"/>
          <w:bCs/>
          <w:kern w:val="0"/>
          <w:szCs w:val="21"/>
        </w:rPr>
        <w:t>.</w:t>
      </w:r>
      <w:r w:rsidRPr="000D5841">
        <w:rPr>
          <w:rFonts w:ascii="Times New Roman" w:eastAsia="宋体" w:hAnsi="Times New Roman" w:cs="Times New Roman" w:hint="eastAsia"/>
          <w:bCs/>
          <w:kern w:val="0"/>
          <w:szCs w:val="21"/>
        </w:rPr>
        <w:t>cn</w:t>
      </w:r>
    </w:p>
    <w:p w:rsidR="000D5841" w:rsidRDefault="000D5841" w:rsidP="0095122F">
      <w:pPr>
        <w:spacing w:line="360" w:lineRule="auto"/>
        <w:rPr>
          <w:rFonts w:ascii="宋体" w:eastAsia="宋体" w:hAnsi="宋体" w:cs="Times New Roman"/>
          <w:bCs/>
          <w:kern w:val="0"/>
          <w:szCs w:val="21"/>
        </w:rPr>
      </w:pPr>
    </w:p>
    <w:p w:rsidR="000D5841" w:rsidRPr="000D5841" w:rsidRDefault="000D5841" w:rsidP="000D5841">
      <w:pPr>
        <w:spacing w:line="360" w:lineRule="auto"/>
        <w:ind w:firstLine="420"/>
        <w:rPr>
          <w:rFonts w:ascii="宋体" w:eastAsia="宋体" w:hAnsi="宋体"/>
        </w:rPr>
      </w:pPr>
      <w:r w:rsidRPr="000D5841">
        <w:rPr>
          <w:rFonts w:ascii="宋体" w:eastAsia="宋体" w:hAnsi="宋体"/>
        </w:rPr>
        <w:t>三、本基金管理人联系方式</w:t>
      </w:r>
    </w:p>
    <w:p w:rsidR="000D5841" w:rsidRPr="000D5841" w:rsidRDefault="000D5841" w:rsidP="000D5841">
      <w:pPr>
        <w:spacing w:line="360" w:lineRule="auto"/>
        <w:ind w:firstLine="420"/>
        <w:rPr>
          <w:rFonts w:ascii="宋体" w:eastAsia="宋体" w:hAnsi="宋体"/>
        </w:rPr>
      </w:pPr>
      <w:r w:rsidRPr="000D5841">
        <w:rPr>
          <w:rFonts w:ascii="宋体" w:eastAsia="宋体" w:hAnsi="宋体"/>
        </w:rPr>
        <w:lastRenderedPageBreak/>
        <w:t>国泰基金管理有限公司</w:t>
      </w:r>
    </w:p>
    <w:p w:rsidR="000D5841" w:rsidRPr="000D5841" w:rsidRDefault="000D5841" w:rsidP="000D5841">
      <w:pPr>
        <w:spacing w:line="360" w:lineRule="auto"/>
        <w:ind w:firstLine="420"/>
        <w:rPr>
          <w:rFonts w:ascii="宋体" w:eastAsia="宋体" w:hAnsi="宋体" w:cs="Times New Roman"/>
          <w:bCs/>
          <w:kern w:val="0"/>
          <w:szCs w:val="21"/>
        </w:rPr>
      </w:pPr>
      <w:r w:rsidRPr="000D5841">
        <w:rPr>
          <w:rFonts w:ascii="宋体" w:eastAsia="宋体" w:hAnsi="宋体" w:cs="Times New Roman"/>
          <w:bCs/>
          <w:kern w:val="0"/>
          <w:szCs w:val="21"/>
        </w:rPr>
        <w:t>地址：上海市虹口区公平路</w:t>
      </w:r>
      <w:r w:rsidRPr="000D5841">
        <w:rPr>
          <w:rFonts w:ascii="Times New Roman" w:eastAsia="宋体" w:hAnsi="Times New Roman" w:cs="Times New Roman"/>
          <w:bCs/>
          <w:kern w:val="0"/>
          <w:szCs w:val="21"/>
        </w:rPr>
        <w:t>18</w:t>
      </w:r>
      <w:r w:rsidRPr="000D5841">
        <w:rPr>
          <w:rFonts w:ascii="宋体" w:eastAsia="宋体" w:hAnsi="宋体" w:cs="Times New Roman"/>
          <w:bCs/>
          <w:kern w:val="0"/>
          <w:szCs w:val="21"/>
        </w:rPr>
        <w:t>号</w:t>
      </w:r>
      <w:r w:rsidRPr="000D5841">
        <w:rPr>
          <w:rFonts w:ascii="Times New Roman" w:eastAsia="宋体" w:hAnsi="Times New Roman" w:cs="Times New Roman"/>
          <w:bCs/>
          <w:kern w:val="0"/>
          <w:szCs w:val="21"/>
        </w:rPr>
        <w:t>8</w:t>
      </w:r>
      <w:r w:rsidRPr="000D5841">
        <w:rPr>
          <w:rFonts w:ascii="宋体" w:eastAsia="宋体" w:hAnsi="宋体" w:cs="Times New Roman"/>
          <w:bCs/>
          <w:kern w:val="0"/>
          <w:szCs w:val="21"/>
        </w:rPr>
        <w:t>号楼嘉昱大厦</w:t>
      </w:r>
      <w:r w:rsidRPr="000D5841">
        <w:rPr>
          <w:rFonts w:ascii="Times New Roman" w:eastAsia="宋体" w:hAnsi="Times New Roman" w:cs="Times New Roman"/>
          <w:bCs/>
          <w:kern w:val="0"/>
          <w:szCs w:val="21"/>
        </w:rPr>
        <w:t>16</w:t>
      </w:r>
      <w:r w:rsidRPr="000D5841">
        <w:rPr>
          <w:rFonts w:ascii="宋体" w:eastAsia="宋体" w:hAnsi="宋体" w:cs="Times New Roman"/>
          <w:bCs/>
          <w:kern w:val="0"/>
          <w:szCs w:val="21"/>
        </w:rPr>
        <w:t>-</w:t>
      </w:r>
      <w:r w:rsidRPr="000D5841">
        <w:rPr>
          <w:rFonts w:ascii="Times New Roman" w:eastAsia="宋体" w:hAnsi="Times New Roman" w:cs="Times New Roman"/>
          <w:bCs/>
          <w:kern w:val="0"/>
          <w:szCs w:val="21"/>
        </w:rPr>
        <w:t>19</w:t>
      </w:r>
      <w:r w:rsidRPr="000D5841">
        <w:rPr>
          <w:rFonts w:ascii="宋体" w:eastAsia="宋体" w:hAnsi="宋体" w:cs="Times New Roman"/>
          <w:bCs/>
          <w:kern w:val="0"/>
          <w:szCs w:val="21"/>
        </w:rPr>
        <w:t>层</w:t>
      </w:r>
    </w:p>
    <w:p w:rsidR="000D5841" w:rsidRPr="000D5841" w:rsidRDefault="000D5841" w:rsidP="000D5841">
      <w:pPr>
        <w:spacing w:line="360" w:lineRule="auto"/>
        <w:ind w:firstLine="420"/>
        <w:rPr>
          <w:rFonts w:ascii="宋体" w:eastAsia="宋体" w:hAnsi="宋体" w:cs="Times New Roman"/>
          <w:bCs/>
          <w:kern w:val="0"/>
          <w:szCs w:val="21"/>
        </w:rPr>
      </w:pPr>
      <w:r w:rsidRPr="000D5841">
        <w:rPr>
          <w:rFonts w:ascii="宋体" w:eastAsia="宋体" w:hAnsi="宋体" w:cs="Times New Roman"/>
          <w:bCs/>
          <w:kern w:val="0"/>
          <w:szCs w:val="21"/>
        </w:rPr>
        <w:t>客服电话：</w:t>
      </w:r>
      <w:r w:rsidRPr="000D5841">
        <w:rPr>
          <w:rFonts w:ascii="Times New Roman" w:eastAsia="宋体" w:hAnsi="Times New Roman" w:cs="Times New Roman"/>
          <w:bCs/>
          <w:kern w:val="0"/>
          <w:szCs w:val="21"/>
        </w:rPr>
        <w:t>400</w:t>
      </w:r>
      <w:r w:rsidRPr="000D5841">
        <w:rPr>
          <w:rFonts w:ascii="宋体" w:eastAsia="宋体" w:hAnsi="宋体" w:cs="Times New Roman"/>
          <w:bCs/>
          <w:kern w:val="0"/>
          <w:szCs w:val="21"/>
        </w:rPr>
        <w:t>-</w:t>
      </w:r>
      <w:r w:rsidRPr="000D5841">
        <w:rPr>
          <w:rFonts w:ascii="Times New Roman" w:eastAsia="宋体" w:hAnsi="Times New Roman" w:cs="Times New Roman"/>
          <w:bCs/>
          <w:kern w:val="0"/>
          <w:szCs w:val="21"/>
        </w:rPr>
        <w:t>888</w:t>
      </w:r>
      <w:r w:rsidRPr="000D5841">
        <w:rPr>
          <w:rFonts w:ascii="宋体" w:eastAsia="宋体" w:hAnsi="宋体" w:cs="Times New Roman"/>
          <w:bCs/>
          <w:kern w:val="0"/>
          <w:szCs w:val="21"/>
        </w:rPr>
        <w:t>-</w:t>
      </w:r>
      <w:r w:rsidRPr="000D5841">
        <w:rPr>
          <w:rFonts w:ascii="Times New Roman" w:eastAsia="宋体" w:hAnsi="Times New Roman" w:cs="Times New Roman"/>
          <w:bCs/>
          <w:kern w:val="0"/>
          <w:szCs w:val="21"/>
        </w:rPr>
        <w:t>8688</w:t>
      </w:r>
    </w:p>
    <w:p w:rsidR="000D5841" w:rsidRPr="000D5841" w:rsidRDefault="000D5841" w:rsidP="000D5841">
      <w:pPr>
        <w:spacing w:line="360" w:lineRule="auto"/>
        <w:ind w:firstLine="420"/>
        <w:rPr>
          <w:rFonts w:ascii="宋体" w:eastAsia="宋体" w:hAnsi="宋体" w:cs="Times New Roman"/>
          <w:bCs/>
          <w:kern w:val="0"/>
          <w:szCs w:val="21"/>
        </w:rPr>
      </w:pPr>
      <w:r w:rsidRPr="000D5841">
        <w:rPr>
          <w:rFonts w:ascii="宋体" w:eastAsia="宋体" w:hAnsi="宋体" w:cs="Times New Roman"/>
          <w:bCs/>
          <w:kern w:val="0"/>
          <w:szCs w:val="21"/>
        </w:rPr>
        <w:t>网址：</w:t>
      </w:r>
      <w:r w:rsidRPr="000D5841">
        <w:rPr>
          <w:rFonts w:ascii="Times New Roman" w:eastAsia="宋体" w:hAnsi="Times New Roman" w:cs="Times New Roman"/>
          <w:bCs/>
          <w:kern w:val="0"/>
          <w:szCs w:val="21"/>
        </w:rPr>
        <w:t>www</w:t>
      </w:r>
      <w:r w:rsidRPr="000D5841">
        <w:rPr>
          <w:rFonts w:ascii="宋体" w:eastAsia="宋体" w:hAnsi="宋体" w:cs="Times New Roman"/>
          <w:bCs/>
          <w:kern w:val="0"/>
          <w:szCs w:val="21"/>
        </w:rPr>
        <w:t>.</w:t>
      </w:r>
      <w:r w:rsidRPr="000D5841">
        <w:rPr>
          <w:rFonts w:ascii="Times New Roman" w:eastAsia="宋体" w:hAnsi="Times New Roman" w:cs="Times New Roman"/>
          <w:bCs/>
          <w:kern w:val="0"/>
          <w:szCs w:val="21"/>
        </w:rPr>
        <w:t>gtfund</w:t>
      </w:r>
      <w:r w:rsidRPr="000D5841">
        <w:rPr>
          <w:rFonts w:ascii="宋体" w:eastAsia="宋体" w:hAnsi="宋体" w:cs="Times New Roman"/>
          <w:bCs/>
          <w:kern w:val="0"/>
          <w:szCs w:val="21"/>
        </w:rPr>
        <w:t>.</w:t>
      </w:r>
      <w:r w:rsidRPr="000D5841">
        <w:rPr>
          <w:rFonts w:ascii="Times New Roman" w:eastAsia="宋体" w:hAnsi="Times New Roman" w:cs="Times New Roman"/>
          <w:bCs/>
          <w:kern w:val="0"/>
          <w:szCs w:val="21"/>
        </w:rPr>
        <w:t>com</w:t>
      </w:r>
    </w:p>
    <w:p w:rsidR="000D5841" w:rsidRPr="004E18DC" w:rsidRDefault="000D5841" w:rsidP="000D5841">
      <w:pPr>
        <w:pStyle w:val="Default"/>
        <w:tabs>
          <w:tab w:val="left" w:pos="426"/>
        </w:tabs>
        <w:spacing w:line="360" w:lineRule="auto"/>
        <w:ind w:leftChars="43" w:left="90" w:firstLineChars="207" w:firstLine="435"/>
        <w:jc w:val="both"/>
        <w:rPr>
          <w:rFonts w:ascii="Times New Roman" w:eastAsiaTheme="minorEastAsia" w:hAnsi="Times New Roman" w:cs="Times New Roman"/>
          <w:sz w:val="21"/>
          <w:szCs w:val="21"/>
        </w:rPr>
      </w:pPr>
    </w:p>
    <w:p w:rsidR="000D5841" w:rsidRPr="000D5841" w:rsidRDefault="000D5841" w:rsidP="000D5841">
      <w:pPr>
        <w:spacing w:line="360" w:lineRule="auto"/>
        <w:ind w:firstLine="420"/>
        <w:rPr>
          <w:rFonts w:ascii="宋体" w:eastAsia="宋体" w:hAnsi="宋体"/>
        </w:rPr>
      </w:pPr>
      <w:r w:rsidRPr="000D5841">
        <w:rPr>
          <w:rFonts w:ascii="宋体" w:eastAsia="宋体" w:hAnsi="宋体"/>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0D5841" w:rsidRPr="000D5841" w:rsidRDefault="000D5841" w:rsidP="000D5841">
      <w:pPr>
        <w:spacing w:line="360" w:lineRule="auto"/>
        <w:ind w:firstLine="420"/>
        <w:rPr>
          <w:rFonts w:ascii="宋体" w:eastAsia="宋体" w:hAnsi="宋体"/>
        </w:rPr>
      </w:pPr>
      <w:r w:rsidRPr="000D5841">
        <w:rPr>
          <w:rFonts w:ascii="宋体" w:eastAsia="宋体" w:hAnsi="宋体"/>
        </w:rPr>
        <w:t>特此公告。</w:t>
      </w:r>
    </w:p>
    <w:p w:rsidR="000D5841" w:rsidRPr="004E18DC" w:rsidRDefault="000D5841" w:rsidP="000D5841">
      <w:pPr>
        <w:spacing w:line="360" w:lineRule="auto"/>
        <w:ind w:firstLine="420"/>
        <w:rPr>
          <w:rFonts w:ascii="Times New Roman" w:hAnsi="Times New Roman" w:cs="Times New Roman"/>
          <w:bCs/>
          <w:kern w:val="0"/>
          <w:szCs w:val="21"/>
        </w:rPr>
      </w:pPr>
    </w:p>
    <w:p w:rsidR="000D5841" w:rsidRPr="004E18DC" w:rsidRDefault="000D5841" w:rsidP="000D5841">
      <w:pPr>
        <w:spacing w:line="360" w:lineRule="auto"/>
        <w:ind w:firstLine="420"/>
        <w:rPr>
          <w:rFonts w:ascii="Times New Roman" w:hAnsi="Times New Roman" w:cs="Times New Roman"/>
          <w:bCs/>
          <w:kern w:val="0"/>
          <w:szCs w:val="21"/>
        </w:rPr>
      </w:pPr>
    </w:p>
    <w:p w:rsidR="000D5841" w:rsidRPr="00665435" w:rsidRDefault="000D5841" w:rsidP="000D5841">
      <w:pPr>
        <w:pStyle w:val="Default"/>
        <w:tabs>
          <w:tab w:val="left" w:pos="426"/>
        </w:tabs>
        <w:spacing w:line="360" w:lineRule="auto"/>
        <w:ind w:leftChars="43" w:left="90" w:firstLineChars="2907" w:firstLine="6105"/>
        <w:jc w:val="right"/>
        <w:rPr>
          <w:rFonts w:hAnsi="宋体" w:cs="Times New Roman"/>
          <w:sz w:val="21"/>
          <w:szCs w:val="21"/>
        </w:rPr>
      </w:pPr>
      <w:r w:rsidRPr="00665435">
        <w:rPr>
          <w:rFonts w:hAnsi="宋体" w:cs="Times New Roman"/>
          <w:sz w:val="21"/>
          <w:szCs w:val="21"/>
        </w:rPr>
        <w:t>国泰基金管理有限公司</w:t>
      </w:r>
    </w:p>
    <w:p w:rsidR="000D5841" w:rsidRPr="004E18DC" w:rsidRDefault="000D5841" w:rsidP="000D5841">
      <w:pPr>
        <w:pStyle w:val="Default"/>
        <w:tabs>
          <w:tab w:val="left" w:pos="426"/>
        </w:tabs>
        <w:spacing w:line="360" w:lineRule="auto"/>
        <w:ind w:leftChars="43" w:left="90" w:firstLineChars="3107" w:firstLine="6525"/>
        <w:jc w:val="right"/>
        <w:rPr>
          <w:rFonts w:ascii="Times New Roman" w:eastAsiaTheme="minorEastAsia" w:hAnsi="Times New Roman" w:cs="Times New Roman"/>
          <w:sz w:val="21"/>
          <w:szCs w:val="21"/>
        </w:rPr>
      </w:pPr>
      <w:r w:rsidRPr="000D5841">
        <w:rPr>
          <w:rFonts w:ascii="Times New Roman" w:eastAsiaTheme="minorEastAsia" w:hAnsi="Times New Roman" w:cs="Times New Roman"/>
          <w:sz w:val="21"/>
          <w:szCs w:val="21"/>
        </w:rPr>
        <w:t>20</w:t>
      </w:r>
      <w:r w:rsidRPr="000D5841">
        <w:rPr>
          <w:rFonts w:ascii="Times New Roman" w:eastAsiaTheme="minorEastAsia" w:hAnsi="Times New Roman" w:cs="Times New Roman" w:hint="eastAsia"/>
          <w:sz w:val="21"/>
          <w:szCs w:val="21"/>
        </w:rPr>
        <w:t>2</w:t>
      </w:r>
      <w:r w:rsidRPr="000D5841">
        <w:rPr>
          <w:rFonts w:ascii="Times New Roman" w:eastAsiaTheme="minorEastAsia" w:hAnsi="Times New Roman" w:cs="Times New Roman"/>
          <w:sz w:val="21"/>
          <w:szCs w:val="21"/>
        </w:rPr>
        <w:t>3</w:t>
      </w:r>
      <w:r w:rsidRPr="00665435">
        <w:rPr>
          <w:rFonts w:hAnsi="宋体" w:cs="Times New Roman"/>
          <w:sz w:val="21"/>
          <w:szCs w:val="21"/>
        </w:rPr>
        <w:t>年</w:t>
      </w:r>
      <w:r w:rsidRPr="000D5841">
        <w:rPr>
          <w:rFonts w:ascii="Times New Roman" w:eastAsiaTheme="minorEastAsia" w:hAnsi="Times New Roman" w:cs="Times New Roman"/>
          <w:sz w:val="21"/>
          <w:szCs w:val="21"/>
        </w:rPr>
        <w:t>3</w:t>
      </w:r>
      <w:r w:rsidRPr="00665435">
        <w:rPr>
          <w:rFonts w:hAnsi="宋体" w:cs="Times New Roman"/>
          <w:sz w:val="21"/>
          <w:szCs w:val="21"/>
        </w:rPr>
        <w:t>月</w:t>
      </w:r>
      <w:r w:rsidR="00250C64" w:rsidRPr="000D5841">
        <w:rPr>
          <w:rFonts w:ascii="Times New Roman" w:eastAsiaTheme="minorEastAsia" w:hAnsi="Times New Roman" w:cs="Times New Roman"/>
          <w:sz w:val="21"/>
          <w:szCs w:val="21"/>
        </w:rPr>
        <w:t>1</w:t>
      </w:r>
      <w:r w:rsidR="00250C64">
        <w:rPr>
          <w:rFonts w:ascii="Times New Roman" w:eastAsiaTheme="minorEastAsia" w:hAnsi="Times New Roman" w:cs="Times New Roman"/>
          <w:sz w:val="21"/>
          <w:szCs w:val="21"/>
        </w:rPr>
        <w:t>7</w:t>
      </w:r>
      <w:r w:rsidRPr="00665435">
        <w:rPr>
          <w:rFonts w:hAnsi="宋体" w:cs="Times New Roman"/>
          <w:sz w:val="21"/>
          <w:szCs w:val="21"/>
        </w:rPr>
        <w:t>日</w:t>
      </w:r>
    </w:p>
    <w:p w:rsidR="002E3E3E" w:rsidRDefault="00A24D91"/>
    <w:sectPr w:rsidR="002E3E3E" w:rsidSect="000617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24F" w:rsidRDefault="004B624F" w:rsidP="00250C64">
      <w:r>
        <w:separator/>
      </w:r>
    </w:p>
  </w:endnote>
  <w:endnote w:type="continuationSeparator" w:id="0">
    <w:p w:rsidR="004B624F" w:rsidRDefault="004B624F" w:rsidP="00250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24F" w:rsidRDefault="004B624F" w:rsidP="00250C64">
      <w:r>
        <w:separator/>
      </w:r>
    </w:p>
  </w:footnote>
  <w:footnote w:type="continuationSeparator" w:id="0">
    <w:p w:rsidR="004B624F" w:rsidRDefault="004B624F" w:rsidP="00250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B0074"/>
    <w:multiLevelType w:val="hybridMultilevel"/>
    <w:tmpl w:val="E4AE670C"/>
    <w:lvl w:ilvl="0" w:tplc="AB0A501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5841"/>
    <w:rsid w:val="000D5841"/>
    <w:rsid w:val="00250C64"/>
    <w:rsid w:val="004B624F"/>
    <w:rsid w:val="004F11F4"/>
    <w:rsid w:val="00665435"/>
    <w:rsid w:val="007D0F5D"/>
    <w:rsid w:val="0095122F"/>
    <w:rsid w:val="00990065"/>
    <w:rsid w:val="00A24D91"/>
    <w:rsid w:val="00E452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8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2">
    <w:name w:val="CM12"/>
    <w:basedOn w:val="a"/>
    <w:next w:val="a"/>
    <w:uiPriority w:val="99"/>
    <w:rsid w:val="000D5841"/>
    <w:pPr>
      <w:autoSpaceDE w:val="0"/>
      <w:autoSpaceDN w:val="0"/>
      <w:adjustRightInd w:val="0"/>
      <w:jc w:val="left"/>
    </w:pPr>
    <w:rPr>
      <w:rFonts w:ascii="宋体" w:eastAsia="宋体"/>
      <w:kern w:val="0"/>
      <w:sz w:val="24"/>
      <w:szCs w:val="24"/>
    </w:rPr>
  </w:style>
  <w:style w:type="paragraph" w:customStyle="1" w:styleId="Default">
    <w:name w:val="Default"/>
    <w:rsid w:val="000D5841"/>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250C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C64"/>
    <w:rPr>
      <w:sz w:val="18"/>
      <w:szCs w:val="18"/>
    </w:rPr>
  </w:style>
  <w:style w:type="paragraph" w:styleId="a4">
    <w:name w:val="footer"/>
    <w:basedOn w:val="a"/>
    <w:link w:val="Char0"/>
    <w:uiPriority w:val="99"/>
    <w:unhideWhenUsed/>
    <w:rsid w:val="00250C64"/>
    <w:pPr>
      <w:tabs>
        <w:tab w:val="center" w:pos="4153"/>
        <w:tab w:val="right" w:pos="8306"/>
      </w:tabs>
      <w:snapToGrid w:val="0"/>
      <w:jc w:val="left"/>
    </w:pPr>
    <w:rPr>
      <w:sz w:val="18"/>
      <w:szCs w:val="18"/>
    </w:rPr>
  </w:style>
  <w:style w:type="character" w:customStyle="1" w:styleId="Char0">
    <w:name w:val="页脚 Char"/>
    <w:basedOn w:val="a0"/>
    <w:link w:val="a4"/>
    <w:uiPriority w:val="99"/>
    <w:rsid w:val="00250C64"/>
    <w:rPr>
      <w:sz w:val="18"/>
      <w:szCs w:val="18"/>
    </w:rPr>
  </w:style>
  <w:style w:type="paragraph" w:styleId="a5">
    <w:name w:val="Balloon Text"/>
    <w:basedOn w:val="a"/>
    <w:link w:val="Char1"/>
    <w:uiPriority w:val="99"/>
    <w:semiHidden/>
    <w:unhideWhenUsed/>
    <w:rsid w:val="00250C64"/>
    <w:rPr>
      <w:sz w:val="18"/>
      <w:szCs w:val="18"/>
    </w:rPr>
  </w:style>
  <w:style w:type="character" w:customStyle="1" w:styleId="Char1">
    <w:name w:val="批注框文本 Char"/>
    <w:basedOn w:val="a0"/>
    <w:link w:val="a5"/>
    <w:uiPriority w:val="99"/>
    <w:semiHidden/>
    <w:rsid w:val="00250C6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Office Word</Application>
  <DocSecurity>4</DocSecurity>
  <Lines>6</Lines>
  <Paragraphs>1</Paragraphs>
  <ScaleCrop>false</ScaleCrop>
  <Company>Microsoft</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韩靖</dc:creator>
  <cp:keywords/>
  <dc:description/>
  <cp:lastModifiedBy>ZHONGM</cp:lastModifiedBy>
  <cp:revision>2</cp:revision>
  <dcterms:created xsi:type="dcterms:W3CDTF">2023-03-16T16:01:00Z</dcterms:created>
  <dcterms:modified xsi:type="dcterms:W3CDTF">2023-03-16T16:01:00Z</dcterms:modified>
</cp:coreProperties>
</file>