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718F9">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上海东方证券资产管理有限公司</w:t>
      </w:r>
    </w:p>
    <w:p w:rsidR="00000000" w:rsidRDefault="00B718F9">
      <w:pPr>
        <w:widowControl/>
        <w:spacing w:line="360" w:lineRule="auto"/>
        <w:jc w:val="center"/>
        <w:outlineLvl w:val="0"/>
        <w:rPr>
          <w:rFonts w:ascii="宋体" w:hAnsi="宋体" w:cs="Arial" w:hint="eastAsia"/>
          <w:b/>
          <w:kern w:val="36"/>
          <w:sz w:val="30"/>
          <w:szCs w:val="30"/>
        </w:rPr>
      </w:pPr>
      <w:r>
        <w:rPr>
          <w:rFonts w:ascii="宋体" w:hAnsi="宋体" w:cs="Arial" w:hint="eastAsia"/>
          <w:b/>
          <w:kern w:val="36"/>
          <w:sz w:val="30"/>
          <w:szCs w:val="30"/>
        </w:rPr>
        <w:t>关于旗下基金增加上海万得基金销售有限公司</w:t>
      </w:r>
    </w:p>
    <w:p w:rsidR="00000000" w:rsidRDefault="00B718F9">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为代理销售机构</w:t>
      </w:r>
      <w:r>
        <w:rPr>
          <w:rFonts w:ascii="宋体" w:hAnsi="宋体" w:cs="Arial"/>
          <w:b/>
          <w:kern w:val="36"/>
          <w:sz w:val="30"/>
          <w:szCs w:val="30"/>
        </w:rPr>
        <w:t>的公告</w:t>
      </w:r>
    </w:p>
    <w:p w:rsidR="00000000" w:rsidRDefault="00B718F9">
      <w:pPr>
        <w:widowControl/>
        <w:spacing w:line="360" w:lineRule="auto"/>
        <w:jc w:val="center"/>
        <w:outlineLvl w:val="0"/>
        <w:rPr>
          <w:rFonts w:ascii="Arial" w:hAnsi="Arial" w:cs="Arial" w:hint="eastAsia"/>
          <w:b/>
          <w:kern w:val="36"/>
          <w:sz w:val="30"/>
          <w:szCs w:val="30"/>
        </w:rPr>
      </w:pPr>
    </w:p>
    <w:p w:rsidR="00000000" w:rsidRDefault="00B718F9">
      <w:pPr>
        <w:spacing w:line="360" w:lineRule="auto"/>
        <w:ind w:firstLineChars="200" w:firstLine="440"/>
        <w:rPr>
          <w:rFonts w:ascii="宋体" w:hAnsi="宋体" w:cs="宋体"/>
          <w:sz w:val="22"/>
          <w:szCs w:val="22"/>
        </w:rPr>
      </w:pPr>
      <w:r>
        <w:rPr>
          <w:rFonts w:ascii="宋体" w:hAnsi="宋体" w:cs="宋体" w:hint="eastAsia"/>
          <w:sz w:val="22"/>
          <w:szCs w:val="22"/>
        </w:rPr>
        <w:t>上海东方证券资产管理有限公司（以下简称本公司）经与相关基金销售机构协商一致，自</w:t>
      </w:r>
      <w:r>
        <w:rPr>
          <w:rFonts w:ascii="宋体" w:hAnsi="宋体" w:cs="宋体" w:hint="eastAsia"/>
          <w:sz w:val="22"/>
          <w:szCs w:val="22"/>
        </w:rPr>
        <w:t>2</w:t>
      </w:r>
      <w:r>
        <w:rPr>
          <w:rFonts w:ascii="宋体" w:hAnsi="宋体" w:cs="宋体"/>
          <w:sz w:val="22"/>
          <w:szCs w:val="22"/>
        </w:rPr>
        <w:t>02</w:t>
      </w:r>
      <w:r>
        <w:rPr>
          <w:rFonts w:ascii="宋体" w:hAnsi="宋体" w:cs="宋体" w:hint="eastAsia"/>
          <w:sz w:val="22"/>
          <w:szCs w:val="22"/>
        </w:rPr>
        <w:t>3</w:t>
      </w:r>
      <w:r>
        <w:rPr>
          <w:rFonts w:ascii="宋体" w:hAnsi="宋体" w:cs="宋体" w:hint="eastAsia"/>
          <w:sz w:val="22"/>
          <w:szCs w:val="22"/>
        </w:rPr>
        <w:t>年</w:t>
      </w:r>
      <w:r>
        <w:rPr>
          <w:rFonts w:ascii="宋体" w:hAnsi="宋体" w:cs="宋体" w:hint="eastAsia"/>
          <w:sz w:val="22"/>
          <w:szCs w:val="22"/>
        </w:rPr>
        <w:t>3</w:t>
      </w:r>
      <w:r>
        <w:rPr>
          <w:rFonts w:ascii="宋体" w:hAnsi="宋体" w:cs="宋体" w:hint="eastAsia"/>
          <w:sz w:val="22"/>
          <w:szCs w:val="22"/>
        </w:rPr>
        <w:t>月</w:t>
      </w:r>
      <w:r>
        <w:rPr>
          <w:rFonts w:ascii="宋体" w:hAnsi="宋体" w:cs="宋体" w:hint="eastAsia"/>
          <w:sz w:val="22"/>
          <w:szCs w:val="22"/>
        </w:rPr>
        <w:t>17</w:t>
      </w:r>
      <w:r>
        <w:rPr>
          <w:rFonts w:ascii="宋体" w:hAnsi="宋体" w:cs="宋体" w:hint="eastAsia"/>
          <w:sz w:val="22"/>
          <w:szCs w:val="22"/>
        </w:rPr>
        <w:t>日（含）起，下列基金增加相关基金销售机构为代理销售机构，并开通在相关基金销售机构的定期定额投资业务，现将相关事项公告如下：</w:t>
      </w:r>
    </w:p>
    <w:p w:rsidR="00000000" w:rsidRDefault="00B718F9">
      <w:pPr>
        <w:spacing w:line="360" w:lineRule="auto"/>
        <w:ind w:firstLineChars="200" w:firstLine="442"/>
        <w:rPr>
          <w:rFonts w:ascii="宋体" w:hAnsi="宋体" w:cs="宋体"/>
          <w:b/>
          <w:sz w:val="22"/>
          <w:szCs w:val="22"/>
        </w:rPr>
      </w:pPr>
      <w:r>
        <w:rPr>
          <w:rFonts w:ascii="宋体" w:hAnsi="宋体" w:cs="宋体" w:hint="eastAsia"/>
          <w:b/>
          <w:sz w:val="22"/>
          <w:szCs w:val="22"/>
        </w:rPr>
        <w:t>一、基金列表及定投业务规则</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3"/>
        <w:gridCol w:w="1791"/>
        <w:gridCol w:w="1463"/>
        <w:gridCol w:w="950"/>
        <w:gridCol w:w="1427"/>
        <w:gridCol w:w="1144"/>
        <w:gridCol w:w="1144"/>
      </w:tblGrid>
      <w:tr w:rsidR="00000000">
        <w:tc>
          <w:tcPr>
            <w:tcW w:w="603" w:type="dxa"/>
          </w:tcPr>
          <w:p w:rsidR="00000000" w:rsidRDefault="00B718F9">
            <w:pPr>
              <w:spacing w:line="360" w:lineRule="auto"/>
              <w:rPr>
                <w:rFonts w:ascii="宋体" w:hAnsi="宋体" w:cs="宋体" w:hint="eastAsia"/>
                <w:sz w:val="22"/>
                <w:szCs w:val="22"/>
              </w:rPr>
            </w:pPr>
            <w:r>
              <w:rPr>
                <w:rFonts w:ascii="宋体" w:hAnsi="宋体" w:cs="宋体" w:hint="eastAsia"/>
                <w:sz w:val="22"/>
                <w:szCs w:val="22"/>
              </w:rPr>
              <w:t>序号</w:t>
            </w:r>
          </w:p>
        </w:tc>
        <w:tc>
          <w:tcPr>
            <w:tcW w:w="1791" w:type="dxa"/>
          </w:tcPr>
          <w:p w:rsidR="00000000" w:rsidRDefault="00B718F9">
            <w:pPr>
              <w:spacing w:line="360" w:lineRule="auto"/>
              <w:rPr>
                <w:rFonts w:ascii="宋体" w:hAnsi="宋体" w:cs="宋体" w:hint="eastAsia"/>
                <w:sz w:val="22"/>
                <w:szCs w:val="22"/>
              </w:rPr>
            </w:pPr>
            <w:r>
              <w:rPr>
                <w:rFonts w:ascii="宋体" w:hAnsi="宋体" w:cs="宋体" w:hint="eastAsia"/>
                <w:sz w:val="22"/>
                <w:szCs w:val="22"/>
              </w:rPr>
              <w:t>基金名称</w:t>
            </w:r>
          </w:p>
        </w:tc>
        <w:tc>
          <w:tcPr>
            <w:tcW w:w="1463" w:type="dxa"/>
          </w:tcPr>
          <w:p w:rsidR="00000000" w:rsidRDefault="00B718F9">
            <w:pPr>
              <w:spacing w:line="360" w:lineRule="auto"/>
              <w:rPr>
                <w:rFonts w:ascii="宋体" w:hAnsi="宋体" w:cs="宋体" w:hint="eastAsia"/>
                <w:sz w:val="22"/>
                <w:szCs w:val="22"/>
              </w:rPr>
            </w:pPr>
            <w:r>
              <w:rPr>
                <w:rFonts w:ascii="宋体" w:hAnsi="宋体" w:cs="宋体" w:hint="eastAsia"/>
                <w:sz w:val="22"/>
                <w:szCs w:val="22"/>
              </w:rPr>
              <w:t>基金简称</w:t>
            </w:r>
          </w:p>
        </w:tc>
        <w:tc>
          <w:tcPr>
            <w:tcW w:w="950" w:type="dxa"/>
          </w:tcPr>
          <w:p w:rsidR="00000000" w:rsidRDefault="00B718F9">
            <w:pPr>
              <w:spacing w:line="360" w:lineRule="auto"/>
              <w:rPr>
                <w:rFonts w:ascii="宋体" w:hAnsi="宋体" w:cs="宋体" w:hint="eastAsia"/>
                <w:sz w:val="22"/>
                <w:szCs w:val="22"/>
              </w:rPr>
            </w:pPr>
            <w:r>
              <w:rPr>
                <w:rFonts w:ascii="宋体" w:hAnsi="宋体" w:cs="宋体" w:hint="eastAsia"/>
                <w:sz w:val="22"/>
                <w:szCs w:val="22"/>
              </w:rPr>
              <w:t>份额类别</w:t>
            </w:r>
          </w:p>
        </w:tc>
        <w:tc>
          <w:tcPr>
            <w:tcW w:w="1427" w:type="dxa"/>
          </w:tcPr>
          <w:p w:rsidR="00000000" w:rsidRDefault="00B718F9">
            <w:pPr>
              <w:spacing w:line="360" w:lineRule="auto"/>
              <w:rPr>
                <w:rFonts w:ascii="宋体" w:hAnsi="宋体" w:cs="宋体" w:hint="eastAsia"/>
                <w:sz w:val="22"/>
                <w:szCs w:val="22"/>
              </w:rPr>
            </w:pPr>
            <w:r>
              <w:rPr>
                <w:rFonts w:ascii="宋体" w:hAnsi="宋体" w:cs="宋体" w:hint="eastAsia"/>
                <w:sz w:val="22"/>
                <w:szCs w:val="22"/>
              </w:rPr>
              <w:t>基金代码</w:t>
            </w:r>
          </w:p>
        </w:tc>
        <w:tc>
          <w:tcPr>
            <w:tcW w:w="1144" w:type="dxa"/>
          </w:tcPr>
          <w:p w:rsidR="00000000" w:rsidRDefault="00B718F9">
            <w:pPr>
              <w:spacing w:line="360" w:lineRule="auto"/>
              <w:rPr>
                <w:rFonts w:ascii="宋体" w:hAnsi="宋体" w:cs="宋体" w:hint="eastAsia"/>
                <w:sz w:val="22"/>
                <w:szCs w:val="22"/>
              </w:rPr>
            </w:pPr>
            <w:r>
              <w:rPr>
                <w:rFonts w:ascii="宋体" w:hAnsi="宋体" w:cs="宋体" w:hint="eastAsia"/>
                <w:sz w:val="22"/>
                <w:szCs w:val="22"/>
              </w:rPr>
              <w:t>定投起点金额</w:t>
            </w:r>
          </w:p>
        </w:tc>
        <w:tc>
          <w:tcPr>
            <w:tcW w:w="1144" w:type="dxa"/>
          </w:tcPr>
          <w:p w:rsidR="00000000" w:rsidRDefault="00B718F9">
            <w:pPr>
              <w:spacing w:line="360" w:lineRule="auto"/>
              <w:rPr>
                <w:rFonts w:ascii="宋体" w:hAnsi="宋体" w:cs="宋体" w:hint="eastAsia"/>
                <w:sz w:val="22"/>
                <w:szCs w:val="22"/>
              </w:rPr>
            </w:pPr>
            <w:r>
              <w:rPr>
                <w:rFonts w:ascii="宋体" w:hAnsi="宋体" w:cs="宋体" w:hint="eastAsia"/>
                <w:sz w:val="22"/>
                <w:szCs w:val="22"/>
              </w:rPr>
              <w:t>是否有级差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bookmarkStart w:id="0" w:name="OLE_LINK1" w:colFirst="0" w:colLast="6"/>
            <w:r>
              <w:rPr>
                <w:rFonts w:ascii="宋体" w:hAnsi="宋体" w:cs="宋体" w:hint="eastAsia"/>
                <w:color w:val="000000"/>
                <w:kern w:val="0"/>
                <w:sz w:val="22"/>
                <w:szCs w:val="22"/>
                <w:lang/>
              </w:rPr>
              <w:t>1</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w:t>
            </w:r>
            <w:r>
              <w:rPr>
                <w:rFonts w:ascii="宋体" w:hAnsi="宋体" w:cs="宋体" w:hint="eastAsia"/>
                <w:color w:val="000000"/>
                <w:kern w:val="0"/>
                <w:sz w:val="22"/>
                <w:szCs w:val="22"/>
                <w:lang/>
              </w:rPr>
              <w:t>ESG</w:t>
            </w:r>
            <w:r>
              <w:rPr>
                <w:rFonts w:ascii="宋体" w:hAnsi="宋体" w:cs="宋体" w:hint="eastAsia"/>
                <w:color w:val="000000"/>
                <w:kern w:val="0"/>
                <w:sz w:val="22"/>
                <w:szCs w:val="22"/>
                <w:lang/>
              </w:rPr>
              <w:t>可持续投资混合型证券投资基金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w:t>
            </w:r>
            <w:r>
              <w:rPr>
                <w:rFonts w:ascii="宋体" w:hAnsi="宋体" w:cs="宋体" w:hint="eastAsia"/>
                <w:color w:val="000000"/>
                <w:kern w:val="0"/>
                <w:sz w:val="22"/>
                <w:szCs w:val="22"/>
                <w:lang/>
              </w:rPr>
              <w:t>ESG</w:t>
            </w:r>
            <w:r>
              <w:rPr>
                <w:rFonts w:ascii="宋体" w:hAnsi="宋体" w:cs="宋体" w:hint="eastAsia"/>
                <w:color w:val="000000"/>
                <w:kern w:val="0"/>
                <w:sz w:val="22"/>
                <w:szCs w:val="22"/>
                <w:lang/>
              </w:rPr>
              <w:t>可持续投资混合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sz w:val="22"/>
                <w:szCs w:val="22"/>
              </w:rPr>
            </w:pPr>
            <w:r>
              <w:rPr>
                <w:rFonts w:ascii="宋体" w:hAnsi="宋体" w:cs="宋体" w:hint="eastAsia"/>
                <w:color w:val="000000"/>
                <w:kern w:val="0"/>
                <w:sz w:val="22"/>
                <w:szCs w:val="22"/>
                <w:lang/>
              </w:rPr>
              <w:t>01510</w:t>
            </w:r>
            <w:r>
              <w:rPr>
                <w:rFonts w:ascii="宋体" w:hAnsi="宋体" w:cs="宋体" w:hint="eastAsia"/>
                <w:color w:val="000000"/>
                <w:kern w:val="0"/>
                <w:sz w:val="22"/>
                <w:szCs w:val="22"/>
                <w:lang/>
              </w:rPr>
              <w:t>2</w:t>
            </w:r>
          </w:p>
        </w:tc>
        <w:tc>
          <w:tcPr>
            <w:tcW w:w="1144" w:type="dxa"/>
            <w:vAlign w:val="center"/>
          </w:tcPr>
          <w:p w:rsidR="00000000" w:rsidRDefault="00B718F9">
            <w:pPr>
              <w:widowControl/>
              <w:jc w:val="left"/>
              <w:textAlignment w:val="center"/>
              <w:rPr>
                <w:rFonts w:ascii="宋体" w:hAnsi="宋体" w:cs="宋体"/>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2</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w:t>
            </w:r>
            <w:r>
              <w:rPr>
                <w:rFonts w:ascii="宋体" w:hAnsi="宋体" w:cs="宋体" w:hint="eastAsia"/>
                <w:color w:val="000000"/>
                <w:kern w:val="0"/>
                <w:sz w:val="22"/>
                <w:szCs w:val="22"/>
                <w:lang/>
              </w:rPr>
              <w:t>ESG</w:t>
            </w:r>
            <w:r>
              <w:rPr>
                <w:rFonts w:ascii="宋体" w:hAnsi="宋体" w:cs="宋体" w:hint="eastAsia"/>
                <w:color w:val="000000"/>
                <w:kern w:val="0"/>
                <w:sz w:val="22"/>
                <w:szCs w:val="22"/>
                <w:lang/>
              </w:rPr>
              <w:t>可持续投资混合型证券投资基金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w:t>
            </w:r>
            <w:r>
              <w:rPr>
                <w:rFonts w:ascii="宋体" w:hAnsi="宋体" w:cs="宋体" w:hint="eastAsia"/>
                <w:color w:val="000000"/>
                <w:kern w:val="0"/>
                <w:sz w:val="22"/>
                <w:szCs w:val="22"/>
                <w:lang/>
              </w:rPr>
              <w:t>ESG</w:t>
            </w:r>
            <w:r>
              <w:rPr>
                <w:rFonts w:ascii="宋体" w:hAnsi="宋体" w:cs="宋体" w:hint="eastAsia"/>
                <w:color w:val="000000"/>
                <w:kern w:val="0"/>
                <w:sz w:val="22"/>
                <w:szCs w:val="22"/>
                <w:lang/>
              </w:rPr>
              <w:t>可持续投资混合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015103</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3</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东方红安鑫甄选一年持有期混合型证券投资基金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东方红安鑫甄选一年持有混合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008770</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4</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东方红产业升级灵活配置混合型证券投资基金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东方红产业升级混合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000619</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5</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东方红创新趋势混合型证券投资基金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东方红创新趋势混合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010699</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6</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东方红多元策略混合型证券投资基金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东方红多元策略混合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B</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010821</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7</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东方红多元策略混合型证券投资基金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东方红多元策略混合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017494</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8</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东方红沪港深灵活配置混合型证券投资基金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东方红沪港深混合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002803</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9</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东方红汇阳债券型证券投资基金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东方红汇阳债券</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002701</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10</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东方红汇阳债券</w:t>
            </w:r>
            <w:r>
              <w:rPr>
                <w:rFonts w:ascii="宋体" w:hAnsi="宋体" w:cs="宋体" w:hint="eastAsia"/>
                <w:color w:val="000000"/>
                <w:kern w:val="0"/>
                <w:sz w:val="22"/>
                <w:szCs w:val="22"/>
                <w:lang/>
              </w:rPr>
              <w:lastRenderedPageBreak/>
              <w:t>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lastRenderedPageBreak/>
              <w:t>东方红汇阳</w:t>
            </w:r>
            <w:r>
              <w:rPr>
                <w:rFonts w:ascii="宋体" w:hAnsi="宋体" w:cs="宋体" w:hint="eastAsia"/>
                <w:color w:val="000000"/>
                <w:kern w:val="0"/>
                <w:sz w:val="22"/>
                <w:szCs w:val="22"/>
                <w:lang/>
              </w:rPr>
              <w:lastRenderedPageBreak/>
              <w:t>债券</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lastRenderedPageBreak/>
              <w:t>C</w:t>
            </w:r>
            <w:r>
              <w:rPr>
                <w:rFonts w:ascii="宋体" w:hAnsi="宋体" w:cs="宋体" w:hint="eastAsia"/>
                <w:color w:val="000000"/>
                <w:kern w:val="0"/>
                <w:sz w:val="22"/>
                <w:szCs w:val="22"/>
                <w:lang/>
              </w:rPr>
              <w:t>类份</w:t>
            </w:r>
            <w:r>
              <w:rPr>
                <w:rFonts w:ascii="宋体" w:hAnsi="宋体" w:cs="宋体" w:hint="eastAsia"/>
                <w:color w:val="000000"/>
                <w:kern w:val="0"/>
                <w:sz w:val="22"/>
                <w:szCs w:val="22"/>
                <w:lang/>
              </w:rPr>
              <w:lastRenderedPageBreak/>
              <w:t>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lastRenderedPageBreak/>
              <w:t>002702</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lastRenderedPageBreak/>
              <w:t>11</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东方红价值精选混合型证券投资基金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东方红价值精选混合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002784</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w:t>
            </w:r>
            <w:r>
              <w:rPr>
                <w:rFonts w:ascii="宋体" w:hAnsi="宋体" w:cs="宋体" w:hint="eastAsia"/>
                <w:color w:val="000000"/>
                <w:kern w:val="0"/>
                <w:sz w:val="22"/>
                <w:szCs w:val="22"/>
                <w:lang/>
              </w:rPr>
              <w:t>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12</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东方红价值精选混合型证券投资基金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东方红价值精选混合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002783</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13</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东方红匠心甄选一年持有期混合型证券投资基金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东方红匠心甄选一年持有混合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008990</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14</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东方红锦和甄选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个月持有期混合型证券投资基金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东方红锦和甄选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012088</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15</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东方红锦和甄选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个月持有期混合型证券投资基金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东方红锦和甄选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012089</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16</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东方红锦弘甄选两年持有期混</w:t>
            </w:r>
            <w:r>
              <w:rPr>
                <w:rFonts w:ascii="宋体" w:hAnsi="宋体" w:cs="宋体" w:hint="eastAsia"/>
                <w:color w:val="000000"/>
                <w:kern w:val="0"/>
                <w:sz w:val="22"/>
                <w:szCs w:val="22"/>
                <w:lang/>
              </w:rPr>
              <w:t>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东方红锦弘甄选两年持有混合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014573</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17</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东方红锦融甄选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个月持有期混合型证券投资基金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东方红锦融甄选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014888</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18</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东方红锦融甄选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个月持有期混合型证券投资基金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东方红锦融甄选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014889</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19</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东方红领先精选灵活配置混合型证券投资基金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东方红领先精选混合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001202</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20</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东方红配置精选混合型证券投资基金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东方红配置精选混合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005974</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21</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东方红配置精选混合型证券投资基金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东方红配置精选混合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005975</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22</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东方红启东三年持有期混合型证券投资基金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东方红启东三年持有混合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008985</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23</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东方红启航三年持有期混合型证券投资基金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东方红启航三年持有混合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B</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010225</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lastRenderedPageBreak/>
              <w:t>24</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东方红启华三年持有期混合型证券投资基金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东方红启华三年持有混合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B</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011313</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25</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东方红启瑞三年持有期混合型证券投资基金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w:t>
            </w:r>
            <w:r>
              <w:rPr>
                <w:rFonts w:ascii="宋体" w:hAnsi="宋体" w:cs="宋体" w:hint="eastAsia"/>
                <w:color w:val="000000"/>
                <w:kern w:val="0"/>
                <w:sz w:val="22"/>
                <w:szCs w:val="22"/>
                <w:lang/>
              </w:rPr>
              <w:t>方红启瑞三年持有混合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B</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011312</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26</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东方红启盛三年持有期混合型证券投资基金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东方红启盛三年持有混合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B</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010442</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27</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东方红睿丰灵活配置混合型证券投资基金</w:t>
            </w:r>
            <w:r>
              <w:rPr>
                <w:rFonts w:ascii="宋体" w:hAnsi="宋体" w:cs="宋体" w:hint="eastAsia"/>
                <w:color w:val="000000"/>
                <w:kern w:val="0"/>
                <w:sz w:val="22"/>
                <w:szCs w:val="22"/>
                <w:lang/>
              </w:rPr>
              <w:t>(LOF)</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东方红睿丰混合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169101</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28</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东方红睿华沪港深灵活配置混合型证券投资基金</w:t>
            </w:r>
            <w:r>
              <w:rPr>
                <w:rFonts w:ascii="宋体" w:hAnsi="宋体" w:cs="宋体" w:hint="eastAsia"/>
                <w:color w:val="000000"/>
                <w:kern w:val="0"/>
                <w:sz w:val="22"/>
                <w:szCs w:val="22"/>
                <w:lang/>
              </w:rPr>
              <w:t>(LOF)</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东方红睿华沪港深混合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169105</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29</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东方红收益增强债券型证券投资基金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东方红收益增强债券</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001862</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30</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w:t>
            </w:r>
            <w:r>
              <w:rPr>
                <w:rFonts w:ascii="宋体" w:hAnsi="宋体" w:cs="宋体" w:hint="eastAsia"/>
                <w:color w:val="000000"/>
                <w:kern w:val="0"/>
                <w:sz w:val="22"/>
                <w:szCs w:val="22"/>
                <w:lang/>
              </w:rPr>
              <w:t>红收益增强债券型证券投资基金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东方红收益增强债券</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001863</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31</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东方红欣和平衡配置两年持有期混合型基金中基金</w:t>
            </w:r>
            <w:r>
              <w:rPr>
                <w:rFonts w:ascii="宋体" w:hAnsi="宋体" w:cs="宋体" w:hint="eastAsia"/>
                <w:color w:val="000000"/>
                <w:kern w:val="0"/>
                <w:sz w:val="22"/>
                <w:szCs w:val="22"/>
                <w:lang/>
              </w:rPr>
              <w:t>(FOF)</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东方红欣和平衡两年混合</w:t>
            </w:r>
            <w:r>
              <w:rPr>
                <w:rFonts w:ascii="宋体" w:hAnsi="宋体" w:cs="宋体" w:hint="eastAsia"/>
                <w:color w:val="000000"/>
                <w:kern w:val="0"/>
                <w:sz w:val="22"/>
                <w:szCs w:val="22"/>
                <w:lang/>
              </w:rPr>
              <w:t>(FOF)</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011587</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32</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东方红新动力灵活配置混合型证券投资基金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东方红新动力混合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017493</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33</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东方红养老目标日期</w:t>
            </w:r>
            <w:r>
              <w:rPr>
                <w:rFonts w:ascii="宋体" w:hAnsi="宋体" w:cs="宋体" w:hint="eastAsia"/>
                <w:color w:val="000000"/>
                <w:kern w:val="0"/>
                <w:sz w:val="22"/>
                <w:szCs w:val="22"/>
                <w:lang/>
              </w:rPr>
              <w:t>2045</w:t>
            </w:r>
            <w:r>
              <w:rPr>
                <w:rFonts w:ascii="宋体" w:hAnsi="宋体" w:cs="宋体" w:hint="eastAsia"/>
                <w:color w:val="000000"/>
                <w:kern w:val="0"/>
                <w:sz w:val="22"/>
                <w:szCs w:val="22"/>
                <w:lang/>
              </w:rPr>
              <w:t>五年持有期混合型发起式基金中基金</w:t>
            </w:r>
            <w:r>
              <w:rPr>
                <w:rFonts w:ascii="宋体" w:hAnsi="宋体" w:cs="宋体" w:hint="eastAsia"/>
                <w:color w:val="000000"/>
                <w:kern w:val="0"/>
                <w:sz w:val="22"/>
                <w:szCs w:val="22"/>
                <w:lang/>
              </w:rPr>
              <w:t>(FOF)</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东方红养老目标</w:t>
            </w:r>
            <w:r>
              <w:rPr>
                <w:rFonts w:ascii="宋体" w:hAnsi="宋体" w:cs="宋体" w:hint="eastAsia"/>
                <w:color w:val="000000"/>
                <w:kern w:val="0"/>
                <w:sz w:val="22"/>
                <w:szCs w:val="22"/>
                <w:lang/>
              </w:rPr>
              <w:t>2045</w:t>
            </w:r>
            <w:r>
              <w:rPr>
                <w:rFonts w:ascii="宋体" w:hAnsi="宋体" w:cs="宋体" w:hint="eastAsia"/>
                <w:color w:val="000000"/>
                <w:kern w:val="0"/>
                <w:sz w:val="22"/>
                <w:szCs w:val="22"/>
                <w:lang/>
              </w:rPr>
              <w:t>五年持有混合发起</w:t>
            </w:r>
            <w:r>
              <w:rPr>
                <w:rFonts w:ascii="宋体" w:hAnsi="宋体" w:cs="宋体" w:hint="eastAsia"/>
                <w:color w:val="000000"/>
                <w:kern w:val="0"/>
                <w:sz w:val="22"/>
                <w:szCs w:val="22"/>
                <w:lang/>
              </w:rPr>
              <w:t>(FOF)</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016242</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34</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东方红颐和积极</w:t>
            </w:r>
            <w:r>
              <w:rPr>
                <w:rFonts w:ascii="宋体" w:hAnsi="宋体" w:cs="宋体" w:hint="eastAsia"/>
                <w:color w:val="000000"/>
                <w:kern w:val="0"/>
                <w:sz w:val="22"/>
                <w:szCs w:val="22"/>
                <w:lang/>
              </w:rPr>
              <w:t>养老目标五年持有期混合型基金中基金</w:t>
            </w:r>
            <w:r>
              <w:rPr>
                <w:rFonts w:ascii="宋体" w:hAnsi="宋体" w:cs="宋体" w:hint="eastAsia"/>
                <w:color w:val="000000"/>
                <w:kern w:val="0"/>
                <w:sz w:val="22"/>
                <w:szCs w:val="22"/>
                <w:lang/>
              </w:rPr>
              <w:t>(FOF)</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东方红颐和积极养老五年</w:t>
            </w:r>
            <w:r>
              <w:rPr>
                <w:rFonts w:ascii="宋体" w:hAnsi="宋体" w:cs="宋体" w:hint="eastAsia"/>
                <w:color w:val="000000"/>
                <w:kern w:val="0"/>
                <w:sz w:val="22"/>
                <w:szCs w:val="22"/>
                <w:lang/>
              </w:rPr>
              <w:t>(FOF)</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009184</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35</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东方红颐和平衡养老目标三年持有期混合型基金中基金</w:t>
            </w:r>
            <w:r>
              <w:rPr>
                <w:rFonts w:ascii="宋体" w:hAnsi="宋体" w:cs="宋体" w:hint="eastAsia"/>
                <w:color w:val="000000"/>
                <w:kern w:val="0"/>
                <w:sz w:val="22"/>
                <w:szCs w:val="22"/>
                <w:lang/>
              </w:rPr>
              <w:t>(FOF)</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东方红颐和平衡养老三年</w:t>
            </w:r>
            <w:r>
              <w:rPr>
                <w:rFonts w:ascii="宋体" w:hAnsi="宋体" w:cs="宋体" w:hint="eastAsia"/>
                <w:color w:val="000000"/>
                <w:kern w:val="0"/>
                <w:sz w:val="22"/>
                <w:szCs w:val="22"/>
                <w:lang/>
              </w:rPr>
              <w:t>(FOF)</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009183</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36</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东方红颐和稳健养老目标两年持有期混合型基金中基金</w:t>
            </w:r>
            <w:r>
              <w:rPr>
                <w:rFonts w:ascii="宋体" w:hAnsi="宋体" w:cs="宋体" w:hint="eastAsia"/>
                <w:color w:val="000000"/>
                <w:kern w:val="0"/>
                <w:sz w:val="22"/>
                <w:szCs w:val="22"/>
                <w:lang/>
              </w:rPr>
              <w:t>(FOF)</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东方红颐和稳健养老两年</w:t>
            </w:r>
            <w:r>
              <w:rPr>
                <w:rFonts w:ascii="宋体" w:hAnsi="宋体" w:cs="宋体" w:hint="eastAsia"/>
                <w:color w:val="000000"/>
                <w:kern w:val="0"/>
                <w:sz w:val="22"/>
                <w:szCs w:val="22"/>
                <w:lang/>
              </w:rPr>
              <w:t>(FOF)</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009174</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37</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东方红益丰纯债债券型证券投资基金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东方红益丰纯债债券</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009670</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38</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w:t>
            </w:r>
            <w:r>
              <w:rPr>
                <w:rFonts w:ascii="宋体" w:hAnsi="宋体" w:cs="宋体" w:hint="eastAsia"/>
                <w:color w:val="000000"/>
                <w:kern w:val="0"/>
                <w:sz w:val="22"/>
                <w:szCs w:val="22"/>
                <w:lang/>
              </w:rPr>
              <w:t>红益鑫纯债债券型证券投资基金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东方红益鑫纯债债券</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003669</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39</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东方红益鑫纯债债券型证券投资基金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东方红益鑫纯债债券</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003668</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40</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东方红优势精选灵活配置混合型发起式证券投资基金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东方红优势精选混合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001712</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41</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东方红优享红利沪港深灵活配置混合型证券投资基金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东方红优享红利混合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003396</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42</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东方红优享红利沪港深灵活配置混合型证券投资基金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东方红优享红利混合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0175</w:t>
            </w:r>
            <w:r>
              <w:rPr>
                <w:rFonts w:ascii="宋体" w:hAnsi="宋体" w:cs="宋体" w:hint="eastAsia"/>
                <w:color w:val="000000"/>
                <w:kern w:val="0"/>
                <w:sz w:val="22"/>
                <w:szCs w:val="22"/>
                <w:lang/>
              </w:rPr>
              <w:t>36</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宋体" w:hint="eastAsia"/>
                <w:sz w:val="22"/>
                <w:szCs w:val="22"/>
              </w:rPr>
            </w:pPr>
            <w:r>
              <w:rPr>
                <w:rFonts w:ascii="宋体" w:hAnsi="宋体" w:cs="宋体" w:hint="eastAsia"/>
                <w:color w:val="000000"/>
                <w:kern w:val="0"/>
                <w:sz w:val="22"/>
                <w:szCs w:val="22"/>
                <w:lang/>
              </w:rPr>
              <w:t>43</w:t>
            </w:r>
          </w:p>
        </w:tc>
        <w:tc>
          <w:tcPr>
            <w:tcW w:w="1791"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东方红远见价值混合型证券投资基金</w:t>
            </w:r>
          </w:p>
        </w:tc>
        <w:tc>
          <w:tcPr>
            <w:tcW w:w="1463"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东方红远见价值混合</w:t>
            </w:r>
          </w:p>
        </w:tc>
        <w:tc>
          <w:tcPr>
            <w:tcW w:w="950"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sz w:val="22"/>
                <w:szCs w:val="22"/>
              </w:rPr>
            </w:pPr>
            <w:r>
              <w:rPr>
                <w:rFonts w:ascii="宋体" w:hAnsi="宋体" w:cs="宋体" w:hint="eastAsia"/>
                <w:color w:val="000000"/>
                <w:kern w:val="0"/>
                <w:sz w:val="22"/>
                <w:szCs w:val="22"/>
                <w:lang/>
              </w:rPr>
              <w:t>010714</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44</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东方红远见价值混合型证券投资基金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东方红远见价值混合</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017537</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45</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东方红战略精选沪港深混合型证券投资基金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东方红战略精选混合</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003044</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46</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东方红战略精选沪港深混合型证券投资基金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东方红战略精选混合</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003045</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47</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东方红招瑞甄选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个月持有期混合型证券投资基金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东方红招瑞甄选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个月持有混合</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012949</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48</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东方红招瑞甄选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个月持有期混合型证券投资基金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东方红招瑞甄选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个月持有混合</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012950</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49</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东方红招盈甄选一年持有期混合型证券投资基金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东方红招盈甄选一年持有混合</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009806</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50</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东方红招盈甄选一年持有期混合型证券投资基金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东方红招盈甄选一年持有混合</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009807</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51</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东方红智华三年持有期混合型证券投资基金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东方红智华三年持有混合</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01</w:t>
            </w:r>
            <w:r>
              <w:rPr>
                <w:rFonts w:ascii="宋体" w:hAnsi="宋体" w:cs="宋体" w:hint="eastAsia"/>
                <w:color w:val="000000"/>
                <w:kern w:val="0"/>
                <w:sz w:val="22"/>
                <w:szCs w:val="22"/>
                <w:lang/>
              </w:rPr>
              <w:t>2839</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52</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东方红智华三年持有期混合型证券投资基金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东方红智华三年持有混合</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012840</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53</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东方红智选三年持有期混合型证券投资基金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东方红智选三年持有混合</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013294</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54</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东方红智选三年持有期混合型证券投资基金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东方红智选三年持有混合</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013295</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55</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东方红智远三年持有期混合型证券投资基金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东方红智远三年持有混合</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009576</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56</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东方红中国优势灵活配置混合型证券投资</w:t>
            </w:r>
            <w:r>
              <w:rPr>
                <w:rFonts w:ascii="宋体" w:hAnsi="宋体" w:cs="宋体" w:hint="eastAsia"/>
                <w:color w:val="000000"/>
                <w:kern w:val="0"/>
                <w:sz w:val="22"/>
                <w:szCs w:val="22"/>
                <w:lang/>
              </w:rPr>
              <w:t>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东方红中国优势混合</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001112</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57</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东方红中证东方红红利低波动指数证券投资基金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东方红中证东方红红利低波动指数</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012708</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58</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东方红中证东方红红利低波动指数证券投资基金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东方红中证东方红红利低波动指数</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012709</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59</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东方红中证竞争力指数发起式证券投资基金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东方红中证竞争力指数</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007657</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tr w:rsidR="00000000">
        <w:tc>
          <w:tcPr>
            <w:tcW w:w="603" w:type="dxa"/>
            <w:vAlign w:val="center"/>
          </w:tcPr>
          <w:p w:rsidR="00000000" w:rsidRDefault="00B718F9">
            <w:pPr>
              <w:widowControl/>
              <w:jc w:val="righ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60</w:t>
            </w:r>
          </w:p>
        </w:tc>
        <w:tc>
          <w:tcPr>
            <w:tcW w:w="1791"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东方红中证竞争力指数发起式证券投资基金</w:t>
            </w:r>
          </w:p>
        </w:tc>
        <w:tc>
          <w:tcPr>
            <w:tcW w:w="1463"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东方红中证竞争力指数</w:t>
            </w:r>
          </w:p>
        </w:tc>
        <w:tc>
          <w:tcPr>
            <w:tcW w:w="950" w:type="dxa"/>
            <w:vAlign w:val="center"/>
          </w:tcPr>
          <w:p w:rsidR="00000000" w:rsidRDefault="00B718F9">
            <w:pPr>
              <w:widowControl/>
              <w:jc w:val="left"/>
              <w:textAlignment w:val="center"/>
              <w:rPr>
                <w:rFonts w:ascii="宋体" w:hAnsi="宋体" w:cs="Calibri"/>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427" w:type="dxa"/>
            <w:vAlign w:val="bottom"/>
          </w:tcPr>
          <w:p w:rsidR="00000000" w:rsidRDefault="00B718F9">
            <w:pPr>
              <w:widowControl/>
              <w:jc w:val="left"/>
              <w:textAlignment w:val="bottom"/>
              <w:rPr>
                <w:rFonts w:ascii="宋体" w:hAnsi="宋体" w:cs="宋体" w:hint="eastAsia"/>
                <w:color w:val="000000"/>
                <w:kern w:val="0"/>
                <w:sz w:val="22"/>
                <w:szCs w:val="22"/>
                <w:lang/>
              </w:rPr>
            </w:pPr>
            <w:r>
              <w:rPr>
                <w:rFonts w:ascii="宋体" w:hAnsi="宋体" w:cs="宋体" w:hint="eastAsia"/>
                <w:color w:val="000000"/>
                <w:kern w:val="0"/>
                <w:sz w:val="22"/>
                <w:szCs w:val="22"/>
                <w:lang/>
              </w:rPr>
              <w:t>007658</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元</w:t>
            </w:r>
          </w:p>
        </w:tc>
        <w:tc>
          <w:tcPr>
            <w:tcW w:w="1144" w:type="dxa"/>
            <w:vAlign w:val="center"/>
          </w:tcPr>
          <w:p w:rsidR="00000000" w:rsidRDefault="00B718F9">
            <w:pPr>
              <w:widowControl/>
              <w:jc w:val="left"/>
              <w:textAlignment w:val="center"/>
              <w:rPr>
                <w:rFonts w:ascii="宋体" w:hAnsi="宋体" w:cs="宋体" w:hint="eastAsia"/>
                <w:sz w:val="22"/>
                <w:szCs w:val="22"/>
              </w:rPr>
            </w:pPr>
            <w:r>
              <w:rPr>
                <w:rFonts w:ascii="宋体" w:hAnsi="宋体" w:cs="宋体" w:hint="eastAsia"/>
                <w:color w:val="000000"/>
                <w:kern w:val="0"/>
                <w:sz w:val="22"/>
                <w:szCs w:val="22"/>
                <w:lang/>
              </w:rPr>
              <w:t>无级差</w:t>
            </w:r>
          </w:p>
        </w:tc>
      </w:tr>
      <w:bookmarkEnd w:id="0"/>
    </w:tbl>
    <w:p w:rsidR="00000000" w:rsidRDefault="00B718F9">
      <w:pPr>
        <w:spacing w:line="360" w:lineRule="auto"/>
        <w:ind w:firstLineChars="200" w:firstLine="440"/>
        <w:rPr>
          <w:rFonts w:ascii="宋体" w:hAnsi="宋体" w:cs="宋体"/>
          <w:sz w:val="22"/>
          <w:szCs w:val="22"/>
        </w:rPr>
      </w:pPr>
    </w:p>
    <w:p w:rsidR="00000000" w:rsidRDefault="00B718F9">
      <w:pPr>
        <w:spacing w:line="360" w:lineRule="auto"/>
        <w:ind w:firstLineChars="200" w:firstLine="442"/>
        <w:rPr>
          <w:rFonts w:ascii="宋体" w:hAnsi="宋体" w:cs="宋体"/>
          <w:b/>
          <w:sz w:val="22"/>
          <w:szCs w:val="22"/>
        </w:rPr>
      </w:pPr>
      <w:r>
        <w:rPr>
          <w:rFonts w:ascii="宋体" w:hAnsi="宋体" w:cs="宋体" w:hint="eastAsia"/>
          <w:b/>
          <w:sz w:val="22"/>
          <w:szCs w:val="22"/>
        </w:rPr>
        <w:t>二、代销机构信息</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2835"/>
        <w:gridCol w:w="1985"/>
        <w:gridCol w:w="2885"/>
      </w:tblGrid>
      <w:tr w:rsidR="00000000">
        <w:tc>
          <w:tcPr>
            <w:tcW w:w="817" w:type="dxa"/>
          </w:tcPr>
          <w:p w:rsidR="00000000" w:rsidRDefault="00B718F9">
            <w:pPr>
              <w:spacing w:line="360" w:lineRule="auto"/>
              <w:rPr>
                <w:rFonts w:ascii="宋体" w:hAnsi="宋体" w:cs="宋体"/>
                <w:sz w:val="22"/>
                <w:szCs w:val="22"/>
              </w:rPr>
            </w:pPr>
            <w:r>
              <w:rPr>
                <w:rFonts w:ascii="宋体" w:hAnsi="宋体" w:cs="宋体" w:hint="eastAsia"/>
                <w:sz w:val="22"/>
                <w:szCs w:val="22"/>
              </w:rPr>
              <w:t>序号</w:t>
            </w:r>
          </w:p>
        </w:tc>
        <w:tc>
          <w:tcPr>
            <w:tcW w:w="2835" w:type="dxa"/>
          </w:tcPr>
          <w:p w:rsidR="00000000" w:rsidRDefault="00B718F9">
            <w:pPr>
              <w:spacing w:line="360" w:lineRule="auto"/>
              <w:rPr>
                <w:rFonts w:ascii="宋体" w:hAnsi="宋体" w:cs="宋体"/>
                <w:sz w:val="22"/>
                <w:szCs w:val="22"/>
              </w:rPr>
            </w:pPr>
            <w:r>
              <w:rPr>
                <w:rFonts w:ascii="宋体" w:hAnsi="宋体" w:cs="宋体" w:hint="eastAsia"/>
                <w:sz w:val="22"/>
                <w:szCs w:val="22"/>
              </w:rPr>
              <w:t>代销机构名称</w:t>
            </w:r>
          </w:p>
        </w:tc>
        <w:tc>
          <w:tcPr>
            <w:tcW w:w="1985" w:type="dxa"/>
          </w:tcPr>
          <w:p w:rsidR="00000000" w:rsidRDefault="00B718F9">
            <w:pPr>
              <w:spacing w:line="360" w:lineRule="auto"/>
              <w:rPr>
                <w:rFonts w:ascii="宋体" w:hAnsi="宋体" w:cs="宋体"/>
                <w:sz w:val="22"/>
                <w:szCs w:val="22"/>
              </w:rPr>
            </w:pPr>
            <w:r>
              <w:rPr>
                <w:rFonts w:ascii="宋体" w:hAnsi="宋体" w:cs="宋体" w:hint="eastAsia"/>
                <w:sz w:val="22"/>
                <w:szCs w:val="22"/>
              </w:rPr>
              <w:t>客户服务电话</w:t>
            </w:r>
          </w:p>
        </w:tc>
        <w:tc>
          <w:tcPr>
            <w:tcW w:w="2885" w:type="dxa"/>
          </w:tcPr>
          <w:p w:rsidR="00000000" w:rsidRDefault="00B718F9">
            <w:pPr>
              <w:spacing w:line="360" w:lineRule="auto"/>
              <w:rPr>
                <w:rFonts w:ascii="宋体" w:hAnsi="宋体" w:cs="宋体"/>
                <w:sz w:val="22"/>
                <w:szCs w:val="22"/>
              </w:rPr>
            </w:pPr>
            <w:r>
              <w:rPr>
                <w:rFonts w:ascii="宋体" w:hAnsi="宋体" w:cs="宋体" w:hint="eastAsia"/>
                <w:sz w:val="22"/>
                <w:szCs w:val="22"/>
              </w:rPr>
              <w:t>公司网站</w:t>
            </w:r>
          </w:p>
        </w:tc>
      </w:tr>
      <w:tr w:rsidR="00000000">
        <w:tc>
          <w:tcPr>
            <w:tcW w:w="817" w:type="dxa"/>
          </w:tcPr>
          <w:p w:rsidR="00000000" w:rsidRDefault="00B718F9">
            <w:pPr>
              <w:spacing w:line="360" w:lineRule="auto"/>
              <w:rPr>
                <w:rFonts w:ascii="宋体" w:hAnsi="宋体" w:cs="宋体"/>
                <w:sz w:val="22"/>
                <w:szCs w:val="22"/>
              </w:rPr>
            </w:pPr>
            <w:r>
              <w:rPr>
                <w:rFonts w:ascii="宋体" w:hAnsi="宋体" w:cs="宋体" w:hint="eastAsia"/>
                <w:sz w:val="22"/>
                <w:szCs w:val="22"/>
              </w:rPr>
              <w:t>1</w:t>
            </w:r>
          </w:p>
        </w:tc>
        <w:tc>
          <w:tcPr>
            <w:tcW w:w="2835" w:type="dxa"/>
          </w:tcPr>
          <w:p w:rsidR="00000000" w:rsidRDefault="00B718F9">
            <w:pPr>
              <w:spacing w:line="360" w:lineRule="auto"/>
              <w:rPr>
                <w:rFonts w:ascii="宋体" w:hAnsi="宋体" w:cs="宋体"/>
                <w:sz w:val="22"/>
                <w:szCs w:val="22"/>
              </w:rPr>
            </w:pPr>
            <w:r>
              <w:rPr>
                <w:rFonts w:ascii="宋体" w:hAnsi="宋体" w:cs="宋体" w:hint="eastAsia"/>
                <w:sz w:val="22"/>
                <w:szCs w:val="22"/>
              </w:rPr>
              <w:t>上海万得基金销售有限公司</w:t>
            </w:r>
          </w:p>
        </w:tc>
        <w:tc>
          <w:tcPr>
            <w:tcW w:w="1985" w:type="dxa"/>
          </w:tcPr>
          <w:p w:rsidR="00000000" w:rsidRDefault="00B718F9">
            <w:pPr>
              <w:spacing w:line="360" w:lineRule="auto"/>
              <w:rPr>
                <w:rFonts w:ascii="宋体" w:hAnsi="宋体" w:cs="宋体"/>
                <w:sz w:val="22"/>
                <w:szCs w:val="22"/>
              </w:rPr>
            </w:pPr>
            <w:r>
              <w:rPr>
                <w:rFonts w:ascii="宋体" w:hAnsi="宋体" w:cs="宋体" w:hint="eastAsia"/>
                <w:sz w:val="22"/>
                <w:szCs w:val="22"/>
              </w:rPr>
              <w:t>400-799-1888</w:t>
            </w:r>
          </w:p>
        </w:tc>
        <w:tc>
          <w:tcPr>
            <w:tcW w:w="2885" w:type="dxa"/>
          </w:tcPr>
          <w:p w:rsidR="00000000" w:rsidRDefault="00B718F9">
            <w:pPr>
              <w:spacing w:line="360" w:lineRule="auto"/>
              <w:rPr>
                <w:rFonts w:ascii="宋体" w:hAnsi="宋体" w:cs="宋体"/>
                <w:sz w:val="22"/>
                <w:szCs w:val="22"/>
              </w:rPr>
            </w:pPr>
            <w:r>
              <w:rPr>
                <w:rFonts w:ascii="宋体" w:hAnsi="宋体" w:cs="宋体" w:hint="eastAsia"/>
                <w:sz w:val="22"/>
                <w:szCs w:val="22"/>
              </w:rPr>
              <w:t>www.520fund.com.cn</w:t>
            </w:r>
          </w:p>
        </w:tc>
      </w:tr>
    </w:tbl>
    <w:p w:rsidR="00000000" w:rsidRDefault="00B718F9">
      <w:pPr>
        <w:spacing w:line="360" w:lineRule="auto"/>
        <w:outlineLvl w:val="0"/>
        <w:rPr>
          <w:rFonts w:ascii="宋体" w:hAnsi="宋体" w:cs="宋体" w:hint="eastAsia"/>
          <w:sz w:val="22"/>
          <w:szCs w:val="22"/>
        </w:rPr>
      </w:pPr>
    </w:p>
    <w:p w:rsidR="00000000" w:rsidRDefault="00B718F9">
      <w:pPr>
        <w:spacing w:line="360" w:lineRule="auto"/>
        <w:ind w:firstLineChars="200" w:firstLine="442"/>
        <w:outlineLvl w:val="0"/>
        <w:rPr>
          <w:rFonts w:ascii="宋体" w:hAnsi="宋体" w:cs="宋体"/>
          <w:b/>
          <w:sz w:val="22"/>
          <w:szCs w:val="22"/>
        </w:rPr>
      </w:pPr>
      <w:r>
        <w:rPr>
          <w:rFonts w:ascii="宋体" w:hAnsi="宋体" w:cs="宋体" w:hint="eastAsia"/>
          <w:b/>
          <w:sz w:val="22"/>
          <w:szCs w:val="22"/>
        </w:rPr>
        <w:t>三、业务类型</w:t>
      </w:r>
    </w:p>
    <w:p w:rsidR="00000000" w:rsidRDefault="00B718F9">
      <w:pPr>
        <w:spacing w:line="360" w:lineRule="auto"/>
        <w:ind w:firstLineChars="200" w:firstLine="440"/>
        <w:outlineLvl w:val="0"/>
        <w:rPr>
          <w:rFonts w:ascii="宋体" w:hAnsi="宋体" w:cs="宋体"/>
          <w:sz w:val="22"/>
          <w:szCs w:val="22"/>
        </w:rPr>
      </w:pPr>
      <w:r>
        <w:rPr>
          <w:rFonts w:ascii="宋体" w:hAnsi="宋体" w:cs="宋体" w:hint="eastAsia"/>
          <w:sz w:val="22"/>
          <w:szCs w:val="22"/>
        </w:rPr>
        <w:t>投资者可通过上述销售机构在开放日内办理相关基金的开户、申购、赎回、转换（如开通）、定期定额投资业务。具体业务办理时间及流程、代销机构的具体营业网点等信息请以代销机构业务规则为准。</w:t>
      </w:r>
    </w:p>
    <w:p w:rsidR="00000000" w:rsidRDefault="00B718F9">
      <w:pPr>
        <w:spacing w:line="360" w:lineRule="auto"/>
        <w:ind w:firstLineChars="200" w:firstLine="440"/>
        <w:outlineLvl w:val="0"/>
        <w:rPr>
          <w:rFonts w:ascii="宋体" w:hAnsi="宋体" w:cs="宋体"/>
          <w:sz w:val="22"/>
          <w:szCs w:val="22"/>
        </w:rPr>
      </w:pPr>
      <w:r>
        <w:rPr>
          <w:rFonts w:ascii="宋体" w:hAnsi="宋体" w:hint="eastAsia"/>
          <w:sz w:val="22"/>
          <w:szCs w:val="22"/>
        </w:rPr>
        <w:t>关于基金开放或暂停办理申购、赎回、限制大额申购等业务的具体情况请投资者以本公司最新业务公告为准。如基金设置锁定持有期则需在锁定持有期结束</w:t>
      </w:r>
      <w:r>
        <w:rPr>
          <w:rFonts w:ascii="宋体" w:hAnsi="宋体" w:hint="eastAsia"/>
          <w:sz w:val="22"/>
          <w:szCs w:val="22"/>
        </w:rPr>
        <w:t>后方可办理赎回业务。</w:t>
      </w:r>
    </w:p>
    <w:p w:rsidR="00000000" w:rsidRDefault="00B718F9">
      <w:pPr>
        <w:spacing w:line="360" w:lineRule="auto"/>
        <w:ind w:firstLineChars="200" w:firstLine="442"/>
        <w:outlineLvl w:val="0"/>
        <w:rPr>
          <w:rFonts w:ascii="宋体" w:hAnsi="宋体" w:cs="宋体" w:hint="eastAsia"/>
          <w:b/>
          <w:sz w:val="22"/>
          <w:szCs w:val="22"/>
        </w:rPr>
      </w:pPr>
    </w:p>
    <w:p w:rsidR="00000000" w:rsidRDefault="00B718F9">
      <w:pPr>
        <w:spacing w:line="360" w:lineRule="auto"/>
        <w:ind w:firstLineChars="200" w:firstLine="442"/>
        <w:outlineLvl w:val="0"/>
        <w:rPr>
          <w:rFonts w:ascii="宋体" w:hAnsi="宋体" w:cs="宋体" w:hint="eastAsia"/>
          <w:b/>
          <w:sz w:val="22"/>
          <w:szCs w:val="22"/>
        </w:rPr>
      </w:pPr>
      <w:r>
        <w:rPr>
          <w:rFonts w:ascii="宋体" w:hAnsi="宋体" w:cs="宋体" w:hint="eastAsia"/>
          <w:b/>
          <w:sz w:val="22"/>
          <w:szCs w:val="22"/>
        </w:rPr>
        <w:t>四、重要提示</w:t>
      </w:r>
    </w:p>
    <w:p w:rsidR="00000000" w:rsidRDefault="00B718F9">
      <w:pPr>
        <w:spacing w:line="360" w:lineRule="auto"/>
        <w:ind w:firstLineChars="200" w:firstLine="440"/>
        <w:outlineLvl w:val="0"/>
        <w:rPr>
          <w:rFonts w:ascii="宋体" w:hAnsi="宋体" w:cs="宋体" w:hint="eastAsia"/>
          <w:sz w:val="22"/>
          <w:szCs w:val="22"/>
        </w:rPr>
      </w:pPr>
      <w:r>
        <w:rPr>
          <w:rFonts w:ascii="宋体" w:hAnsi="宋体" w:cs="宋体" w:hint="eastAsia"/>
          <w:sz w:val="22"/>
          <w:szCs w:val="22"/>
        </w:rPr>
        <w:t>1</w:t>
      </w:r>
      <w:r>
        <w:rPr>
          <w:rFonts w:ascii="宋体" w:hAnsi="宋体" w:cs="宋体" w:hint="eastAsia"/>
          <w:sz w:val="22"/>
          <w:szCs w:val="22"/>
        </w:rPr>
        <w:t>、</w:t>
      </w:r>
      <w:r>
        <w:rPr>
          <w:rFonts w:ascii="宋体" w:hAnsi="宋体" w:hint="eastAsia"/>
          <w:sz w:val="22"/>
          <w:szCs w:val="22"/>
        </w:rPr>
        <w:t>关于相关基金的具体费率优惠活动解释权归销售机构所有。</w:t>
      </w:r>
    </w:p>
    <w:p w:rsidR="00000000" w:rsidRDefault="00B718F9">
      <w:pPr>
        <w:spacing w:line="360" w:lineRule="auto"/>
        <w:ind w:firstLineChars="200" w:firstLine="440"/>
        <w:outlineLvl w:val="0"/>
        <w:rPr>
          <w:rFonts w:ascii="宋体" w:hAnsi="宋体" w:cs="宋体" w:hint="eastAsia"/>
          <w:sz w:val="22"/>
          <w:szCs w:val="22"/>
        </w:rPr>
      </w:pPr>
      <w:r>
        <w:rPr>
          <w:rFonts w:ascii="宋体" w:hAnsi="宋体" w:cs="宋体"/>
          <w:sz w:val="22"/>
          <w:szCs w:val="22"/>
        </w:rPr>
        <w:t>2</w:t>
      </w:r>
      <w:r>
        <w:rPr>
          <w:rFonts w:ascii="宋体" w:hAnsi="宋体" w:cs="宋体" w:hint="eastAsia"/>
          <w:sz w:val="22"/>
          <w:szCs w:val="22"/>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风险等级相匹配的产品。</w:t>
      </w:r>
      <w:r>
        <w:rPr>
          <w:rFonts w:ascii="宋体" w:hAnsi="宋体" w:hint="eastAsia"/>
          <w:sz w:val="22"/>
          <w:szCs w:val="22"/>
        </w:rPr>
        <w:t>投资者应当充分了解基金定期定额投资和零存整取等储</w:t>
      </w:r>
      <w:r>
        <w:rPr>
          <w:rFonts w:ascii="宋体" w:hAnsi="宋体" w:hint="eastAsia"/>
          <w:sz w:val="22"/>
          <w:szCs w:val="22"/>
        </w:rPr>
        <w:t>蓄方式的区别。定期定额投资是引导投资者进行长期投资、平均投资成本的一种简单易行的投资方式。但是定期定额投资并不能规避基金投资所固有的风险，不能保证投资者获得收益，也不是替代储蓄的等效理财方式。本公告的解释权归上海东方证券资产管理有限公司所有。</w:t>
      </w:r>
    </w:p>
    <w:p w:rsidR="00000000" w:rsidRDefault="00B718F9">
      <w:pPr>
        <w:widowControl/>
        <w:spacing w:line="360" w:lineRule="auto"/>
        <w:ind w:firstLineChars="200" w:firstLine="440"/>
        <w:rPr>
          <w:rFonts w:ascii="宋体" w:hAnsi="宋体" w:cs="宋体"/>
          <w:sz w:val="22"/>
          <w:szCs w:val="22"/>
        </w:rPr>
      </w:pPr>
    </w:p>
    <w:p w:rsidR="00000000" w:rsidRDefault="00B718F9">
      <w:pPr>
        <w:widowControl/>
        <w:spacing w:line="360" w:lineRule="auto"/>
        <w:ind w:firstLineChars="200" w:firstLine="440"/>
        <w:rPr>
          <w:rFonts w:ascii="宋体" w:hAnsi="宋体" w:cs="宋体" w:hint="eastAsia"/>
          <w:sz w:val="22"/>
          <w:szCs w:val="22"/>
        </w:rPr>
      </w:pPr>
      <w:r>
        <w:rPr>
          <w:rFonts w:ascii="宋体" w:hAnsi="宋体" w:cs="宋体" w:hint="eastAsia"/>
          <w:sz w:val="22"/>
          <w:szCs w:val="22"/>
        </w:rPr>
        <w:t>特此公告。</w:t>
      </w:r>
    </w:p>
    <w:p w:rsidR="00000000" w:rsidRDefault="00B718F9">
      <w:pPr>
        <w:widowControl/>
        <w:spacing w:before="240" w:line="480" w:lineRule="auto"/>
        <w:ind w:firstLine="420"/>
        <w:jc w:val="right"/>
        <w:rPr>
          <w:rFonts w:ascii="宋体" w:hAnsi="宋体" w:cs="宋体" w:hint="eastAsia"/>
          <w:sz w:val="22"/>
          <w:szCs w:val="22"/>
        </w:rPr>
      </w:pPr>
      <w:r>
        <w:rPr>
          <w:rFonts w:ascii="宋体" w:hAnsi="宋体" w:cs="宋体" w:hint="eastAsia"/>
          <w:sz w:val="22"/>
          <w:szCs w:val="22"/>
        </w:rPr>
        <w:t>上海东方证券资产管理有限公司</w:t>
      </w:r>
    </w:p>
    <w:p w:rsidR="00000000" w:rsidRDefault="00B718F9">
      <w:pPr>
        <w:widowControl/>
        <w:spacing w:line="480" w:lineRule="auto"/>
        <w:ind w:firstLine="420"/>
        <w:jc w:val="right"/>
        <w:rPr>
          <w:rFonts w:ascii="宋体" w:hAnsi="宋体" w:cs="宋体" w:hint="eastAsia"/>
          <w:kern w:val="0"/>
          <w:sz w:val="22"/>
          <w:szCs w:val="22"/>
        </w:rPr>
      </w:pPr>
      <w:r>
        <w:rPr>
          <w:rFonts w:ascii="宋体" w:hAnsi="宋体" w:cs="宋体" w:hint="eastAsia"/>
          <w:sz w:val="22"/>
          <w:szCs w:val="22"/>
        </w:rPr>
        <w:t>2023</w:t>
      </w:r>
      <w:r>
        <w:rPr>
          <w:rFonts w:ascii="宋体" w:hAnsi="宋体" w:cs="宋体" w:hint="eastAsia"/>
          <w:sz w:val="22"/>
          <w:szCs w:val="22"/>
        </w:rPr>
        <w:t>年</w:t>
      </w:r>
      <w:r>
        <w:rPr>
          <w:rFonts w:ascii="宋体" w:hAnsi="宋体" w:cs="宋体" w:hint="eastAsia"/>
          <w:sz w:val="22"/>
          <w:szCs w:val="22"/>
        </w:rPr>
        <w:t>3</w:t>
      </w:r>
      <w:r>
        <w:rPr>
          <w:rFonts w:ascii="宋体" w:hAnsi="宋体" w:cs="宋体" w:hint="eastAsia"/>
          <w:sz w:val="22"/>
          <w:szCs w:val="22"/>
        </w:rPr>
        <w:t>月</w:t>
      </w:r>
      <w:r>
        <w:rPr>
          <w:rFonts w:ascii="宋体" w:hAnsi="宋体" w:cs="宋体" w:hint="eastAsia"/>
          <w:sz w:val="22"/>
          <w:szCs w:val="22"/>
        </w:rPr>
        <w:t>16</w:t>
      </w:r>
      <w:r>
        <w:rPr>
          <w:rFonts w:ascii="宋体" w:hAnsi="宋体" w:cs="宋体" w:hint="eastAsia"/>
          <w:sz w:val="22"/>
          <w:szCs w:val="22"/>
        </w:rPr>
        <w:t>日</w:t>
      </w:r>
    </w:p>
    <w:p w:rsidR="00000000" w:rsidRDefault="00B718F9"/>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718F9">
      <w:pPr>
        <w:rPr>
          <w:sz w:val="18"/>
        </w:rPr>
      </w:pPr>
    </w:p>
  </w:endnote>
  <w:endnote w:type="continuationSeparator" w:id="0">
    <w:p w:rsidR="00000000" w:rsidRDefault="00B718F9">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718F9">
      <w:pPr>
        <w:rPr>
          <w:sz w:val="18"/>
        </w:rPr>
      </w:pPr>
    </w:p>
  </w:footnote>
  <w:footnote w:type="continuationSeparator" w:id="0">
    <w:p w:rsidR="00000000" w:rsidRDefault="00B718F9">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502E5"/>
    <w:rsid w:val="0005049D"/>
    <w:rsid w:val="000663AE"/>
    <w:rsid w:val="00066C73"/>
    <w:rsid w:val="00085624"/>
    <w:rsid w:val="000903EE"/>
    <w:rsid w:val="00091294"/>
    <w:rsid w:val="000926D4"/>
    <w:rsid w:val="000A1020"/>
    <w:rsid w:val="000A280F"/>
    <w:rsid w:val="000A34CF"/>
    <w:rsid w:val="000A509F"/>
    <w:rsid w:val="000A5C20"/>
    <w:rsid w:val="000B48A0"/>
    <w:rsid w:val="000B5013"/>
    <w:rsid w:val="000B6A4F"/>
    <w:rsid w:val="000C3775"/>
    <w:rsid w:val="000D017F"/>
    <w:rsid w:val="000E087B"/>
    <w:rsid w:val="000E1139"/>
    <w:rsid w:val="000E174C"/>
    <w:rsid w:val="000E2A97"/>
    <w:rsid w:val="000E526A"/>
    <w:rsid w:val="000F18BC"/>
    <w:rsid w:val="000F6A65"/>
    <w:rsid w:val="0010115A"/>
    <w:rsid w:val="001132F1"/>
    <w:rsid w:val="00127461"/>
    <w:rsid w:val="00137252"/>
    <w:rsid w:val="00146020"/>
    <w:rsid w:val="00162BC8"/>
    <w:rsid w:val="0016487A"/>
    <w:rsid w:val="00165670"/>
    <w:rsid w:val="00174BA8"/>
    <w:rsid w:val="0018063B"/>
    <w:rsid w:val="0019285E"/>
    <w:rsid w:val="00195318"/>
    <w:rsid w:val="001960E3"/>
    <w:rsid w:val="0019614E"/>
    <w:rsid w:val="001A32D9"/>
    <w:rsid w:val="001C120F"/>
    <w:rsid w:val="001D15A5"/>
    <w:rsid w:val="001E33EB"/>
    <w:rsid w:val="0020012B"/>
    <w:rsid w:val="002024FF"/>
    <w:rsid w:val="0020333B"/>
    <w:rsid w:val="00211D64"/>
    <w:rsid w:val="00221854"/>
    <w:rsid w:val="00223721"/>
    <w:rsid w:val="0023608D"/>
    <w:rsid w:val="00242C8B"/>
    <w:rsid w:val="00243B25"/>
    <w:rsid w:val="00253E02"/>
    <w:rsid w:val="0025528E"/>
    <w:rsid w:val="0027237D"/>
    <w:rsid w:val="002A654E"/>
    <w:rsid w:val="002B58D7"/>
    <w:rsid w:val="002C5FAF"/>
    <w:rsid w:val="002D24C5"/>
    <w:rsid w:val="002D747F"/>
    <w:rsid w:val="002E0DD0"/>
    <w:rsid w:val="002F29BC"/>
    <w:rsid w:val="002F53C1"/>
    <w:rsid w:val="002F6406"/>
    <w:rsid w:val="00311027"/>
    <w:rsid w:val="00316C30"/>
    <w:rsid w:val="00320045"/>
    <w:rsid w:val="0033412F"/>
    <w:rsid w:val="0033710C"/>
    <w:rsid w:val="003426C4"/>
    <w:rsid w:val="00346129"/>
    <w:rsid w:val="0035116B"/>
    <w:rsid w:val="00351688"/>
    <w:rsid w:val="00354AC5"/>
    <w:rsid w:val="003622A5"/>
    <w:rsid w:val="00371B9F"/>
    <w:rsid w:val="00386DD2"/>
    <w:rsid w:val="00395A37"/>
    <w:rsid w:val="00397790"/>
    <w:rsid w:val="003B6016"/>
    <w:rsid w:val="003B681A"/>
    <w:rsid w:val="003C4A0E"/>
    <w:rsid w:val="003D6D80"/>
    <w:rsid w:val="003E0E72"/>
    <w:rsid w:val="003E2BBB"/>
    <w:rsid w:val="003F7FEE"/>
    <w:rsid w:val="00400B0C"/>
    <w:rsid w:val="00403C58"/>
    <w:rsid w:val="004171A4"/>
    <w:rsid w:val="0041774B"/>
    <w:rsid w:val="004321D9"/>
    <w:rsid w:val="00437B99"/>
    <w:rsid w:val="0044214F"/>
    <w:rsid w:val="00442B53"/>
    <w:rsid w:val="004434EC"/>
    <w:rsid w:val="00445B7B"/>
    <w:rsid w:val="00446CCB"/>
    <w:rsid w:val="00452656"/>
    <w:rsid w:val="004562E8"/>
    <w:rsid w:val="0046182E"/>
    <w:rsid w:val="004676A3"/>
    <w:rsid w:val="0048115A"/>
    <w:rsid w:val="00482412"/>
    <w:rsid w:val="00483763"/>
    <w:rsid w:val="004843B3"/>
    <w:rsid w:val="00485DFD"/>
    <w:rsid w:val="00486168"/>
    <w:rsid w:val="004863BB"/>
    <w:rsid w:val="00491092"/>
    <w:rsid w:val="004A11DB"/>
    <w:rsid w:val="004A64AA"/>
    <w:rsid w:val="004B10F7"/>
    <w:rsid w:val="004B3C08"/>
    <w:rsid w:val="004E2B65"/>
    <w:rsid w:val="004E3B0B"/>
    <w:rsid w:val="004E4527"/>
    <w:rsid w:val="004E7049"/>
    <w:rsid w:val="004F2722"/>
    <w:rsid w:val="004F41C6"/>
    <w:rsid w:val="004F59B9"/>
    <w:rsid w:val="00501E1E"/>
    <w:rsid w:val="00502F91"/>
    <w:rsid w:val="00513FE4"/>
    <w:rsid w:val="005145B0"/>
    <w:rsid w:val="00515A19"/>
    <w:rsid w:val="00530F10"/>
    <w:rsid w:val="00531BDA"/>
    <w:rsid w:val="0053792F"/>
    <w:rsid w:val="005452E9"/>
    <w:rsid w:val="005466E5"/>
    <w:rsid w:val="00556828"/>
    <w:rsid w:val="005606C7"/>
    <w:rsid w:val="0056152F"/>
    <w:rsid w:val="00564454"/>
    <w:rsid w:val="0056573C"/>
    <w:rsid w:val="00566F75"/>
    <w:rsid w:val="00573E4D"/>
    <w:rsid w:val="0059623D"/>
    <w:rsid w:val="005A6B5D"/>
    <w:rsid w:val="005B1751"/>
    <w:rsid w:val="005C32D6"/>
    <w:rsid w:val="005D647D"/>
    <w:rsid w:val="005D7B4E"/>
    <w:rsid w:val="005E2773"/>
    <w:rsid w:val="005E78A0"/>
    <w:rsid w:val="005F050D"/>
    <w:rsid w:val="00600BAE"/>
    <w:rsid w:val="00602370"/>
    <w:rsid w:val="00603C35"/>
    <w:rsid w:val="006055EE"/>
    <w:rsid w:val="0060789F"/>
    <w:rsid w:val="0061107B"/>
    <w:rsid w:val="00612C59"/>
    <w:rsid w:val="00613F4F"/>
    <w:rsid w:val="00614009"/>
    <w:rsid w:val="00615E90"/>
    <w:rsid w:val="00623DFA"/>
    <w:rsid w:val="0063029B"/>
    <w:rsid w:val="00631399"/>
    <w:rsid w:val="006319AE"/>
    <w:rsid w:val="00632E1C"/>
    <w:rsid w:val="00633134"/>
    <w:rsid w:val="00634728"/>
    <w:rsid w:val="00636AF7"/>
    <w:rsid w:val="00654D40"/>
    <w:rsid w:val="006553F7"/>
    <w:rsid w:val="00655532"/>
    <w:rsid w:val="00660A20"/>
    <w:rsid w:val="00662ECA"/>
    <w:rsid w:val="00665EBB"/>
    <w:rsid w:val="0067772B"/>
    <w:rsid w:val="00685FF5"/>
    <w:rsid w:val="00686823"/>
    <w:rsid w:val="006923A2"/>
    <w:rsid w:val="006A3F33"/>
    <w:rsid w:val="006B03EC"/>
    <w:rsid w:val="006B0BAE"/>
    <w:rsid w:val="006B677B"/>
    <w:rsid w:val="006B6D29"/>
    <w:rsid w:val="006C18FF"/>
    <w:rsid w:val="006C530C"/>
    <w:rsid w:val="006C711E"/>
    <w:rsid w:val="006D3468"/>
    <w:rsid w:val="006D4DE0"/>
    <w:rsid w:val="006E7685"/>
    <w:rsid w:val="006F736B"/>
    <w:rsid w:val="006F7F62"/>
    <w:rsid w:val="00700F6C"/>
    <w:rsid w:val="00707CC1"/>
    <w:rsid w:val="00712A2A"/>
    <w:rsid w:val="0071355E"/>
    <w:rsid w:val="00717CF9"/>
    <w:rsid w:val="00720EDF"/>
    <w:rsid w:val="007313C2"/>
    <w:rsid w:val="007349E3"/>
    <w:rsid w:val="0073707A"/>
    <w:rsid w:val="00743430"/>
    <w:rsid w:val="0075399B"/>
    <w:rsid w:val="00760218"/>
    <w:rsid w:val="0076050A"/>
    <w:rsid w:val="00771061"/>
    <w:rsid w:val="00782529"/>
    <w:rsid w:val="007851CB"/>
    <w:rsid w:val="007912B0"/>
    <w:rsid w:val="007A3B9F"/>
    <w:rsid w:val="007A7552"/>
    <w:rsid w:val="007C4531"/>
    <w:rsid w:val="007C6C4A"/>
    <w:rsid w:val="007D3BC4"/>
    <w:rsid w:val="007E4C27"/>
    <w:rsid w:val="007E5AC5"/>
    <w:rsid w:val="007E793C"/>
    <w:rsid w:val="007E7E23"/>
    <w:rsid w:val="007F1171"/>
    <w:rsid w:val="007F2176"/>
    <w:rsid w:val="007F3766"/>
    <w:rsid w:val="007F55C8"/>
    <w:rsid w:val="0081320D"/>
    <w:rsid w:val="00814006"/>
    <w:rsid w:val="00831184"/>
    <w:rsid w:val="008330BD"/>
    <w:rsid w:val="00835215"/>
    <w:rsid w:val="00845ADF"/>
    <w:rsid w:val="00854FF3"/>
    <w:rsid w:val="00856D30"/>
    <w:rsid w:val="008620BF"/>
    <w:rsid w:val="0086302D"/>
    <w:rsid w:val="00864450"/>
    <w:rsid w:val="00870D57"/>
    <w:rsid w:val="008763DE"/>
    <w:rsid w:val="00885E02"/>
    <w:rsid w:val="0089622C"/>
    <w:rsid w:val="008A52ED"/>
    <w:rsid w:val="008C2874"/>
    <w:rsid w:val="008E0854"/>
    <w:rsid w:val="008E4395"/>
    <w:rsid w:val="008E6DF8"/>
    <w:rsid w:val="008E798C"/>
    <w:rsid w:val="008E7C8A"/>
    <w:rsid w:val="008F06BF"/>
    <w:rsid w:val="009062E5"/>
    <w:rsid w:val="00906786"/>
    <w:rsid w:val="00912CD1"/>
    <w:rsid w:val="00934956"/>
    <w:rsid w:val="00934F62"/>
    <w:rsid w:val="009414F6"/>
    <w:rsid w:val="00945A75"/>
    <w:rsid w:val="00960C98"/>
    <w:rsid w:val="00965AAD"/>
    <w:rsid w:val="00966A88"/>
    <w:rsid w:val="00970B00"/>
    <w:rsid w:val="0097732C"/>
    <w:rsid w:val="009A04F0"/>
    <w:rsid w:val="009A0D61"/>
    <w:rsid w:val="009A1E0F"/>
    <w:rsid w:val="009A279A"/>
    <w:rsid w:val="009A47D5"/>
    <w:rsid w:val="009B42EA"/>
    <w:rsid w:val="009B7A73"/>
    <w:rsid w:val="009C4144"/>
    <w:rsid w:val="009D021C"/>
    <w:rsid w:val="009E6A88"/>
    <w:rsid w:val="00A02296"/>
    <w:rsid w:val="00A07358"/>
    <w:rsid w:val="00A26021"/>
    <w:rsid w:val="00A37C70"/>
    <w:rsid w:val="00A44CF9"/>
    <w:rsid w:val="00A44D3F"/>
    <w:rsid w:val="00A50062"/>
    <w:rsid w:val="00A5363B"/>
    <w:rsid w:val="00A548AB"/>
    <w:rsid w:val="00A55D74"/>
    <w:rsid w:val="00A601E3"/>
    <w:rsid w:val="00A61C42"/>
    <w:rsid w:val="00A62833"/>
    <w:rsid w:val="00A7075E"/>
    <w:rsid w:val="00A7096A"/>
    <w:rsid w:val="00A8467F"/>
    <w:rsid w:val="00A91E44"/>
    <w:rsid w:val="00A9449F"/>
    <w:rsid w:val="00AA0366"/>
    <w:rsid w:val="00AA2109"/>
    <w:rsid w:val="00AB3AFD"/>
    <w:rsid w:val="00AB560B"/>
    <w:rsid w:val="00AB5FDE"/>
    <w:rsid w:val="00AC0CAF"/>
    <w:rsid w:val="00AC0E6E"/>
    <w:rsid w:val="00AC4EBA"/>
    <w:rsid w:val="00AD283D"/>
    <w:rsid w:val="00AE056E"/>
    <w:rsid w:val="00AE1408"/>
    <w:rsid w:val="00AF5945"/>
    <w:rsid w:val="00B00968"/>
    <w:rsid w:val="00B1248D"/>
    <w:rsid w:val="00B179F0"/>
    <w:rsid w:val="00B2032C"/>
    <w:rsid w:val="00B24641"/>
    <w:rsid w:val="00B24910"/>
    <w:rsid w:val="00B31AC5"/>
    <w:rsid w:val="00B43610"/>
    <w:rsid w:val="00B47D6C"/>
    <w:rsid w:val="00B60510"/>
    <w:rsid w:val="00B645AE"/>
    <w:rsid w:val="00B64A83"/>
    <w:rsid w:val="00B67105"/>
    <w:rsid w:val="00B718F9"/>
    <w:rsid w:val="00B8395E"/>
    <w:rsid w:val="00B9184F"/>
    <w:rsid w:val="00B95345"/>
    <w:rsid w:val="00B9646C"/>
    <w:rsid w:val="00BA5F3B"/>
    <w:rsid w:val="00BA7EAA"/>
    <w:rsid w:val="00BB0199"/>
    <w:rsid w:val="00BB020C"/>
    <w:rsid w:val="00BB241F"/>
    <w:rsid w:val="00BC17E7"/>
    <w:rsid w:val="00BC24AC"/>
    <w:rsid w:val="00BC6B5E"/>
    <w:rsid w:val="00BC7F28"/>
    <w:rsid w:val="00BD613F"/>
    <w:rsid w:val="00BD660D"/>
    <w:rsid w:val="00BD7130"/>
    <w:rsid w:val="00BE45A7"/>
    <w:rsid w:val="00BE4F2E"/>
    <w:rsid w:val="00BE7EE0"/>
    <w:rsid w:val="00C22EC8"/>
    <w:rsid w:val="00C260F2"/>
    <w:rsid w:val="00C3288A"/>
    <w:rsid w:val="00C35C78"/>
    <w:rsid w:val="00C44E33"/>
    <w:rsid w:val="00C502CE"/>
    <w:rsid w:val="00C55A33"/>
    <w:rsid w:val="00C6270F"/>
    <w:rsid w:val="00C653CF"/>
    <w:rsid w:val="00C75E54"/>
    <w:rsid w:val="00C818FA"/>
    <w:rsid w:val="00C91380"/>
    <w:rsid w:val="00C94F1E"/>
    <w:rsid w:val="00C97043"/>
    <w:rsid w:val="00CA118F"/>
    <w:rsid w:val="00CA5EA5"/>
    <w:rsid w:val="00CB4741"/>
    <w:rsid w:val="00CB731D"/>
    <w:rsid w:val="00CC3BE9"/>
    <w:rsid w:val="00CD3859"/>
    <w:rsid w:val="00CE11EE"/>
    <w:rsid w:val="00CE6E9E"/>
    <w:rsid w:val="00CF0F83"/>
    <w:rsid w:val="00CF2CA7"/>
    <w:rsid w:val="00CF303A"/>
    <w:rsid w:val="00D058BA"/>
    <w:rsid w:val="00D10185"/>
    <w:rsid w:val="00D115F9"/>
    <w:rsid w:val="00D1178F"/>
    <w:rsid w:val="00D17759"/>
    <w:rsid w:val="00D17A4A"/>
    <w:rsid w:val="00D2453A"/>
    <w:rsid w:val="00D32FF8"/>
    <w:rsid w:val="00D35F4F"/>
    <w:rsid w:val="00D37C73"/>
    <w:rsid w:val="00D50BBB"/>
    <w:rsid w:val="00D565EE"/>
    <w:rsid w:val="00D57A2C"/>
    <w:rsid w:val="00D605E9"/>
    <w:rsid w:val="00D65BC9"/>
    <w:rsid w:val="00D67E30"/>
    <w:rsid w:val="00D70683"/>
    <w:rsid w:val="00D742D5"/>
    <w:rsid w:val="00D8059E"/>
    <w:rsid w:val="00D91C84"/>
    <w:rsid w:val="00DB0AC1"/>
    <w:rsid w:val="00DB37CB"/>
    <w:rsid w:val="00DB6737"/>
    <w:rsid w:val="00DC062F"/>
    <w:rsid w:val="00DC69C4"/>
    <w:rsid w:val="00DD475D"/>
    <w:rsid w:val="00DE06AE"/>
    <w:rsid w:val="00DE087E"/>
    <w:rsid w:val="00DE1125"/>
    <w:rsid w:val="00DE59B7"/>
    <w:rsid w:val="00DF5891"/>
    <w:rsid w:val="00E0402E"/>
    <w:rsid w:val="00E054BB"/>
    <w:rsid w:val="00E10516"/>
    <w:rsid w:val="00E26F6D"/>
    <w:rsid w:val="00E27C56"/>
    <w:rsid w:val="00E31A70"/>
    <w:rsid w:val="00E347C7"/>
    <w:rsid w:val="00E374C5"/>
    <w:rsid w:val="00E4288F"/>
    <w:rsid w:val="00E65290"/>
    <w:rsid w:val="00E71966"/>
    <w:rsid w:val="00E729BF"/>
    <w:rsid w:val="00E83DC9"/>
    <w:rsid w:val="00E86C14"/>
    <w:rsid w:val="00E90C98"/>
    <w:rsid w:val="00E96F26"/>
    <w:rsid w:val="00EA3567"/>
    <w:rsid w:val="00EA66CD"/>
    <w:rsid w:val="00ED3AF2"/>
    <w:rsid w:val="00EE31F2"/>
    <w:rsid w:val="00EF27A7"/>
    <w:rsid w:val="00EF5719"/>
    <w:rsid w:val="00EF6A39"/>
    <w:rsid w:val="00F16054"/>
    <w:rsid w:val="00F16412"/>
    <w:rsid w:val="00F16BF0"/>
    <w:rsid w:val="00F26A4D"/>
    <w:rsid w:val="00F31E88"/>
    <w:rsid w:val="00F35925"/>
    <w:rsid w:val="00F36DAE"/>
    <w:rsid w:val="00F3739A"/>
    <w:rsid w:val="00F43A75"/>
    <w:rsid w:val="00F44377"/>
    <w:rsid w:val="00F444F7"/>
    <w:rsid w:val="00F448B0"/>
    <w:rsid w:val="00F46B6E"/>
    <w:rsid w:val="00F5474B"/>
    <w:rsid w:val="00F57FD5"/>
    <w:rsid w:val="00F6072D"/>
    <w:rsid w:val="00F807B3"/>
    <w:rsid w:val="00F812A3"/>
    <w:rsid w:val="00F82AAA"/>
    <w:rsid w:val="00F96116"/>
    <w:rsid w:val="00F97D4D"/>
    <w:rsid w:val="00FA2E4E"/>
    <w:rsid w:val="00FB1B7F"/>
    <w:rsid w:val="00FB206F"/>
    <w:rsid w:val="00FB6453"/>
    <w:rsid w:val="00FC448D"/>
    <w:rsid w:val="00FD0873"/>
    <w:rsid w:val="00FD12C1"/>
    <w:rsid w:val="00FE6196"/>
    <w:rsid w:val="00FF6CD0"/>
    <w:rsid w:val="05EE6933"/>
    <w:rsid w:val="06555691"/>
    <w:rsid w:val="1ABB5B47"/>
    <w:rsid w:val="1FB3348F"/>
    <w:rsid w:val="2EDF4083"/>
    <w:rsid w:val="32A65066"/>
    <w:rsid w:val="39BF1645"/>
    <w:rsid w:val="39FC1167"/>
    <w:rsid w:val="3EC45E0D"/>
    <w:rsid w:val="4DBC36A4"/>
    <w:rsid w:val="629244BE"/>
    <w:rsid w:val="64DD326A"/>
    <w:rsid w:val="652333F0"/>
    <w:rsid w:val="67CD2E07"/>
    <w:rsid w:val="697B4A9B"/>
    <w:rsid w:val="6A43058D"/>
    <w:rsid w:val="74F7640D"/>
    <w:rsid w:val="764C26F2"/>
    <w:rsid w:val="76E809BF"/>
    <w:rsid w:val="773E0E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宋体" w:hAnsi="宋体" w:cs="宋体"/>
      <w:kern w:val="36"/>
      <w:sz w:val="24"/>
      <w:szCs w:val="24"/>
    </w:rPr>
  </w:style>
  <w:style w:type="paragraph" w:styleId="a3">
    <w:name w:val="annotation text"/>
    <w:basedOn w:val="a"/>
    <w:link w:val="Char"/>
    <w:uiPriority w:val="99"/>
    <w:unhideWhenUsed/>
    <w:pPr>
      <w:jc w:val="left"/>
    </w:pPr>
  </w:style>
  <w:style w:type="character" w:customStyle="1" w:styleId="Char">
    <w:name w:val="批注文字 Char"/>
    <w:link w:val="a3"/>
    <w:uiPriority w:val="99"/>
    <w:rPr>
      <w:kern w:val="2"/>
      <w:sz w:val="21"/>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kern w:val="2"/>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1"/>
    <w:uiPriority w:val="99"/>
    <w:unhideWhenUsed/>
    <w:rPr>
      <w:b/>
      <w:bCs/>
    </w:rPr>
  </w:style>
  <w:style w:type="character" w:customStyle="1" w:styleId="Char1">
    <w:name w:val="批注主题 Char"/>
    <w:link w:val="a8"/>
    <w:uiPriority w:val="99"/>
    <w:semiHidden/>
    <w:rPr>
      <w:b/>
      <w:bCs/>
      <w:kern w:val="2"/>
      <w:sz w:val="21"/>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uiPriority w:val="20"/>
    <w:qFormat/>
    <w:rPr>
      <w:i/>
      <w:iCs/>
    </w:rPr>
  </w:style>
  <w:style w:type="character" w:styleId="ab">
    <w:name w:val="Hyperlink"/>
    <w:uiPriority w:val="99"/>
    <w:unhideWhenUsed/>
    <w:rPr>
      <w:strike w:val="0"/>
      <w:dstrike w:val="0"/>
      <w:color w:val="0000FF"/>
      <w:u w:val="none"/>
    </w:rPr>
  </w:style>
  <w:style w:type="character" w:styleId="ac">
    <w:name w:val="annotation reference"/>
    <w:uiPriority w:val="99"/>
    <w:unhideWhenUsed/>
    <w:rPr>
      <w:sz w:val="21"/>
      <w:szCs w:val="21"/>
    </w:rPr>
  </w:style>
  <w:style w:type="character" w:customStyle="1" w:styleId="apple-converted-space">
    <w:name w:val="apple-converted-space"/>
  </w:style>
  <w:style w:type="character" w:customStyle="1" w:styleId="font">
    <w:name w:val="font"/>
  </w:style>
  <w:style w:type="paragraph" w:styleId="ad">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e">
    <w:name w:val="No Spacing"/>
    <w:uiPriority w:val="1"/>
    <w:qFormat/>
    <w:pPr>
      <w:widowControl w:val="0"/>
      <w:jc w:val="both"/>
    </w:pPr>
    <w:rPr>
      <w:kern w:val="2"/>
      <w:sz w:val="21"/>
    </w:rPr>
  </w:style>
  <w:style w:type="character" w:customStyle="1" w:styleId="af">
    <w:name w:val="未处理的提及"/>
    <w:uiPriority w:val="99"/>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3618</Characters>
  <Application>Microsoft Office Word</Application>
  <DocSecurity>4</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2023-03-15T16:00:00Z</dcterms:created>
  <dcterms:modified xsi:type="dcterms:W3CDTF">2023-03-15T16:00:00Z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32C4A27687124840A6C242BEC102DBC4</vt:lpwstr>
  </property>
</Properties>
</file>