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B7468">
      <w:pPr>
        <w:widowControl/>
        <w:spacing w:line="360" w:lineRule="auto"/>
        <w:jc w:val="center"/>
        <w:outlineLvl w:val="0"/>
        <w:rPr>
          <w:rFonts w:ascii="宋体" w:hAnsi="宋体" w:cs="Arial"/>
          <w:b/>
          <w:kern w:val="36"/>
          <w:sz w:val="30"/>
          <w:szCs w:val="30"/>
        </w:rPr>
      </w:pPr>
      <w:r>
        <w:rPr>
          <w:rFonts w:ascii="宋体" w:hAnsi="宋体" w:cs="Arial" w:hint="eastAsia"/>
          <w:b/>
          <w:kern w:val="36"/>
          <w:sz w:val="30"/>
          <w:szCs w:val="30"/>
        </w:rPr>
        <w:t>上海东方证券资产管理有限公司</w:t>
      </w:r>
    </w:p>
    <w:p w:rsidR="00000000" w:rsidRDefault="005B7468">
      <w:pPr>
        <w:widowControl/>
        <w:spacing w:line="360" w:lineRule="auto"/>
        <w:jc w:val="center"/>
        <w:outlineLvl w:val="0"/>
        <w:rPr>
          <w:rFonts w:ascii="宋体" w:hAnsi="宋体" w:cs="Arial"/>
          <w:b/>
          <w:kern w:val="36"/>
          <w:sz w:val="30"/>
          <w:szCs w:val="30"/>
        </w:rPr>
      </w:pPr>
      <w:r>
        <w:rPr>
          <w:rFonts w:ascii="宋体" w:hAnsi="宋体" w:cs="Arial" w:hint="eastAsia"/>
          <w:b/>
          <w:kern w:val="36"/>
          <w:sz w:val="30"/>
          <w:szCs w:val="30"/>
        </w:rPr>
        <w:t>关于部分基金增加代理销售机构</w:t>
      </w:r>
      <w:r>
        <w:rPr>
          <w:rFonts w:ascii="宋体" w:hAnsi="宋体" w:cs="Arial"/>
          <w:b/>
          <w:kern w:val="36"/>
          <w:sz w:val="30"/>
          <w:szCs w:val="30"/>
        </w:rPr>
        <w:t>的公告</w:t>
      </w:r>
    </w:p>
    <w:p w:rsidR="00000000" w:rsidRDefault="005B7468">
      <w:pPr>
        <w:widowControl/>
        <w:spacing w:line="360" w:lineRule="auto"/>
        <w:jc w:val="center"/>
        <w:outlineLvl w:val="0"/>
        <w:rPr>
          <w:rFonts w:ascii="Arial" w:hAnsi="Arial" w:cs="Arial" w:hint="eastAsia"/>
          <w:b/>
          <w:kern w:val="36"/>
          <w:sz w:val="30"/>
          <w:szCs w:val="30"/>
        </w:rPr>
      </w:pPr>
    </w:p>
    <w:p w:rsidR="00000000" w:rsidRDefault="005B7468">
      <w:pPr>
        <w:spacing w:line="360" w:lineRule="auto"/>
        <w:ind w:firstLineChars="200" w:firstLine="480"/>
        <w:rPr>
          <w:rFonts w:ascii="宋体" w:hAnsi="宋体" w:cs="宋体"/>
          <w:sz w:val="24"/>
          <w:szCs w:val="24"/>
        </w:rPr>
      </w:pPr>
      <w:r>
        <w:rPr>
          <w:rFonts w:ascii="宋体" w:hAnsi="宋体" w:cs="宋体" w:hint="eastAsia"/>
          <w:sz w:val="24"/>
          <w:szCs w:val="24"/>
        </w:rPr>
        <w:t>上海东方证券资产管理有限公司（以下简称本公司）经与相关基金销售机构协商一致，自</w:t>
      </w: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23</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hint="eastAsia"/>
          <w:sz w:val="24"/>
          <w:szCs w:val="24"/>
        </w:rPr>
        <w:t>8</w:t>
      </w:r>
      <w:r>
        <w:rPr>
          <w:rFonts w:ascii="宋体" w:hAnsi="宋体" w:cs="宋体" w:hint="eastAsia"/>
          <w:sz w:val="24"/>
          <w:szCs w:val="24"/>
        </w:rPr>
        <w:t>日（含）起，下列基金增加相关基金销售机构为代理销售机构，并开通在相关基金销售机构的定期定额投资业务，现将相关事项公告如下：</w:t>
      </w:r>
    </w:p>
    <w:p w:rsidR="00000000" w:rsidRDefault="005B7468">
      <w:pPr>
        <w:spacing w:line="360" w:lineRule="auto"/>
        <w:ind w:firstLineChars="200" w:firstLine="482"/>
        <w:rPr>
          <w:rFonts w:ascii="宋体" w:hAnsi="宋体" w:cs="宋体"/>
          <w:b/>
          <w:sz w:val="24"/>
          <w:szCs w:val="24"/>
        </w:rPr>
      </w:pPr>
      <w:r>
        <w:rPr>
          <w:rFonts w:ascii="宋体" w:hAnsi="宋体" w:cs="宋体" w:hint="eastAsia"/>
          <w:b/>
          <w:sz w:val="24"/>
          <w:szCs w:val="24"/>
        </w:rPr>
        <w:t>一、基金列表及定投业务规则</w:t>
      </w:r>
    </w:p>
    <w:tbl>
      <w:tblPr>
        <w:tblW w:w="9673" w:type="dxa"/>
        <w:tblInd w:w="-566" w:type="dxa"/>
        <w:tblLayout w:type="fixed"/>
        <w:tblLook w:val="0000"/>
      </w:tblPr>
      <w:tblGrid>
        <w:gridCol w:w="587"/>
        <w:gridCol w:w="2535"/>
        <w:gridCol w:w="2178"/>
        <w:gridCol w:w="1186"/>
        <w:gridCol w:w="1144"/>
        <w:gridCol w:w="993"/>
        <w:gridCol w:w="1050"/>
      </w:tblGrid>
      <w:tr w:rsidR="00000000">
        <w:trPr>
          <w:trHeight w:val="285"/>
        </w:trPr>
        <w:tc>
          <w:tcPr>
            <w:tcW w:w="587" w:type="dxa"/>
            <w:tcBorders>
              <w:top w:val="single" w:sz="4" w:space="0" w:color="000000"/>
              <w:left w:val="single" w:sz="4" w:space="0" w:color="000000"/>
              <w:bottom w:val="single" w:sz="4" w:space="0" w:color="000000"/>
              <w:right w:val="single" w:sz="4" w:space="0" w:color="000000"/>
            </w:tcBorders>
            <w:noWrap/>
            <w:vAlign w:val="center"/>
          </w:tcPr>
          <w:p w:rsidR="00000000" w:rsidRDefault="005B7468">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序号</w:t>
            </w:r>
          </w:p>
        </w:tc>
        <w:tc>
          <w:tcPr>
            <w:tcW w:w="2535" w:type="dxa"/>
            <w:tcBorders>
              <w:top w:val="single" w:sz="4" w:space="0" w:color="000000"/>
              <w:left w:val="single" w:sz="4" w:space="0" w:color="000000"/>
              <w:bottom w:val="single" w:sz="4" w:space="0" w:color="auto"/>
              <w:right w:val="single" w:sz="4" w:space="0" w:color="000000"/>
            </w:tcBorders>
            <w:noWrap/>
            <w:vAlign w:val="center"/>
          </w:tcPr>
          <w:p w:rsidR="00000000" w:rsidRDefault="005B7468">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产品名称</w:t>
            </w:r>
          </w:p>
        </w:tc>
        <w:tc>
          <w:tcPr>
            <w:tcW w:w="2178" w:type="dxa"/>
            <w:tcBorders>
              <w:top w:val="single" w:sz="4" w:space="0" w:color="000000"/>
              <w:left w:val="single" w:sz="4" w:space="0" w:color="000000"/>
              <w:bottom w:val="single" w:sz="4" w:space="0" w:color="auto"/>
              <w:right w:val="single" w:sz="4" w:space="0" w:color="000000"/>
            </w:tcBorders>
            <w:noWrap/>
            <w:vAlign w:val="center"/>
          </w:tcPr>
          <w:p w:rsidR="00000000" w:rsidRDefault="005B7468">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基金简称</w:t>
            </w:r>
          </w:p>
        </w:tc>
        <w:tc>
          <w:tcPr>
            <w:tcW w:w="1186" w:type="dxa"/>
            <w:tcBorders>
              <w:top w:val="single" w:sz="4" w:space="0" w:color="000000"/>
              <w:left w:val="single" w:sz="4" w:space="0" w:color="000000"/>
              <w:bottom w:val="single" w:sz="4" w:space="0" w:color="auto"/>
              <w:right w:val="single" w:sz="4" w:space="0" w:color="000000"/>
            </w:tcBorders>
            <w:noWrap/>
            <w:vAlign w:val="center"/>
          </w:tcPr>
          <w:p w:rsidR="00000000" w:rsidRDefault="005B7468">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份额类别</w:t>
            </w:r>
          </w:p>
        </w:tc>
        <w:tc>
          <w:tcPr>
            <w:tcW w:w="1144" w:type="dxa"/>
            <w:tcBorders>
              <w:top w:val="single" w:sz="4" w:space="0" w:color="000000"/>
              <w:left w:val="single" w:sz="4" w:space="0" w:color="000000"/>
              <w:bottom w:val="single" w:sz="4" w:space="0" w:color="auto"/>
              <w:right w:val="single" w:sz="4" w:space="0" w:color="000000"/>
            </w:tcBorders>
            <w:noWrap/>
            <w:vAlign w:val="center"/>
          </w:tcPr>
          <w:p w:rsidR="00000000" w:rsidRDefault="005B7468">
            <w:pPr>
              <w:widowControl/>
              <w:jc w:val="center"/>
              <w:textAlignment w:val="center"/>
              <w:rPr>
                <w:rFonts w:ascii="宋体" w:hAnsi="宋体" w:cs="宋体" w:hint="eastAsia"/>
                <w:color w:val="000000"/>
                <w:sz w:val="24"/>
                <w:szCs w:val="24"/>
              </w:rPr>
            </w:pPr>
            <w:r>
              <w:rPr>
                <w:rFonts w:ascii="宋体" w:hAnsi="宋体" w:cs="宋体" w:hint="eastAsia"/>
                <w:b/>
                <w:bCs/>
                <w:color w:val="000000"/>
                <w:kern w:val="0"/>
                <w:sz w:val="24"/>
                <w:szCs w:val="24"/>
                <w:lang/>
              </w:rPr>
              <w:t>基金代码</w:t>
            </w:r>
          </w:p>
        </w:tc>
        <w:tc>
          <w:tcPr>
            <w:tcW w:w="993" w:type="dxa"/>
            <w:tcBorders>
              <w:top w:val="single" w:sz="4" w:space="0" w:color="000000"/>
              <w:left w:val="single" w:sz="4" w:space="0" w:color="000000"/>
              <w:bottom w:val="single" w:sz="4" w:space="0" w:color="auto"/>
              <w:right w:val="single" w:sz="4" w:space="0" w:color="000000"/>
            </w:tcBorders>
            <w:noWrap/>
            <w:vAlign w:val="center"/>
          </w:tcPr>
          <w:p w:rsidR="00000000" w:rsidRDefault="005B7468">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定投起点金额</w:t>
            </w:r>
          </w:p>
        </w:tc>
        <w:tc>
          <w:tcPr>
            <w:tcW w:w="1050" w:type="dxa"/>
            <w:tcBorders>
              <w:top w:val="single" w:sz="4" w:space="0" w:color="000000"/>
              <w:left w:val="single" w:sz="4" w:space="0" w:color="000000"/>
              <w:bottom w:val="single" w:sz="4" w:space="0" w:color="auto"/>
              <w:right w:val="single" w:sz="4" w:space="0" w:color="000000"/>
            </w:tcBorders>
            <w:noWrap/>
            <w:vAlign w:val="center"/>
          </w:tcPr>
          <w:p w:rsidR="00000000" w:rsidRDefault="005B7468">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是否有级差</w:t>
            </w:r>
          </w:p>
        </w:tc>
      </w:tr>
      <w:tr w:rsidR="00000000">
        <w:trPr>
          <w:trHeight w:val="285"/>
        </w:trPr>
        <w:tc>
          <w:tcPr>
            <w:tcW w:w="587" w:type="dxa"/>
            <w:tcBorders>
              <w:top w:val="single" w:sz="4" w:space="0" w:color="000000"/>
              <w:left w:val="single" w:sz="4" w:space="0" w:color="000000"/>
              <w:bottom w:val="single" w:sz="4" w:space="0" w:color="000000"/>
              <w:right w:val="single" w:sz="4" w:space="0" w:color="auto"/>
            </w:tcBorders>
            <w:noWrap/>
            <w:vAlign w:val="center"/>
          </w:tcPr>
          <w:p w:rsidR="00000000" w:rsidRDefault="005B7468">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1</w:t>
            </w:r>
          </w:p>
        </w:tc>
        <w:tc>
          <w:tcPr>
            <w:tcW w:w="2535"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东方红医疗升级股票型发起式证券投资基金</w:t>
            </w:r>
          </w:p>
        </w:tc>
        <w:tc>
          <w:tcPr>
            <w:tcW w:w="2178"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东方红医疗升级股票发起</w:t>
            </w:r>
          </w:p>
        </w:tc>
        <w:tc>
          <w:tcPr>
            <w:tcW w:w="1186"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1144"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015052</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10</w:t>
            </w:r>
            <w:r>
              <w:rPr>
                <w:rFonts w:ascii="宋体" w:hAnsi="宋体" w:cs="宋体" w:hint="eastAsia"/>
                <w:color w:val="000000"/>
                <w:kern w:val="0"/>
                <w:sz w:val="24"/>
                <w:szCs w:val="24"/>
                <w:lang/>
              </w:rPr>
              <w:t>元</w:t>
            </w:r>
          </w:p>
        </w:tc>
        <w:tc>
          <w:tcPr>
            <w:tcW w:w="1050" w:type="dxa"/>
            <w:vMerge w:val="restart"/>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无级差</w:t>
            </w:r>
          </w:p>
        </w:tc>
      </w:tr>
      <w:tr w:rsidR="00000000">
        <w:trPr>
          <w:trHeight w:val="285"/>
        </w:trPr>
        <w:tc>
          <w:tcPr>
            <w:tcW w:w="587" w:type="dxa"/>
            <w:tcBorders>
              <w:top w:val="single" w:sz="4" w:space="0" w:color="000000"/>
              <w:left w:val="single" w:sz="4" w:space="0" w:color="000000"/>
              <w:bottom w:val="single" w:sz="4" w:space="0" w:color="000000"/>
              <w:right w:val="single" w:sz="4" w:space="0" w:color="auto"/>
            </w:tcBorders>
            <w:noWrap/>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w:t>
            </w:r>
          </w:p>
        </w:tc>
        <w:tc>
          <w:tcPr>
            <w:tcW w:w="2535"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w:t>
            </w:r>
            <w:r>
              <w:rPr>
                <w:rFonts w:ascii="宋体" w:hAnsi="宋体" w:cs="宋体" w:hint="eastAsia"/>
                <w:color w:val="000000"/>
                <w:kern w:val="0"/>
                <w:sz w:val="24"/>
                <w:szCs w:val="24"/>
                <w:lang/>
              </w:rPr>
              <w:t>升级股票型发起式证券投资基金</w:t>
            </w:r>
          </w:p>
        </w:tc>
        <w:tc>
          <w:tcPr>
            <w:tcW w:w="2178"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东方红医疗升级股票发起</w:t>
            </w:r>
          </w:p>
        </w:tc>
        <w:tc>
          <w:tcPr>
            <w:tcW w:w="1186"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1144"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015053</w:t>
            </w:r>
          </w:p>
        </w:tc>
        <w:tc>
          <w:tcPr>
            <w:tcW w:w="993" w:type="dxa"/>
            <w:vMerge/>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p>
        </w:tc>
        <w:tc>
          <w:tcPr>
            <w:tcW w:w="1050" w:type="dxa"/>
            <w:vMerge/>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p>
        </w:tc>
      </w:tr>
      <w:tr w:rsidR="00000000">
        <w:trPr>
          <w:trHeight w:val="285"/>
        </w:trPr>
        <w:tc>
          <w:tcPr>
            <w:tcW w:w="587" w:type="dxa"/>
            <w:tcBorders>
              <w:top w:val="single" w:sz="4" w:space="0" w:color="000000"/>
              <w:left w:val="single" w:sz="4" w:space="0" w:color="000000"/>
              <w:bottom w:val="single" w:sz="4" w:space="0" w:color="000000"/>
              <w:right w:val="single" w:sz="4" w:space="0" w:color="auto"/>
            </w:tcBorders>
            <w:noWrap/>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3</w:t>
            </w:r>
          </w:p>
        </w:tc>
        <w:tc>
          <w:tcPr>
            <w:tcW w:w="2535"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东方红中证东方红红利低波动指数证券投资基金</w:t>
            </w:r>
          </w:p>
        </w:tc>
        <w:tc>
          <w:tcPr>
            <w:tcW w:w="2178"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东方红中证东方红红利低波动指数</w:t>
            </w:r>
          </w:p>
        </w:tc>
        <w:tc>
          <w:tcPr>
            <w:tcW w:w="1186"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1144"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012708</w:t>
            </w:r>
          </w:p>
        </w:tc>
        <w:tc>
          <w:tcPr>
            <w:tcW w:w="993" w:type="dxa"/>
            <w:vMerge/>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p>
        </w:tc>
        <w:tc>
          <w:tcPr>
            <w:tcW w:w="1050" w:type="dxa"/>
            <w:vMerge/>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p>
        </w:tc>
      </w:tr>
      <w:tr w:rsidR="00000000">
        <w:trPr>
          <w:trHeight w:val="285"/>
        </w:trPr>
        <w:tc>
          <w:tcPr>
            <w:tcW w:w="587" w:type="dxa"/>
            <w:tcBorders>
              <w:top w:val="single" w:sz="4" w:space="0" w:color="000000"/>
              <w:left w:val="single" w:sz="4" w:space="0" w:color="000000"/>
              <w:bottom w:val="single" w:sz="4" w:space="0" w:color="000000"/>
              <w:right w:val="single" w:sz="4" w:space="0" w:color="auto"/>
            </w:tcBorders>
            <w:noWrap/>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4</w:t>
            </w:r>
          </w:p>
        </w:tc>
        <w:tc>
          <w:tcPr>
            <w:tcW w:w="2535"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东方红中证东方红红利低波动指数证券投资基金</w:t>
            </w:r>
          </w:p>
        </w:tc>
        <w:tc>
          <w:tcPr>
            <w:tcW w:w="2178"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东方红中证东方红红利低波动指数</w:t>
            </w:r>
          </w:p>
        </w:tc>
        <w:tc>
          <w:tcPr>
            <w:tcW w:w="1186"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1144" w:type="dxa"/>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012709</w:t>
            </w:r>
          </w:p>
        </w:tc>
        <w:tc>
          <w:tcPr>
            <w:tcW w:w="993" w:type="dxa"/>
            <w:vMerge/>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p>
        </w:tc>
        <w:tc>
          <w:tcPr>
            <w:tcW w:w="1050" w:type="dxa"/>
            <w:vMerge/>
            <w:tcBorders>
              <w:top w:val="single" w:sz="4" w:space="0" w:color="auto"/>
              <w:left w:val="single" w:sz="4" w:space="0" w:color="auto"/>
              <w:bottom w:val="single" w:sz="4" w:space="0" w:color="auto"/>
              <w:right w:val="single" w:sz="4" w:space="0" w:color="auto"/>
            </w:tcBorders>
            <w:noWrap/>
            <w:vAlign w:val="center"/>
          </w:tcPr>
          <w:p w:rsidR="00000000" w:rsidRDefault="005B7468">
            <w:pPr>
              <w:widowControl/>
              <w:jc w:val="center"/>
              <w:textAlignment w:val="center"/>
              <w:rPr>
                <w:rFonts w:ascii="宋体" w:hAnsi="宋体" w:cs="宋体" w:hint="eastAsia"/>
                <w:color w:val="000000"/>
                <w:kern w:val="0"/>
                <w:sz w:val="24"/>
                <w:szCs w:val="24"/>
                <w:lang/>
              </w:rPr>
            </w:pPr>
          </w:p>
        </w:tc>
      </w:tr>
    </w:tbl>
    <w:p w:rsidR="00000000" w:rsidRDefault="005B7468">
      <w:pPr>
        <w:spacing w:line="360" w:lineRule="auto"/>
        <w:ind w:firstLineChars="200" w:firstLine="480"/>
        <w:rPr>
          <w:rFonts w:ascii="宋体" w:hAnsi="宋体" w:cs="宋体"/>
          <w:sz w:val="24"/>
          <w:szCs w:val="24"/>
        </w:rPr>
      </w:pPr>
    </w:p>
    <w:p w:rsidR="00000000" w:rsidRDefault="005B7468">
      <w:pPr>
        <w:spacing w:line="360" w:lineRule="auto"/>
        <w:ind w:firstLineChars="200" w:firstLine="482"/>
        <w:rPr>
          <w:rFonts w:ascii="宋体" w:hAnsi="宋体" w:cs="宋体"/>
          <w:b/>
          <w:sz w:val="24"/>
          <w:szCs w:val="24"/>
        </w:rPr>
      </w:pPr>
      <w:r>
        <w:rPr>
          <w:rFonts w:ascii="宋体" w:hAnsi="宋体" w:cs="宋体" w:hint="eastAsia"/>
          <w:b/>
          <w:sz w:val="24"/>
          <w:szCs w:val="24"/>
        </w:rPr>
        <w:t>二、代销机构信息</w:t>
      </w:r>
    </w:p>
    <w:tbl>
      <w:tblPr>
        <w:tblW w:w="8736"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3"/>
        <w:gridCol w:w="3163"/>
        <w:gridCol w:w="1827"/>
        <w:gridCol w:w="2973"/>
      </w:tblGrid>
      <w:tr w:rsidR="00000000">
        <w:tc>
          <w:tcPr>
            <w:tcW w:w="773" w:type="dxa"/>
          </w:tcPr>
          <w:p w:rsidR="00000000" w:rsidRDefault="005B7468">
            <w:pPr>
              <w:spacing w:line="360" w:lineRule="auto"/>
              <w:jc w:val="center"/>
              <w:rPr>
                <w:rFonts w:ascii="宋体" w:hAnsi="宋体" w:cs="宋体"/>
                <w:sz w:val="24"/>
                <w:szCs w:val="24"/>
              </w:rPr>
            </w:pPr>
            <w:r>
              <w:rPr>
                <w:rFonts w:ascii="宋体" w:hAnsi="宋体" w:cs="宋体" w:hint="eastAsia"/>
                <w:sz w:val="24"/>
                <w:szCs w:val="24"/>
              </w:rPr>
              <w:t>序号</w:t>
            </w:r>
          </w:p>
        </w:tc>
        <w:tc>
          <w:tcPr>
            <w:tcW w:w="3163" w:type="dxa"/>
          </w:tcPr>
          <w:p w:rsidR="00000000" w:rsidRDefault="005B7468">
            <w:pPr>
              <w:spacing w:line="360" w:lineRule="auto"/>
              <w:jc w:val="center"/>
              <w:rPr>
                <w:rFonts w:ascii="宋体" w:hAnsi="宋体" w:cs="宋体"/>
                <w:sz w:val="24"/>
                <w:szCs w:val="24"/>
              </w:rPr>
            </w:pPr>
            <w:r>
              <w:rPr>
                <w:rFonts w:ascii="宋体" w:hAnsi="宋体" w:cs="宋体" w:hint="eastAsia"/>
                <w:sz w:val="24"/>
                <w:szCs w:val="24"/>
              </w:rPr>
              <w:t>代销机构名称</w:t>
            </w:r>
          </w:p>
        </w:tc>
        <w:tc>
          <w:tcPr>
            <w:tcW w:w="1827" w:type="dxa"/>
          </w:tcPr>
          <w:p w:rsidR="00000000" w:rsidRDefault="005B7468">
            <w:pPr>
              <w:spacing w:line="360" w:lineRule="auto"/>
              <w:jc w:val="center"/>
              <w:rPr>
                <w:rFonts w:ascii="宋体" w:hAnsi="宋体" w:cs="宋体"/>
                <w:sz w:val="24"/>
                <w:szCs w:val="24"/>
              </w:rPr>
            </w:pPr>
            <w:r>
              <w:rPr>
                <w:rFonts w:ascii="宋体" w:hAnsi="宋体" w:cs="宋体" w:hint="eastAsia"/>
                <w:sz w:val="24"/>
                <w:szCs w:val="24"/>
              </w:rPr>
              <w:t>客户服务电话</w:t>
            </w:r>
          </w:p>
        </w:tc>
        <w:tc>
          <w:tcPr>
            <w:tcW w:w="2973" w:type="dxa"/>
          </w:tcPr>
          <w:p w:rsidR="00000000" w:rsidRDefault="005B7468">
            <w:pPr>
              <w:spacing w:line="360" w:lineRule="auto"/>
              <w:jc w:val="center"/>
              <w:rPr>
                <w:rFonts w:ascii="宋体" w:hAnsi="宋体" w:cs="宋体"/>
                <w:sz w:val="24"/>
                <w:szCs w:val="24"/>
              </w:rPr>
            </w:pPr>
            <w:r>
              <w:rPr>
                <w:rFonts w:ascii="宋体" w:hAnsi="宋体" w:cs="宋体" w:hint="eastAsia"/>
                <w:sz w:val="24"/>
                <w:szCs w:val="24"/>
              </w:rPr>
              <w:t>公司网站</w:t>
            </w:r>
          </w:p>
        </w:tc>
      </w:tr>
      <w:tr w:rsidR="00000000">
        <w:trPr>
          <w:trHeight w:val="420"/>
        </w:trPr>
        <w:tc>
          <w:tcPr>
            <w:tcW w:w="773" w:type="dxa"/>
          </w:tcPr>
          <w:p w:rsidR="00000000" w:rsidRDefault="005B7468">
            <w:pPr>
              <w:spacing w:line="360" w:lineRule="auto"/>
              <w:jc w:val="center"/>
              <w:rPr>
                <w:rFonts w:ascii="宋体" w:hAnsi="宋体" w:cs="宋体"/>
                <w:sz w:val="24"/>
                <w:szCs w:val="24"/>
              </w:rPr>
            </w:pPr>
            <w:r>
              <w:rPr>
                <w:rFonts w:ascii="宋体" w:hAnsi="宋体" w:cs="宋体" w:hint="eastAsia"/>
                <w:sz w:val="24"/>
                <w:szCs w:val="24"/>
              </w:rPr>
              <w:t>1</w:t>
            </w:r>
          </w:p>
        </w:tc>
        <w:tc>
          <w:tcPr>
            <w:tcW w:w="3163" w:type="dxa"/>
            <w:vAlign w:val="center"/>
          </w:tcPr>
          <w:p w:rsidR="00000000" w:rsidRDefault="005B7468">
            <w:pPr>
              <w:widowControl/>
              <w:jc w:val="center"/>
              <w:textAlignment w:val="center"/>
              <w:rPr>
                <w:rFonts w:ascii="宋体" w:hAnsi="宋体" w:cs="宋体"/>
                <w:color w:val="000000"/>
                <w:kern w:val="0"/>
                <w:sz w:val="24"/>
                <w:szCs w:val="24"/>
                <w:lang/>
              </w:rPr>
            </w:pPr>
            <w:r>
              <w:rPr>
                <w:rFonts w:ascii="宋体" w:hAnsi="宋体" w:cs="宋体" w:hint="eastAsia"/>
                <w:sz w:val="24"/>
                <w:szCs w:val="24"/>
                <w:lang/>
              </w:rPr>
              <w:t>大连银行股份有限公司</w:t>
            </w:r>
          </w:p>
        </w:tc>
        <w:tc>
          <w:tcPr>
            <w:tcW w:w="1827" w:type="dxa"/>
          </w:tcPr>
          <w:p w:rsidR="00000000" w:rsidRDefault="005B7468">
            <w:pPr>
              <w:widowControl/>
              <w:spacing w:line="360" w:lineRule="auto"/>
              <w:jc w:val="center"/>
              <w:rPr>
                <w:rFonts w:ascii="宋体" w:hAnsi="宋体" w:cs="宋体"/>
                <w:sz w:val="24"/>
                <w:szCs w:val="24"/>
                <w:lang/>
              </w:rPr>
            </w:pPr>
            <w:r>
              <w:rPr>
                <w:rFonts w:ascii="宋体" w:hAnsi="宋体" w:cs="宋体" w:hint="eastAsia"/>
                <w:sz w:val="24"/>
                <w:szCs w:val="24"/>
                <w:lang/>
              </w:rPr>
              <w:t>400-664-0099</w:t>
            </w:r>
          </w:p>
        </w:tc>
        <w:tc>
          <w:tcPr>
            <w:tcW w:w="2973" w:type="dxa"/>
          </w:tcPr>
          <w:p w:rsidR="00000000" w:rsidRDefault="005B7468">
            <w:pPr>
              <w:widowControl/>
              <w:spacing w:line="360" w:lineRule="auto"/>
              <w:jc w:val="center"/>
              <w:rPr>
                <w:rFonts w:ascii="宋体" w:hAnsi="宋体" w:cs="宋体" w:hint="eastAsia"/>
                <w:sz w:val="24"/>
                <w:szCs w:val="24"/>
                <w:lang/>
              </w:rPr>
            </w:pPr>
            <w:r>
              <w:rPr>
                <w:rFonts w:ascii="宋体" w:hAnsi="宋体" w:cs="宋体" w:hint="eastAsia"/>
                <w:sz w:val="24"/>
                <w:szCs w:val="24"/>
                <w:lang/>
              </w:rPr>
              <w:t>www.bankofdl.com</w:t>
            </w:r>
          </w:p>
        </w:tc>
      </w:tr>
    </w:tbl>
    <w:p w:rsidR="00000000" w:rsidRDefault="005B7468">
      <w:pPr>
        <w:spacing w:line="360" w:lineRule="auto"/>
        <w:outlineLvl w:val="0"/>
        <w:rPr>
          <w:rFonts w:ascii="宋体" w:hAnsi="宋体" w:cs="宋体" w:hint="eastAsia"/>
          <w:sz w:val="24"/>
          <w:szCs w:val="24"/>
        </w:rPr>
      </w:pPr>
    </w:p>
    <w:p w:rsidR="00000000" w:rsidRDefault="005B7468">
      <w:pPr>
        <w:spacing w:line="360" w:lineRule="auto"/>
        <w:ind w:firstLineChars="200" w:firstLine="482"/>
        <w:outlineLvl w:val="0"/>
        <w:rPr>
          <w:rFonts w:ascii="宋体" w:hAnsi="宋体" w:cs="宋体"/>
          <w:b/>
          <w:sz w:val="24"/>
          <w:szCs w:val="24"/>
        </w:rPr>
      </w:pPr>
      <w:r>
        <w:rPr>
          <w:rFonts w:ascii="宋体" w:hAnsi="宋体" w:cs="宋体" w:hint="eastAsia"/>
          <w:b/>
          <w:sz w:val="24"/>
          <w:szCs w:val="24"/>
        </w:rPr>
        <w:t>三、业务类型</w:t>
      </w:r>
    </w:p>
    <w:p w:rsidR="00000000" w:rsidRDefault="005B7468">
      <w:pPr>
        <w:spacing w:line="360" w:lineRule="auto"/>
        <w:ind w:firstLineChars="200" w:firstLine="480"/>
        <w:outlineLvl w:val="0"/>
        <w:rPr>
          <w:rFonts w:ascii="宋体" w:hAnsi="宋体" w:cs="宋体" w:hint="eastAsia"/>
          <w:sz w:val="24"/>
          <w:szCs w:val="24"/>
        </w:rPr>
      </w:pPr>
      <w:r>
        <w:rPr>
          <w:rFonts w:ascii="宋体" w:hAnsi="宋体" w:cs="宋体" w:hint="eastAsia"/>
          <w:sz w:val="24"/>
          <w:szCs w:val="24"/>
        </w:rPr>
        <w:t>投资者可通过上述销售机构在开放日内办理</w:t>
      </w:r>
      <w:r>
        <w:rPr>
          <w:rFonts w:ascii="宋体" w:hAnsi="宋体" w:cs="宋体" w:hint="eastAsia"/>
          <w:sz w:val="24"/>
          <w:szCs w:val="24"/>
        </w:rPr>
        <w:t>相关基金的开户、申购、赎回、转换（如开通）、定期定额投资业务。具体业务办理时间及流程、代销机构的具体营业网点等信息请以代销机构业务规则为准。</w:t>
      </w:r>
    </w:p>
    <w:p w:rsidR="00000000" w:rsidRDefault="005B7468">
      <w:pPr>
        <w:spacing w:line="360" w:lineRule="auto"/>
        <w:ind w:firstLineChars="200" w:firstLine="480"/>
        <w:outlineLvl w:val="0"/>
        <w:rPr>
          <w:rFonts w:ascii="宋体" w:hAnsi="宋体" w:cs="宋体"/>
          <w:sz w:val="24"/>
          <w:szCs w:val="24"/>
        </w:rPr>
      </w:pPr>
      <w:r>
        <w:rPr>
          <w:rFonts w:ascii="宋体" w:hAnsi="宋体" w:cs="宋体" w:hint="eastAsia"/>
          <w:sz w:val="24"/>
          <w:szCs w:val="24"/>
        </w:rPr>
        <w:t>关于基金开放或暂停办理申购、赎回、限制大额申购等业务的具体情况请投资者以本公司最新业务公告为准。如基金设置锁定持有期则需在锁定持有期结束</w:t>
      </w:r>
      <w:r>
        <w:rPr>
          <w:rFonts w:ascii="宋体" w:hAnsi="宋体" w:cs="宋体" w:hint="eastAsia"/>
          <w:sz w:val="24"/>
          <w:szCs w:val="24"/>
        </w:rPr>
        <w:lastRenderedPageBreak/>
        <w:t>后方可办理赎回业务。</w:t>
      </w:r>
    </w:p>
    <w:p w:rsidR="00000000" w:rsidRDefault="005B7468">
      <w:pPr>
        <w:spacing w:line="360" w:lineRule="auto"/>
        <w:ind w:firstLineChars="200" w:firstLine="482"/>
        <w:outlineLvl w:val="0"/>
        <w:rPr>
          <w:rFonts w:ascii="宋体" w:hAnsi="宋体" w:cs="宋体" w:hint="eastAsia"/>
          <w:b/>
          <w:sz w:val="24"/>
          <w:szCs w:val="24"/>
        </w:rPr>
      </w:pPr>
    </w:p>
    <w:p w:rsidR="00000000" w:rsidRDefault="005B7468">
      <w:pPr>
        <w:spacing w:line="360" w:lineRule="auto"/>
        <w:ind w:firstLineChars="200" w:firstLine="482"/>
        <w:outlineLvl w:val="0"/>
        <w:rPr>
          <w:rFonts w:ascii="宋体" w:hAnsi="宋体" w:cs="宋体" w:hint="eastAsia"/>
          <w:b/>
          <w:sz w:val="24"/>
          <w:szCs w:val="24"/>
        </w:rPr>
      </w:pPr>
      <w:r>
        <w:rPr>
          <w:rFonts w:ascii="宋体" w:hAnsi="宋体" w:cs="宋体" w:hint="eastAsia"/>
          <w:b/>
          <w:sz w:val="24"/>
          <w:szCs w:val="24"/>
        </w:rPr>
        <w:t>四、重要提示</w:t>
      </w:r>
    </w:p>
    <w:p w:rsidR="00000000" w:rsidRDefault="005B7468">
      <w:pPr>
        <w:spacing w:line="360" w:lineRule="auto"/>
        <w:ind w:firstLineChars="200" w:firstLine="480"/>
        <w:outlineLvl w:val="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hint="eastAsia"/>
          <w:sz w:val="24"/>
          <w:szCs w:val="24"/>
        </w:rPr>
        <w:t>关于相关基金的具体费率优惠活动解释权归销售机构所有。</w:t>
      </w:r>
    </w:p>
    <w:p w:rsidR="00000000" w:rsidRDefault="005B7468">
      <w:pPr>
        <w:spacing w:line="360" w:lineRule="auto"/>
        <w:ind w:firstLineChars="200" w:firstLine="480"/>
        <w:outlineLvl w:val="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、风险提示：本公司承诺以诚实信用、勤勉尽责的原则管理和运用基金资产，但不保证基金一定盈利，也不保证最低收益。基金投资需谨慎，敬请投资者注</w:t>
      </w:r>
      <w:r>
        <w:rPr>
          <w:rFonts w:ascii="宋体" w:hAnsi="宋体" w:cs="宋体" w:hint="eastAsia"/>
          <w:sz w:val="24"/>
          <w:szCs w:val="24"/>
        </w:rPr>
        <w:t>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定期定额投资是引导投资者进行长期投资、平均投资成本的一种简单易行的投资方式。但是定期定额投资并不能规避基金投资所固有的风险，不能保证投资者获得收益，也不是替代储蓄的等效理财方式。本公告的解释权归上海东方证券资产管理有限公司所有。</w:t>
      </w:r>
    </w:p>
    <w:p w:rsidR="00000000" w:rsidRDefault="005B7468">
      <w:pPr>
        <w:widowControl/>
        <w:spacing w:line="360" w:lineRule="auto"/>
        <w:ind w:firstLineChars="200" w:firstLine="480"/>
        <w:rPr>
          <w:rFonts w:ascii="宋体" w:hAnsi="宋体" w:cs="宋体"/>
          <w:sz w:val="24"/>
          <w:szCs w:val="24"/>
        </w:rPr>
      </w:pPr>
    </w:p>
    <w:p w:rsidR="00000000" w:rsidRDefault="005B7468">
      <w:pPr>
        <w:widowControl/>
        <w:spacing w:line="360" w:lineRule="auto"/>
        <w:ind w:firstLineChars="200" w:firstLine="480"/>
        <w:rPr>
          <w:rFonts w:ascii="宋体" w:hAnsi="宋体" w:cs="宋体" w:hint="eastAsia"/>
          <w:sz w:val="24"/>
          <w:szCs w:val="24"/>
        </w:rPr>
      </w:pPr>
      <w:r>
        <w:rPr>
          <w:rFonts w:ascii="宋体" w:hAnsi="宋体" w:cs="宋体" w:hint="eastAsia"/>
          <w:sz w:val="24"/>
          <w:szCs w:val="24"/>
        </w:rPr>
        <w:t>特此公告。</w:t>
      </w:r>
    </w:p>
    <w:p w:rsidR="00000000" w:rsidRDefault="005B7468">
      <w:pPr>
        <w:widowControl/>
        <w:spacing w:before="240" w:line="480" w:lineRule="auto"/>
        <w:ind w:firstLine="420"/>
        <w:jc w:val="right"/>
        <w:rPr>
          <w:rFonts w:ascii="宋体" w:hAnsi="宋体" w:cs="宋体" w:hint="eastAsia"/>
          <w:sz w:val="24"/>
          <w:szCs w:val="24"/>
        </w:rPr>
      </w:pPr>
      <w:r>
        <w:rPr>
          <w:rFonts w:ascii="宋体" w:hAnsi="宋体" w:cs="宋体" w:hint="eastAsia"/>
          <w:sz w:val="24"/>
          <w:szCs w:val="24"/>
        </w:rPr>
        <w:t>上海东方证券资产管理有限公司</w:t>
      </w:r>
    </w:p>
    <w:p w:rsidR="00000000" w:rsidRDefault="005B7468">
      <w:pPr>
        <w:widowControl/>
        <w:spacing w:line="480" w:lineRule="auto"/>
        <w:ind w:firstLine="420"/>
        <w:jc w:val="right"/>
        <w:rPr>
          <w:rFonts w:ascii="宋体" w:hAnsi="宋体" w:cs="宋体" w:hint="eastAsia"/>
          <w:kern w:val="0"/>
          <w:sz w:val="24"/>
          <w:szCs w:val="24"/>
        </w:rPr>
      </w:pP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3</w:t>
      </w:r>
      <w:r>
        <w:rPr>
          <w:rFonts w:ascii="宋体" w:hAnsi="宋体" w:cs="宋体" w:hint="eastAsia"/>
          <w:sz w:val="24"/>
          <w:szCs w:val="24"/>
        </w:rPr>
        <w:t>月</w:t>
      </w:r>
      <w:r>
        <w:rPr>
          <w:rFonts w:ascii="宋体" w:hAnsi="宋体" w:cs="宋体" w:hint="eastAsia"/>
          <w:sz w:val="24"/>
          <w:szCs w:val="24"/>
        </w:rPr>
        <w:t>7</w:t>
      </w:r>
      <w:r>
        <w:rPr>
          <w:rFonts w:ascii="宋体" w:hAnsi="宋体" w:cs="宋体" w:hint="eastAsia"/>
          <w:sz w:val="24"/>
          <w:szCs w:val="24"/>
        </w:rPr>
        <w:t>日</w:t>
      </w:r>
    </w:p>
    <w:sectPr w:rsidR="0000000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B7468">
      <w:pPr>
        <w:rPr>
          <w:sz w:val="18"/>
        </w:rPr>
      </w:pPr>
    </w:p>
  </w:endnote>
  <w:endnote w:type="continuationSeparator" w:id="0">
    <w:p w:rsidR="00000000" w:rsidRDefault="005B7468">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B7468">
      <w:pPr>
        <w:rPr>
          <w:sz w:val="18"/>
        </w:rPr>
      </w:pPr>
    </w:p>
  </w:footnote>
  <w:footnote w:type="continuationSeparator" w:id="0">
    <w:p w:rsidR="00000000" w:rsidRDefault="005B7468">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53D4"/>
    <w:rsid w:val="0003068A"/>
    <w:rsid w:val="00030C75"/>
    <w:rsid w:val="00042843"/>
    <w:rsid w:val="00042A74"/>
    <w:rsid w:val="000502E5"/>
    <w:rsid w:val="0005049D"/>
    <w:rsid w:val="000663AE"/>
    <w:rsid w:val="00066C73"/>
    <w:rsid w:val="000903EE"/>
    <w:rsid w:val="00091294"/>
    <w:rsid w:val="000926D4"/>
    <w:rsid w:val="000A1020"/>
    <w:rsid w:val="000A280F"/>
    <w:rsid w:val="000A34CF"/>
    <w:rsid w:val="000A509F"/>
    <w:rsid w:val="000A5C20"/>
    <w:rsid w:val="000B48A0"/>
    <w:rsid w:val="000B5013"/>
    <w:rsid w:val="000B6A4F"/>
    <w:rsid w:val="000C3775"/>
    <w:rsid w:val="000D017F"/>
    <w:rsid w:val="000D13B5"/>
    <w:rsid w:val="000E1139"/>
    <w:rsid w:val="000E174C"/>
    <w:rsid w:val="000E2A97"/>
    <w:rsid w:val="000E526A"/>
    <w:rsid w:val="000F18BC"/>
    <w:rsid w:val="000F6A65"/>
    <w:rsid w:val="0010115A"/>
    <w:rsid w:val="001132F1"/>
    <w:rsid w:val="00127461"/>
    <w:rsid w:val="00137252"/>
    <w:rsid w:val="00146020"/>
    <w:rsid w:val="00162BC8"/>
    <w:rsid w:val="0016487A"/>
    <w:rsid w:val="00165670"/>
    <w:rsid w:val="00174BA8"/>
    <w:rsid w:val="0018063B"/>
    <w:rsid w:val="001825E3"/>
    <w:rsid w:val="00191CEB"/>
    <w:rsid w:val="0019285E"/>
    <w:rsid w:val="00195318"/>
    <w:rsid w:val="001960E3"/>
    <w:rsid w:val="0019614E"/>
    <w:rsid w:val="001A32D9"/>
    <w:rsid w:val="001C120F"/>
    <w:rsid w:val="001C3E4A"/>
    <w:rsid w:val="001C4702"/>
    <w:rsid w:val="001D15A5"/>
    <w:rsid w:val="001E33EB"/>
    <w:rsid w:val="0020012B"/>
    <w:rsid w:val="002024FF"/>
    <w:rsid w:val="0020333B"/>
    <w:rsid w:val="00211D64"/>
    <w:rsid w:val="00221854"/>
    <w:rsid w:val="00223721"/>
    <w:rsid w:val="0023608D"/>
    <w:rsid w:val="00242C8B"/>
    <w:rsid w:val="00243B25"/>
    <w:rsid w:val="00253E02"/>
    <w:rsid w:val="0025528E"/>
    <w:rsid w:val="0027237D"/>
    <w:rsid w:val="002A654E"/>
    <w:rsid w:val="002B58D7"/>
    <w:rsid w:val="002C5FAF"/>
    <w:rsid w:val="002D24C5"/>
    <w:rsid w:val="002D747F"/>
    <w:rsid w:val="002E0DD0"/>
    <w:rsid w:val="002F29BC"/>
    <w:rsid w:val="002F53C1"/>
    <w:rsid w:val="002F6406"/>
    <w:rsid w:val="00311027"/>
    <w:rsid w:val="00316C30"/>
    <w:rsid w:val="00320045"/>
    <w:rsid w:val="0033412F"/>
    <w:rsid w:val="0033710C"/>
    <w:rsid w:val="003426C4"/>
    <w:rsid w:val="00346129"/>
    <w:rsid w:val="0035116B"/>
    <w:rsid w:val="00351688"/>
    <w:rsid w:val="00354AC5"/>
    <w:rsid w:val="003622A5"/>
    <w:rsid w:val="00371B9F"/>
    <w:rsid w:val="00386DD2"/>
    <w:rsid w:val="00395A37"/>
    <w:rsid w:val="00397790"/>
    <w:rsid w:val="003B6016"/>
    <w:rsid w:val="003B681A"/>
    <w:rsid w:val="003C4A0E"/>
    <w:rsid w:val="003D6D80"/>
    <w:rsid w:val="003E0E72"/>
    <w:rsid w:val="003E2BBB"/>
    <w:rsid w:val="003F7FEE"/>
    <w:rsid w:val="00400B0C"/>
    <w:rsid w:val="00403C58"/>
    <w:rsid w:val="004171A4"/>
    <w:rsid w:val="0041774B"/>
    <w:rsid w:val="004321D9"/>
    <w:rsid w:val="00437B99"/>
    <w:rsid w:val="0044214F"/>
    <w:rsid w:val="00442B53"/>
    <w:rsid w:val="004434EC"/>
    <w:rsid w:val="00445B7B"/>
    <w:rsid w:val="00446CCB"/>
    <w:rsid w:val="00452656"/>
    <w:rsid w:val="004562E8"/>
    <w:rsid w:val="0046182E"/>
    <w:rsid w:val="004676A3"/>
    <w:rsid w:val="0048115A"/>
    <w:rsid w:val="00482412"/>
    <w:rsid w:val="00483763"/>
    <w:rsid w:val="004843B3"/>
    <w:rsid w:val="00485DFD"/>
    <w:rsid w:val="00486168"/>
    <w:rsid w:val="004863BB"/>
    <w:rsid w:val="00491092"/>
    <w:rsid w:val="004A11DB"/>
    <w:rsid w:val="004A64AA"/>
    <w:rsid w:val="004B10F7"/>
    <w:rsid w:val="004B3C08"/>
    <w:rsid w:val="004E2B65"/>
    <w:rsid w:val="004E3B0B"/>
    <w:rsid w:val="004E4527"/>
    <w:rsid w:val="004E7049"/>
    <w:rsid w:val="004F2722"/>
    <w:rsid w:val="004F3F23"/>
    <w:rsid w:val="004F41C6"/>
    <w:rsid w:val="004F59B9"/>
    <w:rsid w:val="0050100B"/>
    <w:rsid w:val="00501E1E"/>
    <w:rsid w:val="00502F91"/>
    <w:rsid w:val="00513FE4"/>
    <w:rsid w:val="005145B0"/>
    <w:rsid w:val="00515A19"/>
    <w:rsid w:val="00530F10"/>
    <w:rsid w:val="00531BDA"/>
    <w:rsid w:val="0053792F"/>
    <w:rsid w:val="005452E9"/>
    <w:rsid w:val="005466E5"/>
    <w:rsid w:val="00556828"/>
    <w:rsid w:val="005606C7"/>
    <w:rsid w:val="0056152F"/>
    <w:rsid w:val="00564454"/>
    <w:rsid w:val="0056573C"/>
    <w:rsid w:val="00566F75"/>
    <w:rsid w:val="00573E4D"/>
    <w:rsid w:val="0059623D"/>
    <w:rsid w:val="005A6B5D"/>
    <w:rsid w:val="005B1751"/>
    <w:rsid w:val="005B7468"/>
    <w:rsid w:val="005C32D6"/>
    <w:rsid w:val="005D647D"/>
    <w:rsid w:val="005D7B4E"/>
    <w:rsid w:val="005E2773"/>
    <w:rsid w:val="005E78A0"/>
    <w:rsid w:val="005F050D"/>
    <w:rsid w:val="00600BAE"/>
    <w:rsid w:val="00602370"/>
    <w:rsid w:val="00603C35"/>
    <w:rsid w:val="006055EE"/>
    <w:rsid w:val="0060789F"/>
    <w:rsid w:val="0061107B"/>
    <w:rsid w:val="00612C59"/>
    <w:rsid w:val="00613F4F"/>
    <w:rsid w:val="00614009"/>
    <w:rsid w:val="00615E90"/>
    <w:rsid w:val="00623DFA"/>
    <w:rsid w:val="0063029B"/>
    <w:rsid w:val="00631399"/>
    <w:rsid w:val="006319AE"/>
    <w:rsid w:val="00631A67"/>
    <w:rsid w:val="00632E1C"/>
    <w:rsid w:val="00633134"/>
    <w:rsid w:val="00634728"/>
    <w:rsid w:val="00636AF7"/>
    <w:rsid w:val="00654D40"/>
    <w:rsid w:val="006553F7"/>
    <w:rsid w:val="00655532"/>
    <w:rsid w:val="00660A20"/>
    <w:rsid w:val="00662ECA"/>
    <w:rsid w:val="00665EBB"/>
    <w:rsid w:val="0067772B"/>
    <w:rsid w:val="00685FF5"/>
    <w:rsid w:val="00686823"/>
    <w:rsid w:val="006923A2"/>
    <w:rsid w:val="006A3F33"/>
    <w:rsid w:val="006B03EC"/>
    <w:rsid w:val="006B0BAE"/>
    <w:rsid w:val="006B677B"/>
    <w:rsid w:val="006B6D29"/>
    <w:rsid w:val="006C118C"/>
    <w:rsid w:val="006C18FF"/>
    <w:rsid w:val="006C530C"/>
    <w:rsid w:val="006C711E"/>
    <w:rsid w:val="006D3468"/>
    <w:rsid w:val="006D4DE0"/>
    <w:rsid w:val="006E7685"/>
    <w:rsid w:val="006F736B"/>
    <w:rsid w:val="006F7F62"/>
    <w:rsid w:val="00700F6C"/>
    <w:rsid w:val="00707CC1"/>
    <w:rsid w:val="00712A2A"/>
    <w:rsid w:val="0071355E"/>
    <w:rsid w:val="00717CF9"/>
    <w:rsid w:val="00720EDF"/>
    <w:rsid w:val="007313C2"/>
    <w:rsid w:val="007349E3"/>
    <w:rsid w:val="0073707A"/>
    <w:rsid w:val="00743430"/>
    <w:rsid w:val="00760218"/>
    <w:rsid w:val="0076050A"/>
    <w:rsid w:val="00771061"/>
    <w:rsid w:val="00782529"/>
    <w:rsid w:val="007851CB"/>
    <w:rsid w:val="007912B0"/>
    <w:rsid w:val="007A3B9F"/>
    <w:rsid w:val="007A7552"/>
    <w:rsid w:val="007C6C4A"/>
    <w:rsid w:val="007D3BC4"/>
    <w:rsid w:val="007E4C27"/>
    <w:rsid w:val="007E5AC5"/>
    <w:rsid w:val="007E793C"/>
    <w:rsid w:val="007E7E23"/>
    <w:rsid w:val="007F1171"/>
    <w:rsid w:val="007F2176"/>
    <w:rsid w:val="007F3766"/>
    <w:rsid w:val="007F55C8"/>
    <w:rsid w:val="0081320D"/>
    <w:rsid w:val="00814006"/>
    <w:rsid w:val="00831184"/>
    <w:rsid w:val="008330BD"/>
    <w:rsid w:val="00835215"/>
    <w:rsid w:val="00845ADF"/>
    <w:rsid w:val="00854FF3"/>
    <w:rsid w:val="00856D30"/>
    <w:rsid w:val="008620BF"/>
    <w:rsid w:val="0086302D"/>
    <w:rsid w:val="00864450"/>
    <w:rsid w:val="00870D57"/>
    <w:rsid w:val="008763DE"/>
    <w:rsid w:val="00881749"/>
    <w:rsid w:val="00885E02"/>
    <w:rsid w:val="0089622C"/>
    <w:rsid w:val="008A52ED"/>
    <w:rsid w:val="008C2874"/>
    <w:rsid w:val="008E0854"/>
    <w:rsid w:val="008E4395"/>
    <w:rsid w:val="008E6DF8"/>
    <w:rsid w:val="008E798C"/>
    <w:rsid w:val="008E7C8A"/>
    <w:rsid w:val="008F06BF"/>
    <w:rsid w:val="008F4A8B"/>
    <w:rsid w:val="009062E5"/>
    <w:rsid w:val="00906786"/>
    <w:rsid w:val="00912CD1"/>
    <w:rsid w:val="00934956"/>
    <w:rsid w:val="00934F62"/>
    <w:rsid w:val="00940E4F"/>
    <w:rsid w:val="009414F6"/>
    <w:rsid w:val="00945A75"/>
    <w:rsid w:val="0095170F"/>
    <w:rsid w:val="00960C98"/>
    <w:rsid w:val="00965AAD"/>
    <w:rsid w:val="00966A88"/>
    <w:rsid w:val="00970B00"/>
    <w:rsid w:val="0097732C"/>
    <w:rsid w:val="009A04F0"/>
    <w:rsid w:val="009A0D61"/>
    <w:rsid w:val="009A1E0F"/>
    <w:rsid w:val="009A279A"/>
    <w:rsid w:val="009A47D5"/>
    <w:rsid w:val="009B42EA"/>
    <w:rsid w:val="009B7A73"/>
    <w:rsid w:val="009C4144"/>
    <w:rsid w:val="009D021C"/>
    <w:rsid w:val="009E6A88"/>
    <w:rsid w:val="00A02296"/>
    <w:rsid w:val="00A07358"/>
    <w:rsid w:val="00A26021"/>
    <w:rsid w:val="00A37C70"/>
    <w:rsid w:val="00A44CF9"/>
    <w:rsid w:val="00A44D3F"/>
    <w:rsid w:val="00A50062"/>
    <w:rsid w:val="00A5363B"/>
    <w:rsid w:val="00A548AB"/>
    <w:rsid w:val="00A55D74"/>
    <w:rsid w:val="00A601E3"/>
    <w:rsid w:val="00A61C42"/>
    <w:rsid w:val="00A62833"/>
    <w:rsid w:val="00A7075E"/>
    <w:rsid w:val="00A7096A"/>
    <w:rsid w:val="00A8467F"/>
    <w:rsid w:val="00A91E44"/>
    <w:rsid w:val="00A9449F"/>
    <w:rsid w:val="00AA0366"/>
    <w:rsid w:val="00AA2109"/>
    <w:rsid w:val="00AB3AFD"/>
    <w:rsid w:val="00AB560B"/>
    <w:rsid w:val="00AB5FDE"/>
    <w:rsid w:val="00AB61BC"/>
    <w:rsid w:val="00AC0CAF"/>
    <w:rsid w:val="00AC0E6E"/>
    <w:rsid w:val="00AC4EBA"/>
    <w:rsid w:val="00AD283D"/>
    <w:rsid w:val="00AE056E"/>
    <w:rsid w:val="00AE1408"/>
    <w:rsid w:val="00AF5945"/>
    <w:rsid w:val="00B00968"/>
    <w:rsid w:val="00B1248D"/>
    <w:rsid w:val="00B179F0"/>
    <w:rsid w:val="00B2032C"/>
    <w:rsid w:val="00B24641"/>
    <w:rsid w:val="00B24910"/>
    <w:rsid w:val="00B31AC5"/>
    <w:rsid w:val="00B43610"/>
    <w:rsid w:val="00B47D6C"/>
    <w:rsid w:val="00B60510"/>
    <w:rsid w:val="00B645AE"/>
    <w:rsid w:val="00B67105"/>
    <w:rsid w:val="00B77767"/>
    <w:rsid w:val="00B8395E"/>
    <w:rsid w:val="00B9184F"/>
    <w:rsid w:val="00B95345"/>
    <w:rsid w:val="00B9646C"/>
    <w:rsid w:val="00BA5F3B"/>
    <w:rsid w:val="00BA7EAA"/>
    <w:rsid w:val="00BB0199"/>
    <w:rsid w:val="00BB020C"/>
    <w:rsid w:val="00BB241F"/>
    <w:rsid w:val="00BC17E7"/>
    <w:rsid w:val="00BC24AC"/>
    <w:rsid w:val="00BC6B5E"/>
    <w:rsid w:val="00BC7F28"/>
    <w:rsid w:val="00BD613F"/>
    <w:rsid w:val="00BD660D"/>
    <w:rsid w:val="00BD7130"/>
    <w:rsid w:val="00BE45A7"/>
    <w:rsid w:val="00BE4F2E"/>
    <w:rsid w:val="00BE7EE0"/>
    <w:rsid w:val="00C22EC8"/>
    <w:rsid w:val="00C260F2"/>
    <w:rsid w:val="00C3288A"/>
    <w:rsid w:val="00C35C78"/>
    <w:rsid w:val="00C44E33"/>
    <w:rsid w:val="00C502CE"/>
    <w:rsid w:val="00C55A33"/>
    <w:rsid w:val="00C6270F"/>
    <w:rsid w:val="00C653CF"/>
    <w:rsid w:val="00C75E54"/>
    <w:rsid w:val="00C818FA"/>
    <w:rsid w:val="00C91380"/>
    <w:rsid w:val="00C94F1E"/>
    <w:rsid w:val="00C97043"/>
    <w:rsid w:val="00CA118F"/>
    <w:rsid w:val="00CA5EA5"/>
    <w:rsid w:val="00CB4741"/>
    <w:rsid w:val="00CB731D"/>
    <w:rsid w:val="00CC3BE9"/>
    <w:rsid w:val="00CD3859"/>
    <w:rsid w:val="00CE11EE"/>
    <w:rsid w:val="00CE6E9E"/>
    <w:rsid w:val="00CF0F83"/>
    <w:rsid w:val="00CF2CA7"/>
    <w:rsid w:val="00CF303A"/>
    <w:rsid w:val="00D058BA"/>
    <w:rsid w:val="00D10185"/>
    <w:rsid w:val="00D115F9"/>
    <w:rsid w:val="00D1178F"/>
    <w:rsid w:val="00D17759"/>
    <w:rsid w:val="00D17A4A"/>
    <w:rsid w:val="00D2453A"/>
    <w:rsid w:val="00D32FF8"/>
    <w:rsid w:val="00D35F4F"/>
    <w:rsid w:val="00D37C73"/>
    <w:rsid w:val="00D50BBB"/>
    <w:rsid w:val="00D565EE"/>
    <w:rsid w:val="00D57A2C"/>
    <w:rsid w:val="00D605E9"/>
    <w:rsid w:val="00D65BC9"/>
    <w:rsid w:val="00D67E30"/>
    <w:rsid w:val="00D70683"/>
    <w:rsid w:val="00D742D5"/>
    <w:rsid w:val="00D8059E"/>
    <w:rsid w:val="00D91C84"/>
    <w:rsid w:val="00DB0AC1"/>
    <w:rsid w:val="00DB37CB"/>
    <w:rsid w:val="00DB6737"/>
    <w:rsid w:val="00DC062F"/>
    <w:rsid w:val="00DC69C4"/>
    <w:rsid w:val="00DD475D"/>
    <w:rsid w:val="00DE06AE"/>
    <w:rsid w:val="00DE087E"/>
    <w:rsid w:val="00DE1125"/>
    <w:rsid w:val="00DE59B7"/>
    <w:rsid w:val="00DF5891"/>
    <w:rsid w:val="00E0402E"/>
    <w:rsid w:val="00E054BB"/>
    <w:rsid w:val="00E10516"/>
    <w:rsid w:val="00E26F6D"/>
    <w:rsid w:val="00E27C56"/>
    <w:rsid w:val="00E31A70"/>
    <w:rsid w:val="00E347C7"/>
    <w:rsid w:val="00E374C5"/>
    <w:rsid w:val="00E4288F"/>
    <w:rsid w:val="00E65290"/>
    <w:rsid w:val="00E71614"/>
    <w:rsid w:val="00E71966"/>
    <w:rsid w:val="00E729BF"/>
    <w:rsid w:val="00E83DC9"/>
    <w:rsid w:val="00E86C14"/>
    <w:rsid w:val="00E90C98"/>
    <w:rsid w:val="00E96F26"/>
    <w:rsid w:val="00EA3567"/>
    <w:rsid w:val="00EA66CD"/>
    <w:rsid w:val="00ED3AF2"/>
    <w:rsid w:val="00EE31F2"/>
    <w:rsid w:val="00EF27A7"/>
    <w:rsid w:val="00EF5719"/>
    <w:rsid w:val="00EF6A39"/>
    <w:rsid w:val="00F16054"/>
    <w:rsid w:val="00F16412"/>
    <w:rsid w:val="00F16BF0"/>
    <w:rsid w:val="00F26A4D"/>
    <w:rsid w:val="00F31E88"/>
    <w:rsid w:val="00F35925"/>
    <w:rsid w:val="00F36DAE"/>
    <w:rsid w:val="00F3739A"/>
    <w:rsid w:val="00F43A75"/>
    <w:rsid w:val="00F44377"/>
    <w:rsid w:val="00F444F7"/>
    <w:rsid w:val="00F448B0"/>
    <w:rsid w:val="00F46B6E"/>
    <w:rsid w:val="00F5474B"/>
    <w:rsid w:val="00F57FD5"/>
    <w:rsid w:val="00F6072D"/>
    <w:rsid w:val="00F807B3"/>
    <w:rsid w:val="00F812A3"/>
    <w:rsid w:val="00F82AAA"/>
    <w:rsid w:val="00F96116"/>
    <w:rsid w:val="00F97D4D"/>
    <w:rsid w:val="00FA2E4E"/>
    <w:rsid w:val="00FB1B7F"/>
    <w:rsid w:val="00FB206F"/>
    <w:rsid w:val="00FB6453"/>
    <w:rsid w:val="00FC448D"/>
    <w:rsid w:val="00FD0873"/>
    <w:rsid w:val="00FD12C1"/>
    <w:rsid w:val="00FE6196"/>
    <w:rsid w:val="00FF6CD0"/>
    <w:rsid w:val="05E86BD7"/>
    <w:rsid w:val="05EE6933"/>
    <w:rsid w:val="09534F64"/>
    <w:rsid w:val="0C1A28E4"/>
    <w:rsid w:val="0E572ED2"/>
    <w:rsid w:val="0F50485D"/>
    <w:rsid w:val="11347ECB"/>
    <w:rsid w:val="136B10F3"/>
    <w:rsid w:val="14017084"/>
    <w:rsid w:val="158B05DA"/>
    <w:rsid w:val="1ABB5B47"/>
    <w:rsid w:val="1FB3348F"/>
    <w:rsid w:val="1FB52959"/>
    <w:rsid w:val="1FC8688E"/>
    <w:rsid w:val="213E5BFD"/>
    <w:rsid w:val="21B52BDD"/>
    <w:rsid w:val="22C76D47"/>
    <w:rsid w:val="24934B21"/>
    <w:rsid w:val="2AF1349B"/>
    <w:rsid w:val="2B8B0531"/>
    <w:rsid w:val="2BD13D97"/>
    <w:rsid w:val="2EDF4083"/>
    <w:rsid w:val="308C139E"/>
    <w:rsid w:val="30BE4B64"/>
    <w:rsid w:val="31D6537E"/>
    <w:rsid w:val="320B440B"/>
    <w:rsid w:val="32A65066"/>
    <w:rsid w:val="35331327"/>
    <w:rsid w:val="36E40D9D"/>
    <w:rsid w:val="39FC1167"/>
    <w:rsid w:val="3EC45E0D"/>
    <w:rsid w:val="47F80544"/>
    <w:rsid w:val="4AFD4A49"/>
    <w:rsid w:val="4C501512"/>
    <w:rsid w:val="4DBC36A4"/>
    <w:rsid w:val="4E695AED"/>
    <w:rsid w:val="4F8D1582"/>
    <w:rsid w:val="509B56DB"/>
    <w:rsid w:val="528D2C8C"/>
    <w:rsid w:val="54892D8F"/>
    <w:rsid w:val="56AB6C3E"/>
    <w:rsid w:val="56F626CD"/>
    <w:rsid w:val="5763216D"/>
    <w:rsid w:val="59AE60EC"/>
    <w:rsid w:val="5CF23EBE"/>
    <w:rsid w:val="5DB7008D"/>
    <w:rsid w:val="60FC4E38"/>
    <w:rsid w:val="629244BE"/>
    <w:rsid w:val="64DD326A"/>
    <w:rsid w:val="652333F0"/>
    <w:rsid w:val="67CD2E07"/>
    <w:rsid w:val="683210F4"/>
    <w:rsid w:val="697B4A9B"/>
    <w:rsid w:val="69E9568B"/>
    <w:rsid w:val="6A43058D"/>
    <w:rsid w:val="6E485247"/>
    <w:rsid w:val="6F764FF3"/>
    <w:rsid w:val="730178B0"/>
    <w:rsid w:val="73C634B7"/>
    <w:rsid w:val="74F7640D"/>
    <w:rsid w:val="750C092B"/>
    <w:rsid w:val="757C5170"/>
    <w:rsid w:val="75D31ACF"/>
    <w:rsid w:val="764C26F2"/>
    <w:rsid w:val="76E809BF"/>
    <w:rsid w:val="773E0EF4"/>
    <w:rsid w:val="7A866F31"/>
    <w:rsid w:val="7E46070A"/>
    <w:rsid w:val="7E663BC1"/>
    <w:rsid w:val="7FF631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kern w:val="36"/>
      <w:sz w:val="24"/>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rFonts w:ascii="宋体" w:hAnsi="宋体" w:cs="宋体"/>
      <w:kern w:val="36"/>
      <w:sz w:val="24"/>
      <w:szCs w:val="24"/>
    </w:rPr>
  </w:style>
  <w:style w:type="paragraph" w:styleId="a3">
    <w:name w:val="annotation text"/>
    <w:basedOn w:val="a"/>
    <w:link w:val="Char"/>
    <w:uiPriority w:val="99"/>
    <w:unhideWhenUsed/>
    <w:pPr>
      <w:jc w:val="left"/>
    </w:pPr>
  </w:style>
  <w:style w:type="character" w:customStyle="1" w:styleId="Char">
    <w:name w:val="批注文字 Char"/>
    <w:link w:val="a3"/>
    <w:uiPriority w:val="99"/>
    <w:rPr>
      <w:kern w:val="2"/>
      <w:sz w:val="21"/>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1"/>
    <w:uiPriority w:val="99"/>
    <w:unhideWhenUsed/>
    <w:rPr>
      <w:b/>
      <w:bCs/>
    </w:rPr>
  </w:style>
  <w:style w:type="character" w:customStyle="1" w:styleId="Char1">
    <w:name w:val="批注主题 Char"/>
    <w:link w:val="a8"/>
    <w:uiPriority w:val="99"/>
    <w:semiHidden/>
    <w:rPr>
      <w:b/>
      <w:bCs/>
      <w:kern w:val="2"/>
      <w:sz w:val="21"/>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Emphasis"/>
    <w:uiPriority w:val="20"/>
    <w:qFormat/>
    <w:rPr>
      <w:i/>
      <w:iCs/>
    </w:rPr>
  </w:style>
  <w:style w:type="character" w:styleId="ab">
    <w:name w:val="Hyperlink"/>
    <w:uiPriority w:val="99"/>
    <w:unhideWhenUsed/>
    <w:rPr>
      <w:strike w:val="0"/>
      <w:dstrike w:val="0"/>
      <w:color w:val="0000FF"/>
      <w:u w:val="none"/>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font">
    <w:name w:val="font"/>
  </w:style>
  <w:style w:type="paragraph" w:styleId="ad">
    <w:name w:val="Revision"/>
    <w:uiPriority w:val="99"/>
    <w:semiHidden/>
    <w:rPr>
      <w:kern w:val="2"/>
      <w:sz w:val="21"/>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styleId="ae">
    <w:name w:val="No Spacing"/>
    <w:uiPriority w:val="1"/>
    <w:qFormat/>
    <w:pPr>
      <w:widowControl w:val="0"/>
      <w:jc w:val="both"/>
    </w:pPr>
    <w:rPr>
      <w:kern w:val="2"/>
      <w:sz w:val="21"/>
    </w:rPr>
  </w:style>
  <w:style w:type="character" w:customStyle="1" w:styleId="af">
    <w:name w:val="未处理的提及"/>
    <w:uiPriority w:val="99"/>
    <w:unhideWhenUsed/>
    <w:rPr>
      <w:color w:val="605E5C"/>
      <w:shd w:val="clear" w:color="auto" w:fill="E1DFDD"/>
    </w:rPr>
  </w:style>
  <w:style w:type="character" w:customStyle="1" w:styleId="15">
    <w:name w:val="15"/>
    <w:rPr>
      <w:rFonts w:ascii="Times New Roman" w:hAnsi="Times New Roman" w:cs="Times New Roman" w:hint="default"/>
      <w:color w:val="0000FF"/>
    </w:rPr>
  </w:style>
  <w:style w:type="character" w:customStyle="1" w:styleId="font51">
    <w:name w:val="font51"/>
    <w:rPr>
      <w:rFonts w:ascii="Calibri" w:hAnsi="Calibri" w:cs="Calibri"/>
      <w:i w:val="0"/>
      <w:iCs w:val="0"/>
      <w:color w:val="000000"/>
      <w:sz w:val="21"/>
      <w:szCs w:val="21"/>
      <w:u w:val="none"/>
    </w:rPr>
  </w:style>
  <w:style w:type="character" w:customStyle="1" w:styleId="font31">
    <w:name w:val="font31"/>
    <w:rPr>
      <w:rFonts w:ascii="宋体" w:eastAsia="宋体" w:hAnsi="宋体" w:cs="宋体" w:hint="eastAsia"/>
      <w:i w:val="0"/>
      <w:iCs w:val="0"/>
      <w:color w:val="000000"/>
      <w:sz w:val="21"/>
      <w:szCs w:val="21"/>
      <w:u w:val="none"/>
    </w:rPr>
  </w:style>
  <w:style w:type="character" w:customStyle="1" w:styleId="font61">
    <w:name w:val="font61"/>
    <w:rPr>
      <w:rFonts w:ascii="Calibri" w:hAnsi="Calibri" w:cs="Calibri"/>
      <w:i w:val="0"/>
      <w:iCs w:val="0"/>
      <w:color w:val="000000"/>
      <w:sz w:val="21"/>
      <w:szCs w:val="21"/>
      <w:u w:val="none"/>
    </w:rPr>
  </w:style>
  <w:style w:type="character" w:customStyle="1" w:styleId="font11">
    <w:name w:val="font11"/>
    <w:rPr>
      <w:rFonts w:ascii="宋体" w:eastAsia="宋体" w:hAnsi="宋体" w:cs="宋体" w:hint="eastAsia"/>
      <w:i w:val="0"/>
      <w:iCs w:val="0"/>
      <w:color w:val="000000"/>
      <w:sz w:val="21"/>
      <w:szCs w:val="21"/>
      <w:u w:val="none"/>
    </w:rPr>
  </w:style>
  <w:style w:type="character" w:customStyle="1" w:styleId="font41">
    <w:name w:val="font41"/>
    <w:basedOn w:val="a0"/>
    <w:rPr>
      <w:rFonts w:ascii="宋体" w:eastAsia="宋体" w:hAnsi="宋体" w:cs="宋体" w:hint="eastAsia"/>
      <w:i w:val="0"/>
      <w:iCs w:val="0"/>
      <w:color w:val="000000"/>
      <w:sz w:val="21"/>
      <w:szCs w:val="21"/>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4</DocSecurity>
  <Lines>7</Lines>
  <Paragraphs>2</Paragraphs>
  <ScaleCrop>false</ScaleCrop>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sunyuan</dc:creator>
  <cp:keywords/>
  <dc:description/>
  <cp:lastModifiedBy>ZHONGM</cp:lastModifiedBy>
  <cp:revision>2</cp:revision>
  <cp:lastPrinted>2015-10-21T04:49:00Z</cp:lastPrinted>
  <dcterms:created xsi:type="dcterms:W3CDTF">2023-03-06T16:00:00Z</dcterms:created>
  <dcterms:modified xsi:type="dcterms:W3CDTF">2023-03-06T16:00:00Z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B3BFBA733153499F8C7BC8E84830128D</vt:lpwstr>
  </property>
</Properties>
</file>