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21" w:rsidRPr="00D01921" w:rsidRDefault="00084A56" w:rsidP="00D01921">
      <w:pPr>
        <w:widowControl/>
        <w:shd w:val="clear" w:color="auto" w:fill="FFFFFF"/>
        <w:spacing w:before="345" w:after="100" w:afterAutospacing="1"/>
        <w:jc w:val="center"/>
        <w:outlineLvl w:val="1"/>
        <w:rPr>
          <w:rFonts w:ascii="宋体" w:eastAsia="宋体" w:hAnsi="宋体" w:cs="宋体"/>
          <w:b/>
          <w:bCs/>
          <w:kern w:val="36"/>
          <w:sz w:val="28"/>
          <w:szCs w:val="28"/>
        </w:rPr>
      </w:pPr>
      <w:bookmarkStart w:id="0" w:name="_GoBack"/>
      <w:bookmarkEnd w:id="0"/>
      <w:r w:rsidRPr="00084A56">
        <w:rPr>
          <w:rFonts w:ascii="宋体" w:eastAsia="宋体" w:hAnsi="宋体" w:cs="宋体" w:hint="eastAsia"/>
          <w:b/>
          <w:bCs/>
          <w:kern w:val="36"/>
          <w:sz w:val="28"/>
          <w:szCs w:val="28"/>
        </w:rPr>
        <w:t>关于</w:t>
      </w:r>
      <w:r w:rsidR="00FB16D7" w:rsidRPr="00FB16D7">
        <w:rPr>
          <w:rFonts w:ascii="宋体" w:eastAsia="宋体" w:hAnsi="宋体" w:cs="宋体" w:hint="eastAsia"/>
          <w:b/>
          <w:bCs/>
          <w:kern w:val="36"/>
          <w:sz w:val="28"/>
          <w:szCs w:val="28"/>
        </w:rPr>
        <w:t>景顺长城中短债债券型证券投资基金</w:t>
      </w:r>
      <w:r w:rsidR="00EC7A8A">
        <w:rPr>
          <w:rFonts w:ascii="宋体" w:eastAsia="宋体" w:hAnsi="宋体" w:cs="宋体" w:hint="eastAsia"/>
          <w:b/>
          <w:bCs/>
          <w:kern w:val="36"/>
          <w:sz w:val="28"/>
          <w:szCs w:val="28"/>
        </w:rPr>
        <w:t>新增</w:t>
      </w:r>
      <w:r w:rsidR="00FB16D7">
        <w:rPr>
          <w:rFonts w:ascii="宋体" w:eastAsia="宋体" w:hAnsi="宋体" w:cs="宋体" w:hint="eastAsia"/>
          <w:b/>
          <w:bCs/>
          <w:kern w:val="36"/>
          <w:sz w:val="28"/>
          <w:szCs w:val="28"/>
        </w:rPr>
        <w:t>广发证券</w:t>
      </w:r>
      <w:r w:rsidRPr="00084A56">
        <w:rPr>
          <w:rFonts w:ascii="宋体" w:eastAsia="宋体" w:hAnsi="宋体" w:cs="宋体" w:hint="eastAsia"/>
          <w:b/>
          <w:bCs/>
          <w:kern w:val="36"/>
          <w:sz w:val="28"/>
          <w:szCs w:val="28"/>
        </w:rPr>
        <w:t>为销售机构并开通基金定期定额投资业务、基金转换业务及参加申购、定期定额投资申购费率优惠的公告</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为更好地满足广大投资者的理财需求，根据景顺长城基金管理有限公司（以下简称</w:t>
      </w:r>
      <w:r w:rsidRPr="00D01921">
        <w:rPr>
          <w:rFonts w:ascii="宋体" w:eastAsia="宋体" w:hAnsi="宋体" w:cs="Arial"/>
          <w:kern w:val="0"/>
          <w:szCs w:val="21"/>
        </w:rPr>
        <w:t>“</w:t>
      </w:r>
      <w:r w:rsidRPr="00D01921">
        <w:rPr>
          <w:rFonts w:ascii="宋体" w:eastAsia="宋体" w:hAnsi="宋体" w:cs="Calibri" w:hint="eastAsia"/>
          <w:kern w:val="0"/>
          <w:szCs w:val="21"/>
        </w:rPr>
        <w:t>本公司</w:t>
      </w:r>
      <w:r w:rsidRPr="00D01921">
        <w:rPr>
          <w:rFonts w:ascii="宋体" w:eastAsia="宋体" w:hAnsi="宋体" w:cs="Arial"/>
          <w:kern w:val="0"/>
          <w:szCs w:val="21"/>
        </w:rPr>
        <w:t>”</w:t>
      </w:r>
      <w:r w:rsidRPr="00D01921">
        <w:rPr>
          <w:rFonts w:ascii="宋体" w:eastAsia="宋体" w:hAnsi="宋体" w:cs="Calibri" w:hint="eastAsia"/>
          <w:kern w:val="0"/>
          <w:szCs w:val="21"/>
        </w:rPr>
        <w:t>）与</w:t>
      </w:r>
      <w:r w:rsidR="00FB16D7" w:rsidRPr="00FB16D7">
        <w:rPr>
          <w:rFonts w:ascii="宋体" w:eastAsia="宋体" w:hAnsi="宋体" w:cs="Calibri" w:hint="eastAsia"/>
          <w:kern w:val="0"/>
          <w:szCs w:val="21"/>
        </w:rPr>
        <w:t>广发证券股份有限公司</w:t>
      </w:r>
      <w:r w:rsidR="00396E90" w:rsidRPr="00396E90">
        <w:rPr>
          <w:rFonts w:ascii="宋体" w:eastAsia="宋体" w:hAnsi="宋体" w:cs="Calibri" w:hint="eastAsia"/>
          <w:kern w:val="0"/>
          <w:szCs w:val="21"/>
        </w:rPr>
        <w:t>（以下简称“</w:t>
      </w:r>
      <w:r w:rsidR="00FB16D7">
        <w:rPr>
          <w:rFonts w:ascii="宋体" w:eastAsia="宋体" w:hAnsi="宋体" w:cs="Calibri" w:hint="eastAsia"/>
          <w:kern w:val="0"/>
          <w:szCs w:val="21"/>
        </w:rPr>
        <w:t>广发</w:t>
      </w:r>
      <w:r w:rsidR="00396E90" w:rsidRPr="00396E90">
        <w:rPr>
          <w:rFonts w:ascii="宋体" w:eastAsia="宋体" w:hAnsi="宋体" w:cs="Calibri" w:hint="eastAsia"/>
          <w:kern w:val="0"/>
          <w:szCs w:val="21"/>
        </w:rPr>
        <w:t>证券”）</w:t>
      </w:r>
      <w:r w:rsidRPr="00D01921">
        <w:rPr>
          <w:rFonts w:ascii="宋体" w:eastAsia="宋体" w:hAnsi="宋体" w:cs="Calibri" w:hint="eastAsia"/>
          <w:kern w:val="0"/>
          <w:szCs w:val="21"/>
        </w:rPr>
        <w:t>签署的委托销售协议，自</w:t>
      </w:r>
      <w:r w:rsidR="00BF11BE">
        <w:rPr>
          <w:rFonts w:ascii="宋体" w:eastAsia="宋体" w:hAnsi="宋体" w:cs="Arial"/>
          <w:kern w:val="0"/>
          <w:szCs w:val="21"/>
        </w:rPr>
        <w:t>2023</w:t>
      </w:r>
      <w:r w:rsidRPr="00D01921">
        <w:rPr>
          <w:rFonts w:ascii="宋体" w:eastAsia="宋体" w:hAnsi="宋体" w:cs="Calibri" w:hint="eastAsia"/>
          <w:kern w:val="0"/>
          <w:szCs w:val="21"/>
        </w:rPr>
        <w:t>年</w:t>
      </w:r>
      <w:r w:rsidR="00CE2188">
        <w:rPr>
          <w:rFonts w:ascii="宋体" w:eastAsia="宋体" w:hAnsi="宋体" w:cs="Arial" w:hint="eastAsia"/>
          <w:kern w:val="0"/>
          <w:szCs w:val="21"/>
        </w:rPr>
        <w:t>3</w:t>
      </w:r>
      <w:r w:rsidRPr="00D01921">
        <w:rPr>
          <w:rFonts w:ascii="宋体" w:eastAsia="宋体" w:hAnsi="宋体" w:cs="Calibri" w:hint="eastAsia"/>
          <w:kern w:val="0"/>
          <w:szCs w:val="21"/>
        </w:rPr>
        <w:t>月</w:t>
      </w:r>
      <w:r w:rsidR="00CE2188">
        <w:rPr>
          <w:rFonts w:ascii="宋体" w:eastAsia="宋体" w:hAnsi="宋体" w:cs="Arial"/>
          <w:kern w:val="0"/>
          <w:szCs w:val="21"/>
        </w:rPr>
        <w:t>2</w:t>
      </w:r>
      <w:r w:rsidRPr="00D01921">
        <w:rPr>
          <w:rFonts w:ascii="宋体" w:eastAsia="宋体" w:hAnsi="宋体" w:cs="Calibri" w:hint="eastAsia"/>
          <w:kern w:val="0"/>
          <w:szCs w:val="21"/>
        </w:rPr>
        <w:t>日起新增委托</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销售本公司</w:t>
      </w:r>
      <w:r w:rsidR="00084A56" w:rsidRPr="00084A56">
        <w:rPr>
          <w:rFonts w:ascii="宋体" w:eastAsia="宋体" w:hAnsi="宋体" w:cs="Calibri" w:hint="eastAsia"/>
          <w:kern w:val="0"/>
          <w:szCs w:val="21"/>
        </w:rPr>
        <w:t>旗下</w:t>
      </w:r>
      <w:r w:rsidR="00CE2188" w:rsidRPr="00CE2188">
        <w:rPr>
          <w:rFonts w:ascii="宋体" w:eastAsia="宋体" w:hAnsi="宋体" w:cs="Calibri" w:hint="eastAsia"/>
          <w:kern w:val="0"/>
          <w:szCs w:val="21"/>
        </w:rPr>
        <w:t>景顺长城中短债债券型证券投资基金</w:t>
      </w:r>
      <w:r w:rsidRPr="00D01921">
        <w:rPr>
          <w:rFonts w:ascii="宋体" w:eastAsia="宋体" w:hAnsi="宋体" w:cs="Calibri" w:hint="eastAsia"/>
          <w:kern w:val="0"/>
          <w:szCs w:val="21"/>
        </w:rPr>
        <w:t>并开通基金“定期定额投资业务”</w:t>
      </w:r>
      <w:r w:rsidR="00084A56" w:rsidRPr="00084A56">
        <w:rPr>
          <w:rFonts w:hint="eastAsia"/>
        </w:rPr>
        <w:t xml:space="preserve"> </w:t>
      </w:r>
      <w:r w:rsidR="00585CE2">
        <w:rPr>
          <w:rFonts w:ascii="宋体" w:eastAsia="宋体" w:hAnsi="宋体" w:cs="Calibri" w:hint="eastAsia"/>
          <w:kern w:val="0"/>
          <w:szCs w:val="21"/>
        </w:rPr>
        <w:t>及</w:t>
      </w:r>
      <w:r w:rsidR="00084A56" w:rsidRPr="00084A56">
        <w:rPr>
          <w:rFonts w:ascii="宋体" w:eastAsia="宋体" w:hAnsi="宋体" w:cs="Calibri" w:hint="eastAsia"/>
          <w:kern w:val="0"/>
          <w:szCs w:val="21"/>
        </w:rPr>
        <w:t>基金转换业务</w:t>
      </w:r>
      <w:r w:rsidRPr="00D01921">
        <w:rPr>
          <w:rFonts w:ascii="宋体" w:eastAsia="宋体" w:hAnsi="宋体" w:cs="Calibri" w:hint="eastAsia"/>
          <w:kern w:val="0"/>
          <w:szCs w:val="21"/>
        </w:rPr>
        <w:t>，同时参加</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开展的基金申购及定期定额投资申购费率优惠活动。具体的业务流程、办理时间和办理方式以</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的规定为准。现将相关事项公告如下：</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一、新增</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为销售机构</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1</w:t>
      </w:r>
      <w:r w:rsidRPr="00D01921">
        <w:rPr>
          <w:rFonts w:ascii="宋体" w:eastAsia="宋体" w:hAnsi="宋体" w:cs="Calibri" w:hint="eastAsia"/>
          <w:kern w:val="0"/>
          <w:szCs w:val="21"/>
        </w:rPr>
        <w:t>、适用基金</w:t>
      </w:r>
    </w:p>
    <w:tbl>
      <w:tblPr>
        <w:tblStyle w:val="a6"/>
        <w:tblW w:w="0" w:type="auto"/>
        <w:tblLook w:val="04A0"/>
      </w:tblPr>
      <w:tblGrid>
        <w:gridCol w:w="1864"/>
        <w:gridCol w:w="6263"/>
      </w:tblGrid>
      <w:tr w:rsidR="00AE5960" w:rsidRPr="00AE5960" w:rsidTr="00AE5960">
        <w:trPr>
          <w:trHeight w:val="262"/>
        </w:trPr>
        <w:tc>
          <w:tcPr>
            <w:tcW w:w="1864" w:type="dxa"/>
          </w:tcPr>
          <w:p w:rsidR="00AE5960" w:rsidRPr="00AE5960" w:rsidRDefault="00AE5960" w:rsidP="00AE5960">
            <w:pPr>
              <w:jc w:val="center"/>
              <w:rPr>
                <w:rFonts w:ascii="宋体" w:eastAsia="宋体" w:hAnsi="宋体"/>
                <w:b/>
              </w:rPr>
            </w:pPr>
            <w:r w:rsidRPr="00AE5960">
              <w:rPr>
                <w:rFonts w:ascii="宋体" w:eastAsia="宋体" w:hAnsi="宋体" w:hint="eastAsia"/>
                <w:b/>
              </w:rPr>
              <w:t>基金代码</w:t>
            </w:r>
          </w:p>
        </w:tc>
        <w:tc>
          <w:tcPr>
            <w:tcW w:w="6263" w:type="dxa"/>
          </w:tcPr>
          <w:p w:rsidR="00AE5960" w:rsidRPr="00AE5960" w:rsidRDefault="00AE5960" w:rsidP="00AE5960">
            <w:pPr>
              <w:jc w:val="center"/>
              <w:rPr>
                <w:rFonts w:ascii="宋体" w:eastAsia="宋体" w:hAnsi="宋体"/>
                <w:b/>
              </w:rPr>
            </w:pPr>
            <w:r w:rsidRPr="00AE5960">
              <w:rPr>
                <w:rFonts w:ascii="宋体" w:eastAsia="宋体" w:hAnsi="宋体" w:hint="eastAsia"/>
                <w:b/>
              </w:rPr>
              <w:t>基金名称</w:t>
            </w:r>
          </w:p>
        </w:tc>
      </w:tr>
      <w:tr w:rsidR="00AE5960" w:rsidRPr="00AE5960" w:rsidTr="00AE5960">
        <w:trPr>
          <w:trHeight w:val="275"/>
        </w:trPr>
        <w:tc>
          <w:tcPr>
            <w:tcW w:w="1864" w:type="dxa"/>
          </w:tcPr>
          <w:p w:rsidR="00AE5960" w:rsidRPr="00AE5960" w:rsidRDefault="00CE2188" w:rsidP="00084A56">
            <w:pPr>
              <w:jc w:val="center"/>
              <w:rPr>
                <w:rFonts w:ascii="宋体" w:eastAsia="宋体" w:hAnsi="宋体"/>
              </w:rPr>
            </w:pPr>
            <w:r w:rsidRPr="00CE2188">
              <w:rPr>
                <w:rFonts w:ascii="宋体" w:eastAsia="宋体" w:hAnsi="宋体"/>
              </w:rPr>
              <w:t>007603</w:t>
            </w:r>
          </w:p>
        </w:tc>
        <w:tc>
          <w:tcPr>
            <w:tcW w:w="6263" w:type="dxa"/>
          </w:tcPr>
          <w:p w:rsidR="00AE5960" w:rsidRPr="00AE5960" w:rsidRDefault="00CE2188" w:rsidP="00AE5960">
            <w:pPr>
              <w:rPr>
                <w:rFonts w:ascii="宋体" w:eastAsia="宋体" w:hAnsi="宋体"/>
              </w:rPr>
            </w:pPr>
            <w:r w:rsidRPr="00CE2188">
              <w:rPr>
                <w:rFonts w:ascii="宋体" w:eastAsia="宋体" w:hAnsi="宋体" w:hint="eastAsia"/>
              </w:rPr>
              <w:t>景顺长城中短债债券型证券投资基金</w:t>
            </w:r>
            <w:r w:rsidR="00AE5960" w:rsidRPr="00AE5960">
              <w:rPr>
                <w:rFonts w:ascii="宋体" w:eastAsia="宋体" w:hAnsi="宋体" w:hint="eastAsia"/>
              </w:rPr>
              <w:t>A</w:t>
            </w:r>
          </w:p>
        </w:tc>
      </w:tr>
      <w:tr w:rsidR="00AE5960" w:rsidRPr="00AE5960" w:rsidTr="00AE5960">
        <w:trPr>
          <w:trHeight w:val="262"/>
        </w:trPr>
        <w:tc>
          <w:tcPr>
            <w:tcW w:w="1864" w:type="dxa"/>
          </w:tcPr>
          <w:p w:rsidR="00AE5960" w:rsidRPr="00AE5960" w:rsidRDefault="00CE2188" w:rsidP="00EC7A8A">
            <w:pPr>
              <w:jc w:val="center"/>
              <w:rPr>
                <w:rFonts w:ascii="宋体" w:eastAsia="宋体" w:hAnsi="宋体"/>
              </w:rPr>
            </w:pPr>
            <w:r>
              <w:rPr>
                <w:rFonts w:ascii="宋体" w:eastAsia="宋体" w:hAnsi="宋体"/>
              </w:rPr>
              <w:t>007604</w:t>
            </w:r>
          </w:p>
        </w:tc>
        <w:tc>
          <w:tcPr>
            <w:tcW w:w="6263" w:type="dxa"/>
          </w:tcPr>
          <w:p w:rsidR="00AE5960" w:rsidRPr="00AE5960" w:rsidRDefault="00CE2188" w:rsidP="00AE5960">
            <w:pPr>
              <w:rPr>
                <w:rFonts w:ascii="宋体" w:eastAsia="宋体" w:hAnsi="宋体"/>
              </w:rPr>
            </w:pPr>
            <w:r w:rsidRPr="00CE2188">
              <w:rPr>
                <w:rFonts w:ascii="宋体" w:eastAsia="宋体" w:hAnsi="宋体" w:hint="eastAsia"/>
              </w:rPr>
              <w:t>景顺长城中短债债券型证券投资基金</w:t>
            </w:r>
            <w:r w:rsidR="00AE5960" w:rsidRPr="00AE5960">
              <w:rPr>
                <w:rFonts w:ascii="宋体" w:eastAsia="宋体" w:hAnsi="宋体"/>
              </w:rPr>
              <w:t>C</w:t>
            </w:r>
          </w:p>
        </w:tc>
      </w:tr>
    </w:tbl>
    <w:p w:rsidR="0034616A" w:rsidRPr="00AE5960" w:rsidRDefault="00AE5960" w:rsidP="00AE5960">
      <w:pPr>
        <w:widowControl/>
        <w:shd w:val="clear" w:color="auto" w:fill="FFFFFF"/>
        <w:spacing w:line="360" w:lineRule="auto"/>
        <w:jc w:val="left"/>
        <w:rPr>
          <w:rFonts w:ascii="宋体" w:eastAsia="宋体" w:hAnsi="宋体" w:cs="Calibri"/>
          <w:kern w:val="0"/>
          <w:szCs w:val="21"/>
        </w:rPr>
      </w:pPr>
      <w:r w:rsidRPr="005D41F3">
        <w:rPr>
          <w:rFonts w:ascii="宋体" w:eastAsia="宋体" w:hAnsi="宋体" w:cs="Calibri" w:hint="eastAsia"/>
          <w:kern w:val="0"/>
          <w:szCs w:val="21"/>
        </w:rPr>
        <w:t>注：</w:t>
      </w:r>
      <w:r w:rsidRPr="005D41F3">
        <w:rPr>
          <w:rFonts w:ascii="宋体" w:eastAsia="宋体" w:hAnsi="宋体" w:cs="Calibri"/>
          <w:kern w:val="0"/>
          <w:szCs w:val="21"/>
        </w:rPr>
        <w:t>上述基金最新业务状态详见本公司发布的相关业务公告。</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2</w:t>
      </w:r>
      <w:r w:rsidRPr="00D01921">
        <w:rPr>
          <w:rFonts w:ascii="宋体" w:eastAsia="宋体" w:hAnsi="宋体" w:cs="Calibri" w:hint="eastAsia"/>
          <w:kern w:val="0"/>
          <w:szCs w:val="21"/>
        </w:rPr>
        <w:t>、销售机构信息</w:t>
      </w:r>
    </w:p>
    <w:p w:rsidR="00396E90" w:rsidRPr="004015D7" w:rsidRDefault="00396E90" w:rsidP="00CE2188">
      <w:pPr>
        <w:widowControl/>
        <w:shd w:val="clear" w:color="auto" w:fill="FFFFFF"/>
        <w:spacing w:line="360" w:lineRule="auto"/>
        <w:ind w:leftChars="100" w:left="210" w:firstLineChars="100" w:firstLine="210"/>
        <w:jc w:val="left"/>
        <w:rPr>
          <w:rFonts w:ascii="宋体" w:eastAsia="宋体" w:hAnsi="宋体" w:cs="Calibri"/>
          <w:kern w:val="0"/>
          <w:szCs w:val="21"/>
        </w:rPr>
      </w:pPr>
      <w:r w:rsidRPr="004015D7">
        <w:rPr>
          <w:rFonts w:ascii="宋体" w:eastAsia="宋体" w:hAnsi="宋体" w:cs="Calibri" w:hint="eastAsia"/>
          <w:kern w:val="0"/>
          <w:szCs w:val="21"/>
        </w:rPr>
        <w:t>销售机构全称：</w:t>
      </w:r>
      <w:r w:rsidR="00CE2188" w:rsidRPr="00CE2188">
        <w:rPr>
          <w:rFonts w:ascii="宋体" w:eastAsia="宋体" w:hAnsi="宋体" w:cs="Calibri" w:hint="eastAsia"/>
          <w:kern w:val="0"/>
          <w:szCs w:val="21"/>
        </w:rPr>
        <w:t>广发证券股份有限公司</w:t>
      </w:r>
      <w:r w:rsidRPr="004015D7">
        <w:rPr>
          <w:rFonts w:ascii="宋体" w:eastAsia="宋体" w:hAnsi="宋体" w:cs="Calibri"/>
          <w:kern w:val="0"/>
          <w:szCs w:val="21"/>
        </w:rPr>
        <w:t xml:space="preserve"> </w:t>
      </w:r>
    </w:p>
    <w:p w:rsidR="00CE2188" w:rsidRPr="00CE2188" w:rsidRDefault="00CE2188" w:rsidP="00CE2188">
      <w:pPr>
        <w:widowControl/>
        <w:shd w:val="clear" w:color="auto" w:fill="FFFFFF"/>
        <w:spacing w:line="360" w:lineRule="auto"/>
        <w:ind w:leftChars="200" w:left="420"/>
        <w:jc w:val="left"/>
        <w:rPr>
          <w:rFonts w:ascii="宋体" w:eastAsia="宋体" w:hAnsi="宋体" w:cs="Calibri"/>
          <w:kern w:val="0"/>
          <w:szCs w:val="21"/>
        </w:rPr>
      </w:pPr>
      <w:r w:rsidRPr="00CE2188">
        <w:rPr>
          <w:rFonts w:ascii="宋体" w:eastAsia="宋体" w:hAnsi="宋体" w:cs="Calibri"/>
          <w:kern w:val="0"/>
          <w:szCs w:val="21"/>
        </w:rPr>
        <w:t xml:space="preserve">注册地址：广州市黄埔区中新广州知识城腾飞一街 2 号 618 室 </w:t>
      </w:r>
    </w:p>
    <w:p w:rsidR="00CE2188" w:rsidRPr="00CE2188" w:rsidRDefault="00CE2188" w:rsidP="00CE2188">
      <w:pPr>
        <w:widowControl/>
        <w:shd w:val="clear" w:color="auto" w:fill="FFFFFF"/>
        <w:spacing w:line="360" w:lineRule="auto"/>
        <w:ind w:leftChars="200" w:left="420"/>
        <w:jc w:val="left"/>
        <w:rPr>
          <w:rFonts w:ascii="宋体" w:eastAsia="宋体" w:hAnsi="宋体" w:cs="Calibri"/>
          <w:kern w:val="0"/>
          <w:szCs w:val="21"/>
        </w:rPr>
      </w:pPr>
      <w:r w:rsidRPr="00CE2188">
        <w:rPr>
          <w:rFonts w:ascii="宋体" w:eastAsia="宋体" w:hAnsi="宋体" w:cs="Calibri" w:hint="eastAsia"/>
          <w:kern w:val="0"/>
          <w:szCs w:val="21"/>
        </w:rPr>
        <w:t>办公地址：广州市天河区马场路</w:t>
      </w:r>
      <w:r w:rsidRPr="00CE2188">
        <w:rPr>
          <w:rFonts w:ascii="宋体" w:eastAsia="宋体" w:hAnsi="宋体" w:cs="Calibri"/>
          <w:kern w:val="0"/>
          <w:szCs w:val="21"/>
        </w:rPr>
        <w:t>26号广发证券大厦</w:t>
      </w:r>
    </w:p>
    <w:p w:rsidR="00CE2188" w:rsidRPr="00CE2188" w:rsidRDefault="00CE2188" w:rsidP="00CE2188">
      <w:pPr>
        <w:widowControl/>
        <w:shd w:val="clear" w:color="auto" w:fill="FFFFFF"/>
        <w:spacing w:line="360" w:lineRule="auto"/>
        <w:ind w:leftChars="200" w:left="420"/>
        <w:jc w:val="left"/>
        <w:rPr>
          <w:rFonts w:ascii="宋体" w:eastAsia="宋体" w:hAnsi="宋体" w:cs="Calibri"/>
          <w:kern w:val="0"/>
          <w:szCs w:val="21"/>
        </w:rPr>
      </w:pPr>
      <w:r w:rsidRPr="00CE2188">
        <w:rPr>
          <w:rFonts w:ascii="宋体" w:eastAsia="宋体" w:hAnsi="宋体" w:cs="Calibri" w:hint="eastAsia"/>
          <w:kern w:val="0"/>
          <w:szCs w:val="21"/>
        </w:rPr>
        <w:t>法定代表人：林传辉</w:t>
      </w:r>
    </w:p>
    <w:p w:rsidR="00CE2188" w:rsidRPr="00CE2188" w:rsidRDefault="00CE2188" w:rsidP="00CE2188">
      <w:pPr>
        <w:widowControl/>
        <w:shd w:val="clear" w:color="auto" w:fill="FFFFFF"/>
        <w:spacing w:line="360" w:lineRule="auto"/>
        <w:ind w:leftChars="200" w:left="420"/>
        <w:jc w:val="left"/>
        <w:rPr>
          <w:rFonts w:ascii="宋体" w:eastAsia="宋体" w:hAnsi="宋体" w:cs="Calibri"/>
          <w:kern w:val="0"/>
          <w:szCs w:val="21"/>
        </w:rPr>
      </w:pPr>
      <w:r w:rsidRPr="00CE2188">
        <w:rPr>
          <w:rFonts w:ascii="宋体" w:eastAsia="宋体" w:hAnsi="宋体" w:cs="Calibri" w:hint="eastAsia"/>
          <w:kern w:val="0"/>
          <w:szCs w:val="21"/>
        </w:rPr>
        <w:t>客服电话：</w:t>
      </w:r>
      <w:r w:rsidRPr="00CE2188">
        <w:rPr>
          <w:rFonts w:ascii="宋体" w:eastAsia="宋体" w:hAnsi="宋体" w:cs="Calibri"/>
          <w:kern w:val="0"/>
          <w:szCs w:val="21"/>
        </w:rPr>
        <w:t xml:space="preserve">95575、020-95575 或致电各地营业网点 </w:t>
      </w:r>
    </w:p>
    <w:p w:rsidR="00396E90" w:rsidRPr="00CE2188" w:rsidRDefault="00CE2188" w:rsidP="00CE2188">
      <w:pPr>
        <w:widowControl/>
        <w:shd w:val="clear" w:color="auto" w:fill="FFFFFF"/>
        <w:spacing w:line="360" w:lineRule="auto"/>
        <w:ind w:leftChars="200" w:left="420"/>
        <w:jc w:val="left"/>
        <w:rPr>
          <w:rFonts w:ascii="宋体" w:eastAsia="宋体" w:hAnsi="宋体" w:cs="Calibri"/>
          <w:kern w:val="0"/>
          <w:szCs w:val="21"/>
        </w:rPr>
      </w:pPr>
      <w:r w:rsidRPr="00CE2188">
        <w:rPr>
          <w:rFonts w:ascii="宋体" w:eastAsia="宋体" w:hAnsi="宋体" w:cs="Calibri" w:hint="eastAsia"/>
          <w:kern w:val="0"/>
          <w:szCs w:val="21"/>
        </w:rPr>
        <w:t>网址：</w:t>
      </w:r>
      <w:r>
        <w:rPr>
          <w:rFonts w:ascii="宋体" w:eastAsia="宋体" w:hAnsi="宋体" w:cs="Calibri"/>
          <w:kern w:val="0"/>
          <w:szCs w:val="21"/>
        </w:rPr>
        <w:t>www.gf.com.cn</w:t>
      </w:r>
    </w:p>
    <w:p w:rsidR="00BF11BE" w:rsidRPr="00D01921" w:rsidRDefault="00BF11BE" w:rsidP="00396E90">
      <w:pPr>
        <w:widowControl/>
        <w:shd w:val="clear" w:color="auto" w:fill="FFFFFF"/>
        <w:spacing w:line="360" w:lineRule="auto"/>
        <w:jc w:val="left"/>
        <w:rPr>
          <w:rFonts w:ascii="宋体" w:eastAsia="宋体" w:hAnsi="宋体" w:cs="Calibri"/>
          <w:kern w:val="0"/>
          <w:szCs w:val="21"/>
        </w:rPr>
      </w:pP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二、通过</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开通本基金</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是基金申购业务的一种方式，投资者可以通过</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提交申请，约定每期扣款时间、扣款金额及扣款方式，由</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于约定扣款日在投资者指定的资金账户内自动完成扣款以及基金申购业务。投资者在办理</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的同时，仍然可以进行日常申购、赎回业务。</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lastRenderedPageBreak/>
        <w:t>1</w:t>
      </w:r>
      <w:r w:rsidRPr="00D01921">
        <w:rPr>
          <w:rFonts w:ascii="宋体" w:eastAsia="宋体" w:hAnsi="宋体" w:cs="Calibri" w:hint="eastAsia"/>
          <w:kern w:val="0"/>
          <w:szCs w:val="21"/>
        </w:rPr>
        <w:t>、适用投资者范围</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适用于依据中华人民共和国有关法律法规的规定和本基金的基金合同约定可以投资证券投资基金的个人投资者和机构投资者。</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2</w:t>
      </w:r>
      <w:r w:rsidRPr="00D01921">
        <w:rPr>
          <w:rFonts w:ascii="宋体" w:eastAsia="宋体" w:hAnsi="宋体" w:cs="Calibri" w:hint="eastAsia"/>
          <w:kern w:val="0"/>
          <w:szCs w:val="21"/>
        </w:rPr>
        <w:t>、定期扣款金额</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投资者可以与</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约定每</w:t>
      </w:r>
      <w:r w:rsidR="00BC3527">
        <w:rPr>
          <w:rFonts w:ascii="宋体" w:eastAsia="宋体" w:hAnsi="宋体" w:cs="Calibri" w:hint="eastAsia"/>
          <w:kern w:val="0"/>
          <w:szCs w:val="21"/>
        </w:rPr>
        <w:t>期</w:t>
      </w:r>
      <w:r w:rsidRPr="00D01921">
        <w:rPr>
          <w:rFonts w:ascii="宋体" w:eastAsia="宋体" w:hAnsi="宋体" w:cs="Calibri" w:hint="eastAsia"/>
          <w:kern w:val="0"/>
          <w:szCs w:val="21"/>
        </w:rPr>
        <w:t>固定扣款金额，每期最低申购金额以</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为准，且不设定级差及累计申购限额。</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定期自动代投资者提交的申购金额，应与投资者原定期定额投资业务开通申请中填写的申购金额一致。</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3</w:t>
      </w:r>
      <w:r w:rsidRPr="00D01921">
        <w:rPr>
          <w:rFonts w:ascii="宋体" w:eastAsia="宋体" w:hAnsi="宋体" w:cs="Calibri" w:hint="eastAsia"/>
          <w:kern w:val="0"/>
          <w:szCs w:val="21"/>
        </w:rPr>
        <w:t>、交易确认</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以每期实际定期定额投资申购申请日（</w:t>
      </w:r>
      <w:r w:rsidRPr="00D01921">
        <w:rPr>
          <w:rFonts w:ascii="宋体" w:eastAsia="宋体" w:hAnsi="宋体" w:cs="Arial"/>
          <w:kern w:val="0"/>
          <w:szCs w:val="21"/>
        </w:rPr>
        <w:t>T</w:t>
      </w:r>
      <w:r w:rsidRPr="00D01921">
        <w:rPr>
          <w:rFonts w:ascii="宋体" w:eastAsia="宋体" w:hAnsi="宋体" w:cs="Calibri" w:hint="eastAsia"/>
          <w:kern w:val="0"/>
          <w:szCs w:val="21"/>
        </w:rPr>
        <w:t>日）的基金份额资产净值为基准计算申购份额。定期定额投资申购的确认以各基金注册登记机构的记录为准。</w:t>
      </w:r>
    </w:p>
    <w:p w:rsidR="00D01921" w:rsidRPr="00704281" w:rsidRDefault="00D01921" w:rsidP="0070428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4</w:t>
      </w:r>
      <w:r w:rsidRPr="00D01921">
        <w:rPr>
          <w:rFonts w:ascii="宋体" w:eastAsia="宋体" w:hAnsi="宋体" w:cs="Calibri" w:hint="eastAsia"/>
          <w:kern w:val="0"/>
          <w:szCs w:val="21"/>
        </w:rPr>
        <w:t>、有关</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的具体业务办理规则和程序请遵循</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的有关规定。</w:t>
      </w:r>
    </w:p>
    <w:p w:rsidR="00704281" w:rsidRPr="00CB19E9" w:rsidRDefault="00704281" w:rsidP="00704281">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三、通过</w:t>
      </w:r>
      <w:r w:rsidR="00FB16D7">
        <w:rPr>
          <w:rFonts w:ascii="宋体" w:eastAsia="宋体" w:hAnsi="宋体" w:cs="Calibri" w:hint="eastAsia"/>
          <w:kern w:val="0"/>
          <w:szCs w:val="21"/>
        </w:rPr>
        <w:t>广发证券</w:t>
      </w:r>
      <w:r w:rsidRPr="00CB19E9">
        <w:rPr>
          <w:rFonts w:ascii="宋体" w:eastAsia="宋体" w:hAnsi="宋体" w:cs="Calibri" w:hint="eastAsia"/>
          <w:kern w:val="0"/>
          <w:szCs w:val="21"/>
        </w:rPr>
        <w:t>开通上述基金转换业务</w:t>
      </w:r>
    </w:p>
    <w:p w:rsidR="00704281" w:rsidRPr="00CB19E9" w:rsidRDefault="00704281" w:rsidP="00704281">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1</w:t>
      </w:r>
      <w:r w:rsidRPr="00CB19E9">
        <w:rPr>
          <w:rFonts w:ascii="宋体" w:eastAsia="宋体" w:hAnsi="宋体" w:cs="Calibri" w:hint="eastAsia"/>
          <w:kern w:val="0"/>
          <w:szCs w:val="21"/>
        </w:rPr>
        <w:t>、本公司自</w:t>
      </w:r>
      <w:r>
        <w:rPr>
          <w:rFonts w:ascii="宋体" w:eastAsia="宋体" w:hAnsi="宋体" w:cs="Arial"/>
          <w:kern w:val="0"/>
          <w:szCs w:val="21"/>
        </w:rPr>
        <w:t>2023</w:t>
      </w:r>
      <w:r w:rsidRPr="00CB19E9">
        <w:rPr>
          <w:rFonts w:ascii="宋体" w:eastAsia="宋体" w:hAnsi="宋体" w:cs="Calibri" w:hint="eastAsia"/>
          <w:kern w:val="0"/>
          <w:szCs w:val="21"/>
        </w:rPr>
        <w:t>年</w:t>
      </w:r>
      <w:r w:rsidR="00CE2188">
        <w:rPr>
          <w:rFonts w:ascii="宋体" w:eastAsia="宋体" w:hAnsi="宋体" w:cs="Arial"/>
          <w:kern w:val="0"/>
          <w:szCs w:val="21"/>
        </w:rPr>
        <w:t>3</w:t>
      </w:r>
      <w:r w:rsidRPr="00CB19E9">
        <w:rPr>
          <w:rFonts w:ascii="宋体" w:eastAsia="宋体" w:hAnsi="宋体" w:cs="Calibri" w:hint="eastAsia"/>
          <w:kern w:val="0"/>
          <w:szCs w:val="21"/>
        </w:rPr>
        <w:t>月</w:t>
      </w:r>
      <w:r w:rsidR="00CE2188">
        <w:rPr>
          <w:rFonts w:ascii="宋体" w:eastAsia="宋体" w:hAnsi="宋体" w:cs="Arial"/>
          <w:kern w:val="0"/>
          <w:szCs w:val="21"/>
        </w:rPr>
        <w:t>2</w:t>
      </w:r>
      <w:r w:rsidRPr="00CB19E9">
        <w:rPr>
          <w:rFonts w:ascii="宋体" w:eastAsia="宋体" w:hAnsi="宋体" w:cs="Calibri" w:hint="eastAsia"/>
          <w:kern w:val="0"/>
          <w:szCs w:val="21"/>
        </w:rPr>
        <w:t>日起在</w:t>
      </w:r>
      <w:r w:rsidR="00FB16D7">
        <w:rPr>
          <w:rFonts w:ascii="宋体" w:eastAsia="宋体" w:hAnsi="宋体" w:cs="Calibri" w:hint="eastAsia"/>
          <w:kern w:val="0"/>
          <w:szCs w:val="21"/>
        </w:rPr>
        <w:t>广发证券</w:t>
      </w:r>
      <w:r w:rsidRPr="00CB19E9">
        <w:rPr>
          <w:rFonts w:ascii="宋体" w:eastAsia="宋体" w:hAnsi="宋体" w:cs="Calibri" w:hint="eastAsia"/>
          <w:kern w:val="0"/>
          <w:szCs w:val="21"/>
        </w:rPr>
        <w:t>开通上述基金的转换业务。</w:t>
      </w:r>
    </w:p>
    <w:p w:rsidR="00A76293" w:rsidRDefault="00A76293" w:rsidP="00A76293">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注：本基金A、C份额</w:t>
      </w:r>
      <w:r w:rsidRPr="0091091F">
        <w:rPr>
          <w:rFonts w:ascii="宋体" w:eastAsia="宋体" w:hAnsi="宋体" w:cs="Calibri" w:hint="eastAsia"/>
          <w:kern w:val="0"/>
          <w:szCs w:val="21"/>
        </w:rPr>
        <w:t>间</w:t>
      </w:r>
      <w:r w:rsidR="0029774E">
        <w:rPr>
          <w:rFonts w:ascii="宋体" w:eastAsia="宋体" w:hAnsi="宋体" w:cs="Calibri" w:hint="eastAsia"/>
          <w:kern w:val="0"/>
          <w:szCs w:val="21"/>
        </w:rPr>
        <w:t>已</w:t>
      </w:r>
      <w:r w:rsidRPr="0091091F">
        <w:rPr>
          <w:rFonts w:ascii="宋体" w:eastAsia="宋体" w:hAnsi="宋体" w:cs="Calibri" w:hint="eastAsia"/>
          <w:kern w:val="0"/>
          <w:szCs w:val="21"/>
        </w:rPr>
        <w:t>开通相互转换业务</w:t>
      </w:r>
      <w:r>
        <w:rPr>
          <w:rFonts w:ascii="宋体" w:eastAsia="宋体" w:hAnsi="宋体" w:cs="Calibri" w:hint="eastAsia"/>
          <w:kern w:val="0"/>
          <w:szCs w:val="21"/>
        </w:rPr>
        <w:t>。</w:t>
      </w:r>
    </w:p>
    <w:p w:rsidR="00704281" w:rsidRPr="006712A8" w:rsidRDefault="00704281" w:rsidP="00704281">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投资者在办理上述基金的转换业务时，应留意本公司相关公告，确认转出基金处于可赎回状态，转入基金处于可申购状态。</w:t>
      </w:r>
    </w:p>
    <w:p w:rsidR="00704281" w:rsidRPr="00CB19E9" w:rsidRDefault="00704281" w:rsidP="00704281">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Calibri" w:hint="eastAsia"/>
          <w:kern w:val="0"/>
          <w:szCs w:val="21"/>
        </w:rPr>
        <w:t>投资者申请基金转换时应遵循</w:t>
      </w:r>
      <w:r w:rsidR="00FB16D7">
        <w:rPr>
          <w:rFonts w:ascii="宋体" w:eastAsia="宋体" w:hAnsi="宋体" w:cs="Calibri" w:hint="eastAsia"/>
          <w:kern w:val="0"/>
          <w:szCs w:val="21"/>
        </w:rPr>
        <w:t>广发证券</w:t>
      </w:r>
      <w:r w:rsidRPr="00CB19E9">
        <w:rPr>
          <w:rFonts w:ascii="宋体" w:eastAsia="宋体" w:hAnsi="宋体" w:cs="Calibri" w:hint="eastAsia"/>
          <w:kern w:val="0"/>
          <w:szCs w:val="21"/>
        </w:rPr>
        <w:t>的规定提交业务申请。</w:t>
      </w:r>
    </w:p>
    <w:p w:rsidR="00704281" w:rsidRPr="00CB19E9" w:rsidRDefault="00704281" w:rsidP="00704281">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、基金转换业务的费率计算及规则</w:t>
      </w:r>
    </w:p>
    <w:p w:rsidR="00704281" w:rsidRPr="00704281" w:rsidRDefault="00704281" w:rsidP="00704281">
      <w:pPr>
        <w:widowControl/>
        <w:shd w:val="clear" w:color="auto" w:fill="FFFFFF"/>
        <w:spacing w:line="360" w:lineRule="auto"/>
        <w:ind w:firstLine="480"/>
        <w:jc w:val="left"/>
        <w:rPr>
          <w:rFonts w:ascii="宋体" w:eastAsia="宋体" w:hAnsi="宋体" w:cs="Calibri"/>
          <w:kern w:val="0"/>
          <w:szCs w:val="21"/>
        </w:rPr>
      </w:pPr>
      <w:r w:rsidRPr="00CB19E9">
        <w:rPr>
          <w:rFonts w:ascii="宋体" w:eastAsia="宋体" w:hAnsi="宋体" w:cs="Calibri" w:hint="eastAsia"/>
          <w:kern w:val="0"/>
          <w:szCs w:val="21"/>
        </w:rPr>
        <w:t>关于基金转换业务的费率计算及规则请另行参见本公司相关公告或基金招募说明书。</w:t>
      </w:r>
    </w:p>
    <w:p w:rsidR="00704281" w:rsidRPr="00D01921" w:rsidRDefault="00704281" w:rsidP="00D01921">
      <w:pPr>
        <w:widowControl/>
        <w:shd w:val="clear" w:color="auto" w:fill="FFFFFF"/>
        <w:spacing w:line="360" w:lineRule="auto"/>
        <w:ind w:firstLine="420"/>
        <w:jc w:val="left"/>
        <w:rPr>
          <w:rFonts w:ascii="宋体" w:eastAsia="宋体" w:hAnsi="宋体" w:cs="Calibri"/>
          <w:kern w:val="0"/>
          <w:szCs w:val="21"/>
        </w:rPr>
      </w:pPr>
    </w:p>
    <w:p w:rsidR="00D01921" w:rsidRPr="00D01921" w:rsidRDefault="00704281" w:rsidP="00EC34D9">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四</w:t>
      </w:r>
      <w:r w:rsidR="00D01921" w:rsidRPr="00D01921">
        <w:rPr>
          <w:rFonts w:ascii="宋体" w:eastAsia="宋体" w:hAnsi="宋体" w:cs="Calibri" w:hint="eastAsia"/>
          <w:kern w:val="0"/>
          <w:szCs w:val="21"/>
        </w:rPr>
        <w:t>、优惠活动内容</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投资者通过</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一次性申购或定期定额投资申购本公司本基金（限前端收费模式），可享受申购费率折扣优惠，具体的费率优惠规则，以</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的安排和规定为准。</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704281" w:rsidP="00D01921">
      <w:pPr>
        <w:widowControl/>
        <w:shd w:val="clear" w:color="auto" w:fill="FFFFFF"/>
        <w:spacing w:line="360" w:lineRule="auto"/>
        <w:ind w:firstLine="480"/>
        <w:jc w:val="left"/>
        <w:rPr>
          <w:rFonts w:ascii="宋体" w:eastAsia="宋体" w:hAnsi="宋体" w:cs="Calibri"/>
          <w:kern w:val="0"/>
          <w:szCs w:val="21"/>
        </w:rPr>
      </w:pPr>
      <w:r>
        <w:rPr>
          <w:rFonts w:ascii="宋体" w:eastAsia="宋体" w:hAnsi="宋体" w:cs="Calibri" w:hint="eastAsia"/>
          <w:kern w:val="0"/>
          <w:szCs w:val="21"/>
        </w:rPr>
        <w:t>五</w:t>
      </w:r>
      <w:r w:rsidR="00D01921" w:rsidRPr="00D01921">
        <w:rPr>
          <w:rFonts w:ascii="宋体" w:eastAsia="宋体" w:hAnsi="宋体" w:cs="Calibri" w:hint="eastAsia"/>
          <w:kern w:val="0"/>
          <w:szCs w:val="21"/>
        </w:rPr>
        <w:t>、相关说明</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Calibri" w:hint="eastAsia"/>
          <w:kern w:val="0"/>
          <w:szCs w:val="21"/>
        </w:rPr>
        <w:t>若今后</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依据法律法规及基金相关法律文件对投资起点金额、级差及累计申购限额等标准进行调整，以</w:t>
      </w:r>
      <w:r w:rsidR="00FB16D7">
        <w:rPr>
          <w:rFonts w:ascii="宋体" w:eastAsia="宋体" w:hAnsi="宋体" w:cs="Calibri" w:hint="eastAsia"/>
          <w:kern w:val="0"/>
          <w:szCs w:val="21"/>
        </w:rPr>
        <w:t>广发证券</w:t>
      </w:r>
      <w:r w:rsidRPr="00D01921">
        <w:rPr>
          <w:rFonts w:ascii="宋体" w:eastAsia="宋体" w:hAnsi="宋体" w:cs="Calibri" w:hint="eastAsia"/>
          <w:kern w:val="0"/>
          <w:szCs w:val="21"/>
        </w:rPr>
        <w:t>最新规定为准。</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704281" w:rsidP="00D01921">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六</w:t>
      </w:r>
      <w:r w:rsidR="00D01921" w:rsidRPr="00D01921">
        <w:rPr>
          <w:rFonts w:ascii="宋体" w:eastAsia="宋体" w:hAnsi="宋体" w:cs="Calibri" w:hint="eastAsia"/>
          <w:kern w:val="0"/>
          <w:szCs w:val="21"/>
        </w:rPr>
        <w:t>、业务咨询</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1</w:t>
      </w:r>
      <w:r w:rsidRPr="00D01921">
        <w:rPr>
          <w:rFonts w:ascii="宋体" w:eastAsia="宋体" w:hAnsi="宋体" w:cs="Calibri" w:hint="eastAsia"/>
          <w:kern w:val="0"/>
          <w:szCs w:val="21"/>
        </w:rPr>
        <w:t>、景顺长城基金管理有限公司</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lastRenderedPageBreak/>
        <w:t>客户服务电话：</w:t>
      </w:r>
      <w:r w:rsidRPr="00D01921">
        <w:rPr>
          <w:rFonts w:ascii="宋体" w:eastAsia="宋体" w:hAnsi="宋体" w:cs="Arial"/>
          <w:kern w:val="0"/>
          <w:szCs w:val="21"/>
        </w:rPr>
        <w:t>400 8888 606</w:t>
      </w:r>
      <w:r w:rsidRPr="00D01921">
        <w:rPr>
          <w:rFonts w:ascii="宋体" w:eastAsia="宋体" w:hAnsi="宋体" w:cs="Calibri" w:hint="eastAsia"/>
          <w:kern w:val="0"/>
          <w:szCs w:val="21"/>
        </w:rPr>
        <w:t>、</w:t>
      </w:r>
      <w:r w:rsidRPr="00D01921">
        <w:rPr>
          <w:rFonts w:ascii="宋体" w:eastAsia="宋体" w:hAnsi="宋体" w:cs="Arial"/>
          <w:kern w:val="0"/>
          <w:szCs w:val="21"/>
        </w:rPr>
        <w:t>0755-82370688</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Pr="00D01921">
        <w:rPr>
          <w:rFonts w:ascii="宋体" w:eastAsia="宋体" w:hAnsi="宋体" w:cs="Arial"/>
          <w:kern w:val="0"/>
          <w:szCs w:val="21"/>
        </w:rPr>
        <w:t>www.igwfmc.com</w:t>
      </w:r>
    </w:p>
    <w:p w:rsidR="00396E90" w:rsidRPr="00CB19E9" w:rsidRDefault="00396E90" w:rsidP="00396E90">
      <w:pPr>
        <w:widowControl/>
        <w:shd w:val="clear" w:color="auto" w:fill="FFFFFF"/>
        <w:spacing w:line="360" w:lineRule="auto"/>
        <w:ind w:firstLine="420"/>
        <w:jc w:val="left"/>
        <w:rPr>
          <w:rFonts w:ascii="宋体" w:eastAsia="宋体" w:hAnsi="宋体" w:cs="Calibri"/>
          <w:kern w:val="0"/>
          <w:szCs w:val="21"/>
        </w:rPr>
      </w:pPr>
      <w:r w:rsidRPr="00CB19E9">
        <w:rPr>
          <w:rFonts w:ascii="宋体" w:eastAsia="宋体" w:hAnsi="宋体" w:cs="Arial"/>
          <w:kern w:val="0"/>
          <w:szCs w:val="21"/>
        </w:rPr>
        <w:t>2</w:t>
      </w:r>
      <w:r w:rsidRPr="00CB19E9">
        <w:rPr>
          <w:rFonts w:ascii="宋体" w:eastAsia="宋体" w:hAnsi="宋体" w:cs="Calibri" w:hint="eastAsia"/>
          <w:kern w:val="0"/>
          <w:szCs w:val="21"/>
        </w:rPr>
        <w:t>、</w:t>
      </w:r>
      <w:r w:rsidR="00064DEF">
        <w:rPr>
          <w:rFonts w:ascii="宋体" w:eastAsia="宋体" w:hAnsi="宋体" w:cs="Calibri" w:hint="eastAsia"/>
          <w:kern w:val="0"/>
          <w:szCs w:val="21"/>
        </w:rPr>
        <w:t>广发</w:t>
      </w:r>
      <w:r w:rsidRPr="001E11FC">
        <w:rPr>
          <w:rFonts w:ascii="宋体" w:eastAsia="宋体" w:hAnsi="宋体" w:cs="Calibri" w:hint="eastAsia"/>
          <w:kern w:val="0"/>
          <w:szCs w:val="21"/>
        </w:rPr>
        <w:t>证券股份有限公司</w:t>
      </w:r>
    </w:p>
    <w:p w:rsidR="00064DEF" w:rsidRPr="00064DEF" w:rsidRDefault="00064DEF" w:rsidP="00064DEF">
      <w:pPr>
        <w:widowControl/>
        <w:shd w:val="clear" w:color="auto" w:fill="FFFFFF"/>
        <w:spacing w:line="360" w:lineRule="auto"/>
        <w:ind w:firstLine="420"/>
        <w:jc w:val="left"/>
        <w:rPr>
          <w:rFonts w:ascii="宋体" w:eastAsia="宋体" w:hAnsi="宋体" w:cs="Calibri"/>
          <w:kern w:val="0"/>
          <w:szCs w:val="21"/>
        </w:rPr>
      </w:pPr>
      <w:r w:rsidRPr="00064DEF">
        <w:rPr>
          <w:rFonts w:ascii="宋体" w:eastAsia="宋体" w:hAnsi="宋体" w:cs="Calibri" w:hint="eastAsia"/>
          <w:kern w:val="0"/>
          <w:szCs w:val="21"/>
        </w:rPr>
        <w:t>客服电话：</w:t>
      </w:r>
      <w:r w:rsidRPr="00064DEF">
        <w:rPr>
          <w:rFonts w:ascii="宋体" w:eastAsia="宋体" w:hAnsi="宋体" w:cs="Calibri"/>
          <w:kern w:val="0"/>
          <w:szCs w:val="21"/>
        </w:rPr>
        <w:t xml:space="preserve">95575、020-95575 或致电各地营业网点 </w:t>
      </w:r>
    </w:p>
    <w:p w:rsidR="00396E90" w:rsidRPr="00FF4AF1" w:rsidRDefault="00064DEF" w:rsidP="00064DEF">
      <w:pPr>
        <w:widowControl/>
        <w:shd w:val="clear" w:color="auto" w:fill="FFFFFF"/>
        <w:spacing w:line="360" w:lineRule="auto"/>
        <w:ind w:firstLine="420"/>
        <w:jc w:val="left"/>
        <w:rPr>
          <w:rFonts w:ascii="宋体" w:eastAsia="宋体" w:hAnsi="宋体" w:cs="Calibri"/>
          <w:kern w:val="0"/>
          <w:szCs w:val="21"/>
        </w:rPr>
      </w:pPr>
      <w:r w:rsidRPr="00064DEF">
        <w:rPr>
          <w:rFonts w:ascii="宋体" w:eastAsia="宋体" w:hAnsi="宋体" w:cs="Calibri" w:hint="eastAsia"/>
          <w:kern w:val="0"/>
          <w:szCs w:val="21"/>
        </w:rPr>
        <w:t>网址：</w:t>
      </w:r>
      <w:r w:rsidRPr="00064DEF">
        <w:rPr>
          <w:rFonts w:ascii="宋体" w:eastAsia="宋体" w:hAnsi="宋体" w:cs="Calibri"/>
          <w:kern w:val="0"/>
          <w:szCs w:val="21"/>
        </w:rPr>
        <w:t>www.gf.com.cn</w:t>
      </w:r>
      <w:r w:rsidR="00396E90" w:rsidRPr="00FF4AF1">
        <w:rPr>
          <w:rFonts w:ascii="宋体" w:eastAsia="宋体" w:hAnsi="宋体" w:cs="Calibri"/>
          <w:kern w:val="0"/>
          <w:szCs w:val="21"/>
        </w:rPr>
        <w:t xml:space="preserve">  </w:t>
      </w:r>
    </w:p>
    <w:p w:rsidR="00270811" w:rsidRDefault="00270811" w:rsidP="00396E90">
      <w:pPr>
        <w:widowControl/>
        <w:shd w:val="clear" w:color="auto" w:fill="FFFFFF"/>
        <w:spacing w:line="360" w:lineRule="auto"/>
        <w:jc w:val="left"/>
        <w:rPr>
          <w:rFonts w:ascii="宋体" w:eastAsia="宋体" w:hAnsi="宋体" w:cs="Calibri"/>
          <w:kern w:val="0"/>
          <w:szCs w:val="21"/>
        </w:rPr>
      </w:pP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本基金时应认真阅读本基金的基金合同、招募说明书等文件。敬请投资者留意投资风险。</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特此公告。</w:t>
      </w:r>
    </w:p>
    <w:p w:rsidR="00D01921" w:rsidRPr="00D01921" w:rsidRDefault="00D01921" w:rsidP="00D01921">
      <w:pPr>
        <w:widowControl/>
        <w:shd w:val="clear" w:color="auto" w:fill="FFFFFF"/>
        <w:spacing w:line="360" w:lineRule="auto"/>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right"/>
        <w:rPr>
          <w:rFonts w:ascii="宋体" w:eastAsia="宋体" w:hAnsi="宋体" w:cs="Calibri"/>
          <w:kern w:val="0"/>
          <w:szCs w:val="21"/>
        </w:rPr>
      </w:pPr>
      <w:r w:rsidRPr="00D01921">
        <w:rPr>
          <w:rFonts w:ascii="宋体" w:eastAsia="宋体" w:hAnsi="宋体" w:cs="Calibri" w:hint="eastAsia"/>
          <w:kern w:val="0"/>
          <w:szCs w:val="21"/>
        </w:rPr>
        <w:t>景顺长城基金管理有限公司</w:t>
      </w:r>
    </w:p>
    <w:p w:rsidR="00D01921" w:rsidRPr="00D01921" w:rsidRDefault="000F3BB1" w:rsidP="00D01921">
      <w:pPr>
        <w:widowControl/>
        <w:shd w:val="clear" w:color="auto" w:fill="FFFFFF"/>
        <w:spacing w:line="360" w:lineRule="auto"/>
        <w:jc w:val="right"/>
        <w:rPr>
          <w:rFonts w:ascii="宋体" w:eastAsia="宋体" w:hAnsi="宋体" w:cs="Calibri"/>
          <w:kern w:val="0"/>
          <w:szCs w:val="21"/>
        </w:rPr>
      </w:pPr>
      <w:r>
        <w:rPr>
          <w:rFonts w:ascii="宋体" w:eastAsia="宋体" w:hAnsi="宋体" w:cs="Calibri" w:hint="eastAsia"/>
          <w:kern w:val="0"/>
          <w:szCs w:val="21"/>
        </w:rPr>
        <w:t>二〇二三</w:t>
      </w:r>
      <w:r w:rsidR="00D01921" w:rsidRPr="00D01921">
        <w:rPr>
          <w:rFonts w:ascii="宋体" w:eastAsia="宋体" w:hAnsi="宋体" w:cs="Calibri" w:hint="eastAsia"/>
          <w:kern w:val="0"/>
          <w:szCs w:val="21"/>
        </w:rPr>
        <w:t>年</w:t>
      </w:r>
      <w:r w:rsidR="00A31499">
        <w:rPr>
          <w:rFonts w:ascii="宋体" w:eastAsia="宋体" w:hAnsi="宋体" w:cs="Calibri" w:hint="eastAsia"/>
          <w:kern w:val="0"/>
          <w:szCs w:val="21"/>
        </w:rPr>
        <w:t>三</w:t>
      </w:r>
      <w:r w:rsidR="00270811">
        <w:rPr>
          <w:rFonts w:ascii="宋体" w:eastAsia="宋体" w:hAnsi="宋体" w:cs="Calibri" w:hint="eastAsia"/>
          <w:kern w:val="0"/>
          <w:szCs w:val="21"/>
        </w:rPr>
        <w:t>月</w:t>
      </w:r>
      <w:r w:rsidR="00A31499">
        <w:rPr>
          <w:rFonts w:ascii="宋体" w:eastAsia="宋体" w:hAnsi="宋体" w:cs="Calibri" w:hint="eastAsia"/>
          <w:kern w:val="0"/>
          <w:szCs w:val="21"/>
        </w:rPr>
        <w:t>二</w:t>
      </w:r>
      <w:r w:rsidR="00D01921" w:rsidRPr="00D01921">
        <w:rPr>
          <w:rFonts w:ascii="宋体" w:eastAsia="宋体" w:hAnsi="宋体" w:cs="Calibri" w:hint="eastAsia"/>
          <w:kern w:val="0"/>
          <w:szCs w:val="21"/>
        </w:rPr>
        <w:t>日</w:t>
      </w:r>
    </w:p>
    <w:p w:rsidR="00601D0D" w:rsidRPr="000F3BB1" w:rsidRDefault="00073784">
      <w:pPr>
        <w:rPr>
          <w:rFonts w:ascii="宋体" w:eastAsia="宋体" w:hAnsi="宋体"/>
          <w:szCs w:val="21"/>
        </w:rPr>
      </w:pPr>
    </w:p>
    <w:sectPr w:rsidR="00601D0D" w:rsidRPr="000F3BB1" w:rsidSect="00DB59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DB1" w:rsidRDefault="005B0DB1" w:rsidP="00D01921">
      <w:r>
        <w:separator/>
      </w:r>
    </w:p>
  </w:endnote>
  <w:endnote w:type="continuationSeparator" w:id="0">
    <w:p w:rsidR="005B0DB1" w:rsidRDefault="005B0DB1" w:rsidP="00D019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DB1" w:rsidRDefault="005B0DB1" w:rsidP="00D01921">
      <w:r>
        <w:separator/>
      </w:r>
    </w:p>
  </w:footnote>
  <w:footnote w:type="continuationSeparator" w:id="0">
    <w:p w:rsidR="005B0DB1" w:rsidRDefault="005B0DB1" w:rsidP="00D01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313"/>
    <w:rsid w:val="00064DEF"/>
    <w:rsid w:val="00073784"/>
    <w:rsid w:val="00084A56"/>
    <w:rsid w:val="000C5A83"/>
    <w:rsid w:val="000F3A4F"/>
    <w:rsid w:val="000F3BB1"/>
    <w:rsid w:val="00157004"/>
    <w:rsid w:val="001E4548"/>
    <w:rsid w:val="001E79A0"/>
    <w:rsid w:val="00220BAF"/>
    <w:rsid w:val="00270811"/>
    <w:rsid w:val="0029774E"/>
    <w:rsid w:val="0034616A"/>
    <w:rsid w:val="00366CEC"/>
    <w:rsid w:val="00396E90"/>
    <w:rsid w:val="003C2623"/>
    <w:rsid w:val="004246E3"/>
    <w:rsid w:val="00496318"/>
    <w:rsid w:val="00547C38"/>
    <w:rsid w:val="00555313"/>
    <w:rsid w:val="00585CE2"/>
    <w:rsid w:val="00594E3B"/>
    <w:rsid w:val="005B0DB1"/>
    <w:rsid w:val="005C1EEF"/>
    <w:rsid w:val="005D31C6"/>
    <w:rsid w:val="00624498"/>
    <w:rsid w:val="0064541F"/>
    <w:rsid w:val="006B2DD1"/>
    <w:rsid w:val="00704281"/>
    <w:rsid w:val="00713235"/>
    <w:rsid w:val="007A6EE7"/>
    <w:rsid w:val="007D2017"/>
    <w:rsid w:val="008614FE"/>
    <w:rsid w:val="0091091F"/>
    <w:rsid w:val="00927ED9"/>
    <w:rsid w:val="00971EB2"/>
    <w:rsid w:val="009D06A6"/>
    <w:rsid w:val="00A2150C"/>
    <w:rsid w:val="00A31499"/>
    <w:rsid w:val="00A76293"/>
    <w:rsid w:val="00AE5960"/>
    <w:rsid w:val="00BB7FD0"/>
    <w:rsid w:val="00BC3527"/>
    <w:rsid w:val="00BF11BE"/>
    <w:rsid w:val="00CD3D64"/>
    <w:rsid w:val="00CE2188"/>
    <w:rsid w:val="00D01921"/>
    <w:rsid w:val="00D7708A"/>
    <w:rsid w:val="00DB5906"/>
    <w:rsid w:val="00DE471F"/>
    <w:rsid w:val="00E06E92"/>
    <w:rsid w:val="00E758CB"/>
    <w:rsid w:val="00EC34D9"/>
    <w:rsid w:val="00EC5344"/>
    <w:rsid w:val="00EC7A8A"/>
    <w:rsid w:val="00F81B9B"/>
    <w:rsid w:val="00FB1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921"/>
    <w:rPr>
      <w:sz w:val="18"/>
      <w:szCs w:val="18"/>
    </w:rPr>
  </w:style>
  <w:style w:type="paragraph" w:styleId="a4">
    <w:name w:val="footer"/>
    <w:basedOn w:val="a"/>
    <w:link w:val="Char0"/>
    <w:uiPriority w:val="99"/>
    <w:unhideWhenUsed/>
    <w:rsid w:val="00D01921"/>
    <w:pPr>
      <w:tabs>
        <w:tab w:val="center" w:pos="4153"/>
        <w:tab w:val="right" w:pos="8306"/>
      </w:tabs>
      <w:snapToGrid w:val="0"/>
      <w:jc w:val="left"/>
    </w:pPr>
    <w:rPr>
      <w:sz w:val="18"/>
      <w:szCs w:val="18"/>
    </w:rPr>
  </w:style>
  <w:style w:type="character" w:customStyle="1" w:styleId="Char0">
    <w:name w:val="页脚 Char"/>
    <w:basedOn w:val="a0"/>
    <w:link w:val="a4"/>
    <w:uiPriority w:val="99"/>
    <w:rsid w:val="00D01921"/>
    <w:rPr>
      <w:sz w:val="18"/>
      <w:szCs w:val="18"/>
    </w:rPr>
  </w:style>
  <w:style w:type="paragraph" w:styleId="a5">
    <w:name w:val="Normal (Web)"/>
    <w:basedOn w:val="a"/>
    <w:uiPriority w:val="99"/>
    <w:semiHidden/>
    <w:unhideWhenUsed/>
    <w:rsid w:val="00D01921"/>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D01921"/>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table" w:styleId="a6">
    <w:name w:val="Table Grid"/>
    <w:basedOn w:val="a1"/>
    <w:uiPriority w:val="39"/>
    <w:rsid w:val="00AE5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7708A"/>
    <w:rPr>
      <w:sz w:val="18"/>
      <w:szCs w:val="18"/>
    </w:rPr>
  </w:style>
  <w:style w:type="character" w:customStyle="1" w:styleId="Char1">
    <w:name w:val="批注框文本 Char"/>
    <w:basedOn w:val="a0"/>
    <w:link w:val="a7"/>
    <w:uiPriority w:val="99"/>
    <w:semiHidden/>
    <w:rsid w:val="00D7708A"/>
    <w:rPr>
      <w:sz w:val="18"/>
      <w:szCs w:val="18"/>
    </w:rPr>
  </w:style>
</w:styles>
</file>

<file path=word/webSettings.xml><?xml version="1.0" encoding="utf-8"?>
<w:webSettings xmlns:r="http://schemas.openxmlformats.org/officeDocument/2006/relationships" xmlns:w="http://schemas.openxmlformats.org/wordprocessingml/2006/main">
  <w:divs>
    <w:div w:id="21902508">
      <w:bodyDiv w:val="1"/>
      <w:marLeft w:val="0"/>
      <w:marRight w:val="0"/>
      <w:marTop w:val="0"/>
      <w:marBottom w:val="0"/>
      <w:divBdr>
        <w:top w:val="none" w:sz="0" w:space="0" w:color="auto"/>
        <w:left w:val="none" w:sz="0" w:space="0" w:color="auto"/>
        <w:bottom w:val="none" w:sz="0" w:space="0" w:color="auto"/>
        <w:right w:val="none" w:sz="0" w:space="0" w:color="auto"/>
      </w:divBdr>
    </w:div>
    <w:div w:id="192424711">
      <w:bodyDiv w:val="1"/>
      <w:marLeft w:val="0"/>
      <w:marRight w:val="0"/>
      <w:marTop w:val="0"/>
      <w:marBottom w:val="0"/>
      <w:divBdr>
        <w:top w:val="none" w:sz="0" w:space="0" w:color="auto"/>
        <w:left w:val="none" w:sz="0" w:space="0" w:color="auto"/>
        <w:bottom w:val="none" w:sz="0" w:space="0" w:color="auto"/>
        <w:right w:val="none" w:sz="0" w:space="0" w:color="auto"/>
      </w:divBdr>
    </w:div>
    <w:div w:id="207500446">
      <w:bodyDiv w:val="1"/>
      <w:marLeft w:val="0"/>
      <w:marRight w:val="0"/>
      <w:marTop w:val="0"/>
      <w:marBottom w:val="0"/>
      <w:divBdr>
        <w:top w:val="none" w:sz="0" w:space="0" w:color="auto"/>
        <w:left w:val="none" w:sz="0" w:space="0" w:color="auto"/>
        <w:bottom w:val="none" w:sz="0" w:space="0" w:color="auto"/>
        <w:right w:val="none" w:sz="0" w:space="0" w:color="auto"/>
      </w:divBdr>
    </w:div>
    <w:div w:id="404306132">
      <w:bodyDiv w:val="1"/>
      <w:marLeft w:val="0"/>
      <w:marRight w:val="0"/>
      <w:marTop w:val="0"/>
      <w:marBottom w:val="0"/>
      <w:divBdr>
        <w:top w:val="none" w:sz="0" w:space="0" w:color="auto"/>
        <w:left w:val="none" w:sz="0" w:space="0" w:color="auto"/>
        <w:bottom w:val="none" w:sz="0" w:space="0" w:color="auto"/>
        <w:right w:val="none" w:sz="0" w:space="0" w:color="auto"/>
      </w:divBdr>
      <w:divsChild>
        <w:div w:id="1423915002">
          <w:marLeft w:val="0"/>
          <w:marRight w:val="0"/>
          <w:marTop w:val="0"/>
          <w:marBottom w:val="0"/>
          <w:divBdr>
            <w:top w:val="none" w:sz="0" w:space="0" w:color="auto"/>
            <w:left w:val="none" w:sz="0" w:space="0" w:color="auto"/>
            <w:bottom w:val="none" w:sz="0" w:space="0" w:color="auto"/>
            <w:right w:val="none" w:sz="0" w:space="0" w:color="auto"/>
          </w:divBdr>
          <w:divsChild>
            <w:div w:id="215901183">
              <w:marLeft w:val="0"/>
              <w:marRight w:val="0"/>
              <w:marTop w:val="0"/>
              <w:marBottom w:val="0"/>
              <w:divBdr>
                <w:top w:val="single" w:sz="6" w:space="12" w:color="DDDDDD"/>
                <w:left w:val="single" w:sz="6" w:space="12" w:color="DDDDDD"/>
                <w:bottom w:val="single" w:sz="6" w:space="12" w:color="DDDDDD"/>
                <w:right w:val="single" w:sz="6" w:space="12" w:color="DDDDDD"/>
              </w:divBdr>
              <w:divsChild>
                <w:div w:id="3310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4324">
      <w:bodyDiv w:val="1"/>
      <w:marLeft w:val="0"/>
      <w:marRight w:val="0"/>
      <w:marTop w:val="0"/>
      <w:marBottom w:val="0"/>
      <w:divBdr>
        <w:top w:val="none" w:sz="0" w:space="0" w:color="auto"/>
        <w:left w:val="none" w:sz="0" w:space="0" w:color="auto"/>
        <w:bottom w:val="none" w:sz="0" w:space="0" w:color="auto"/>
        <w:right w:val="none" w:sz="0" w:space="0" w:color="auto"/>
      </w:divBdr>
    </w:div>
    <w:div w:id="841121533">
      <w:bodyDiv w:val="1"/>
      <w:marLeft w:val="0"/>
      <w:marRight w:val="0"/>
      <w:marTop w:val="0"/>
      <w:marBottom w:val="0"/>
      <w:divBdr>
        <w:top w:val="none" w:sz="0" w:space="0" w:color="auto"/>
        <w:left w:val="none" w:sz="0" w:space="0" w:color="auto"/>
        <w:bottom w:val="none" w:sz="0" w:space="0" w:color="auto"/>
        <w:right w:val="none" w:sz="0" w:space="0" w:color="auto"/>
      </w:divBdr>
    </w:div>
    <w:div w:id="890193447">
      <w:bodyDiv w:val="1"/>
      <w:marLeft w:val="0"/>
      <w:marRight w:val="0"/>
      <w:marTop w:val="0"/>
      <w:marBottom w:val="0"/>
      <w:divBdr>
        <w:top w:val="none" w:sz="0" w:space="0" w:color="auto"/>
        <w:left w:val="none" w:sz="0" w:space="0" w:color="auto"/>
        <w:bottom w:val="none" w:sz="0" w:space="0" w:color="auto"/>
        <w:right w:val="none" w:sz="0" w:space="0" w:color="auto"/>
      </w:divBdr>
    </w:div>
    <w:div w:id="894901024">
      <w:bodyDiv w:val="1"/>
      <w:marLeft w:val="0"/>
      <w:marRight w:val="0"/>
      <w:marTop w:val="0"/>
      <w:marBottom w:val="0"/>
      <w:divBdr>
        <w:top w:val="none" w:sz="0" w:space="0" w:color="auto"/>
        <w:left w:val="none" w:sz="0" w:space="0" w:color="auto"/>
        <w:bottom w:val="none" w:sz="0" w:space="0" w:color="auto"/>
        <w:right w:val="none" w:sz="0" w:space="0" w:color="auto"/>
      </w:divBdr>
    </w:div>
    <w:div w:id="972754395">
      <w:bodyDiv w:val="1"/>
      <w:marLeft w:val="0"/>
      <w:marRight w:val="0"/>
      <w:marTop w:val="0"/>
      <w:marBottom w:val="0"/>
      <w:divBdr>
        <w:top w:val="none" w:sz="0" w:space="0" w:color="auto"/>
        <w:left w:val="none" w:sz="0" w:space="0" w:color="auto"/>
        <w:bottom w:val="none" w:sz="0" w:space="0" w:color="auto"/>
        <w:right w:val="none" w:sz="0" w:space="0" w:color="auto"/>
      </w:divBdr>
    </w:div>
    <w:div w:id="975067099">
      <w:bodyDiv w:val="1"/>
      <w:marLeft w:val="0"/>
      <w:marRight w:val="0"/>
      <w:marTop w:val="0"/>
      <w:marBottom w:val="0"/>
      <w:divBdr>
        <w:top w:val="none" w:sz="0" w:space="0" w:color="auto"/>
        <w:left w:val="none" w:sz="0" w:space="0" w:color="auto"/>
        <w:bottom w:val="none" w:sz="0" w:space="0" w:color="auto"/>
        <w:right w:val="none" w:sz="0" w:space="0" w:color="auto"/>
      </w:divBdr>
    </w:div>
    <w:div w:id="1262949903">
      <w:bodyDiv w:val="1"/>
      <w:marLeft w:val="0"/>
      <w:marRight w:val="0"/>
      <w:marTop w:val="0"/>
      <w:marBottom w:val="0"/>
      <w:divBdr>
        <w:top w:val="none" w:sz="0" w:space="0" w:color="auto"/>
        <w:left w:val="none" w:sz="0" w:space="0" w:color="auto"/>
        <w:bottom w:val="none" w:sz="0" w:space="0" w:color="auto"/>
        <w:right w:val="none" w:sz="0" w:space="0" w:color="auto"/>
      </w:divBdr>
    </w:div>
    <w:div w:id="1508670522">
      <w:bodyDiv w:val="1"/>
      <w:marLeft w:val="0"/>
      <w:marRight w:val="0"/>
      <w:marTop w:val="0"/>
      <w:marBottom w:val="0"/>
      <w:divBdr>
        <w:top w:val="none" w:sz="0" w:space="0" w:color="auto"/>
        <w:left w:val="none" w:sz="0" w:space="0" w:color="auto"/>
        <w:bottom w:val="none" w:sz="0" w:space="0" w:color="auto"/>
        <w:right w:val="none" w:sz="0" w:space="0" w:color="auto"/>
      </w:divBdr>
    </w:div>
    <w:div w:id="1788546954">
      <w:bodyDiv w:val="1"/>
      <w:marLeft w:val="0"/>
      <w:marRight w:val="0"/>
      <w:marTop w:val="0"/>
      <w:marBottom w:val="0"/>
      <w:divBdr>
        <w:top w:val="none" w:sz="0" w:space="0" w:color="auto"/>
        <w:left w:val="none" w:sz="0" w:space="0" w:color="auto"/>
        <w:bottom w:val="none" w:sz="0" w:space="0" w:color="auto"/>
        <w:right w:val="none" w:sz="0" w:space="0" w:color="auto"/>
      </w:divBdr>
    </w:div>
    <w:div w:id="1795245592">
      <w:bodyDiv w:val="1"/>
      <w:marLeft w:val="0"/>
      <w:marRight w:val="0"/>
      <w:marTop w:val="0"/>
      <w:marBottom w:val="0"/>
      <w:divBdr>
        <w:top w:val="none" w:sz="0" w:space="0" w:color="auto"/>
        <w:left w:val="none" w:sz="0" w:space="0" w:color="auto"/>
        <w:bottom w:val="none" w:sz="0" w:space="0" w:color="auto"/>
        <w:right w:val="none" w:sz="0" w:space="0" w:color="auto"/>
      </w:divBdr>
    </w:div>
    <w:div w:id="1842889198">
      <w:bodyDiv w:val="1"/>
      <w:marLeft w:val="0"/>
      <w:marRight w:val="0"/>
      <w:marTop w:val="0"/>
      <w:marBottom w:val="0"/>
      <w:divBdr>
        <w:top w:val="none" w:sz="0" w:space="0" w:color="auto"/>
        <w:left w:val="none" w:sz="0" w:space="0" w:color="auto"/>
        <w:bottom w:val="none" w:sz="0" w:space="0" w:color="auto"/>
        <w:right w:val="none" w:sz="0" w:space="0" w:color="auto"/>
      </w:divBdr>
    </w:div>
    <w:div w:id="1968731342">
      <w:bodyDiv w:val="1"/>
      <w:marLeft w:val="0"/>
      <w:marRight w:val="0"/>
      <w:marTop w:val="0"/>
      <w:marBottom w:val="0"/>
      <w:divBdr>
        <w:top w:val="none" w:sz="0" w:space="0" w:color="auto"/>
        <w:left w:val="none" w:sz="0" w:space="0" w:color="auto"/>
        <w:bottom w:val="none" w:sz="0" w:space="0" w:color="auto"/>
        <w:right w:val="none" w:sz="0" w:space="0" w:color="auto"/>
      </w:divBdr>
    </w:div>
    <w:div w:id="2009794933">
      <w:bodyDiv w:val="1"/>
      <w:marLeft w:val="0"/>
      <w:marRight w:val="0"/>
      <w:marTop w:val="0"/>
      <w:marBottom w:val="0"/>
      <w:divBdr>
        <w:top w:val="none" w:sz="0" w:space="0" w:color="auto"/>
        <w:left w:val="none" w:sz="0" w:space="0" w:color="auto"/>
        <w:bottom w:val="none" w:sz="0" w:space="0" w:color="auto"/>
        <w:right w:val="none" w:sz="0" w:space="0" w:color="auto"/>
      </w:divBdr>
    </w:div>
    <w:div w:id="20731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1501</Characters>
  <Application>Microsoft Office Word</Application>
  <DocSecurity>4</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2023-03-01T16:01:00Z</dcterms:created>
  <dcterms:modified xsi:type="dcterms:W3CDTF">2023-03-01T16:01:00Z</dcterms:modified>
</cp:coreProperties>
</file>