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0040B2"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8E609D" w:rsidRPr="008E609D">
        <w:rPr>
          <w:rStyle w:val="a3"/>
          <w:rFonts w:ascii="Ђˎ̥" w:eastAsia="宋体" w:hAnsi="Ђˎ̥" w:cs="宋体" w:hint="eastAsia"/>
          <w:color w:val="000000"/>
          <w:kern w:val="0"/>
          <w:sz w:val="36"/>
          <w:szCs w:val="36"/>
        </w:rPr>
        <w:t>承销证券的</w:t>
      </w:r>
      <w:r w:rsidR="009F02E8">
        <w:rPr>
          <w:rStyle w:val="a3"/>
          <w:rFonts w:ascii="Ђˎ̥" w:eastAsia="宋体" w:hAnsi="Ђˎ̥" w:cs="宋体" w:hint="eastAsia"/>
          <w:color w:val="000000"/>
          <w:kern w:val="0"/>
          <w:sz w:val="36"/>
          <w:szCs w:val="36"/>
        </w:rPr>
        <w:t>关联交易</w:t>
      </w:r>
      <w:r w:rsidR="008E609D"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w:t>
      </w:r>
      <w:r w:rsidR="00437144">
        <w:rPr>
          <w:rFonts w:ascii="宋体" w:eastAsia="宋体" w:hAnsi="宋体" w:hint="eastAsia"/>
          <w:bCs/>
          <w:sz w:val="24"/>
          <w:szCs w:val="24"/>
        </w:rPr>
        <w:t xml:space="preserve"> </w:t>
      </w:r>
      <w:r w:rsidRPr="008E609D">
        <w:rPr>
          <w:rFonts w:ascii="宋体" w:eastAsia="宋体" w:hAnsi="宋体" w:hint="eastAsia"/>
          <w:bCs/>
          <w:sz w:val="24"/>
          <w:szCs w:val="24"/>
        </w:rPr>
        <w:t>称“本公司”）旗下部分公募基金参加了</w:t>
      </w:r>
      <w:r w:rsidR="0024272F" w:rsidRPr="0024272F">
        <w:rPr>
          <w:rFonts w:ascii="宋体" w:eastAsia="宋体" w:hAnsi="宋体"/>
          <w:bCs/>
          <w:sz w:val="24"/>
          <w:szCs w:val="24"/>
        </w:rPr>
        <w:t>广东绿通新能源电动车科技股份有限公司</w:t>
      </w:r>
      <w:r w:rsidRPr="008E609D">
        <w:rPr>
          <w:rFonts w:ascii="宋体" w:eastAsia="宋体" w:hAnsi="宋体" w:hint="eastAsia"/>
          <w:bCs/>
          <w:sz w:val="24"/>
          <w:szCs w:val="24"/>
        </w:rPr>
        <w:t>（以下简称“</w:t>
      </w:r>
      <w:r w:rsidR="00364958">
        <w:rPr>
          <w:rFonts w:ascii="宋体" w:eastAsia="宋体" w:hAnsi="宋体" w:hint="eastAsia"/>
          <w:bCs/>
          <w:sz w:val="24"/>
          <w:szCs w:val="24"/>
        </w:rPr>
        <w:t>绿通科技</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364958">
        <w:rPr>
          <w:rFonts w:ascii="宋体" w:eastAsia="宋体" w:hAnsi="宋体" w:hint="eastAsia"/>
          <w:bCs/>
          <w:sz w:val="24"/>
          <w:szCs w:val="24"/>
        </w:rPr>
        <w:t>绿通科技</w:t>
      </w:r>
      <w:r w:rsidR="00721AD4">
        <w:rPr>
          <w:rFonts w:ascii="宋体" w:eastAsia="宋体" w:hAnsi="宋体"/>
          <w:bCs/>
          <w:sz w:val="24"/>
          <w:szCs w:val="24"/>
        </w:rPr>
        <w:t>本次发行的主承销商</w:t>
      </w:r>
      <w:r w:rsidR="0081046C">
        <w:rPr>
          <w:rFonts w:ascii="宋体" w:eastAsia="宋体" w:hAnsi="宋体" w:hint="eastAsia"/>
          <w:bCs/>
          <w:sz w:val="24"/>
          <w:szCs w:val="24"/>
        </w:rPr>
        <w:t>兴业证券股份有限公</w:t>
      </w:r>
      <w:r w:rsidR="001B76F1">
        <w:rPr>
          <w:rFonts w:ascii="宋体" w:eastAsia="宋体" w:hAnsi="宋体" w:hint="eastAsia"/>
          <w:bCs/>
          <w:sz w:val="24"/>
          <w:szCs w:val="24"/>
        </w:rPr>
        <w:t>司为</w:t>
      </w:r>
      <w:r w:rsidR="001B76F1"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364958">
        <w:rPr>
          <w:rFonts w:ascii="宋体" w:eastAsia="宋体" w:hAnsi="宋体" w:hint="eastAsia"/>
          <w:bCs/>
          <w:sz w:val="24"/>
          <w:szCs w:val="24"/>
        </w:rPr>
        <w:t>131.11</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364958">
        <w:rPr>
          <w:rFonts w:ascii="宋体" w:eastAsia="宋体" w:hAnsi="宋体" w:hint="eastAsia"/>
          <w:bCs/>
          <w:sz w:val="24"/>
          <w:szCs w:val="24"/>
        </w:rPr>
        <w:t>绿通科技</w:t>
      </w:r>
      <w:r w:rsidR="009E4D14">
        <w:rPr>
          <w:rFonts w:ascii="宋体" w:eastAsia="宋体" w:hAnsi="宋体" w:hint="eastAsia"/>
          <w:bCs/>
          <w:sz w:val="24"/>
          <w:szCs w:val="24"/>
        </w:rPr>
        <w:t>于</w:t>
      </w:r>
      <w:r w:rsidR="003F5C28">
        <w:rPr>
          <w:rFonts w:ascii="宋体" w:eastAsia="宋体" w:hAnsi="宋体" w:hint="eastAsia"/>
          <w:bCs/>
          <w:sz w:val="24"/>
          <w:szCs w:val="24"/>
        </w:rPr>
        <w:t>202</w:t>
      </w:r>
      <w:r w:rsidR="00364958">
        <w:rPr>
          <w:rFonts w:ascii="宋体" w:eastAsia="宋体" w:hAnsi="宋体"/>
          <w:bCs/>
          <w:sz w:val="24"/>
          <w:szCs w:val="24"/>
        </w:rPr>
        <w:t>3</w:t>
      </w:r>
      <w:r>
        <w:rPr>
          <w:rFonts w:ascii="宋体" w:eastAsia="宋体" w:hAnsi="宋体" w:hint="eastAsia"/>
          <w:bCs/>
          <w:sz w:val="24"/>
          <w:szCs w:val="24"/>
        </w:rPr>
        <w:t>年</w:t>
      </w:r>
      <w:r w:rsidR="00364958">
        <w:rPr>
          <w:rFonts w:ascii="宋体" w:eastAsia="宋体" w:hAnsi="宋体" w:hint="eastAsia"/>
          <w:bCs/>
          <w:sz w:val="24"/>
          <w:szCs w:val="24"/>
        </w:rPr>
        <w:t>02</w:t>
      </w:r>
      <w:r>
        <w:rPr>
          <w:rFonts w:ascii="宋体" w:eastAsia="宋体" w:hAnsi="宋体" w:hint="eastAsia"/>
          <w:bCs/>
          <w:sz w:val="24"/>
          <w:szCs w:val="24"/>
        </w:rPr>
        <w:t>月</w:t>
      </w:r>
      <w:r w:rsidR="00364958">
        <w:rPr>
          <w:rFonts w:ascii="宋体" w:eastAsia="宋体" w:hAnsi="宋体" w:hint="eastAsia"/>
          <w:bCs/>
          <w:sz w:val="24"/>
          <w:szCs w:val="24"/>
        </w:rPr>
        <w:t>27</w:t>
      </w:r>
      <w:r>
        <w:rPr>
          <w:rFonts w:ascii="宋体" w:eastAsia="宋体" w:hAnsi="宋体" w:hint="eastAsia"/>
          <w:bCs/>
          <w:sz w:val="24"/>
          <w:szCs w:val="24"/>
        </w:rPr>
        <w:t>日发布的《</w:t>
      </w:r>
      <w:r w:rsidR="00437144" w:rsidRPr="00437144">
        <w:rPr>
          <w:rFonts w:ascii="宋体" w:eastAsia="宋体" w:hAnsi="宋体"/>
          <w:bCs/>
          <w:sz w:val="24"/>
          <w:szCs w:val="24"/>
        </w:rPr>
        <w:t>广东绿通新能源电动车科技股份有限公司首次公开发行股票并在创业板上市网下发行初步配售结果公告</w:t>
      </w:r>
      <w:r>
        <w:rPr>
          <w:rFonts w:ascii="宋体" w:eastAsia="宋体" w:hAnsi="宋体" w:hint="eastAsia"/>
          <w:bCs/>
          <w:sz w:val="24"/>
          <w:szCs w:val="24"/>
        </w:rPr>
        <w:t>》,</w:t>
      </w:r>
      <w:r w:rsidR="00203E1B">
        <w:rPr>
          <w:rFonts w:ascii="宋体" w:eastAsia="宋体" w:hAnsi="宋体" w:hint="eastAsia"/>
          <w:bCs/>
          <w:sz w:val="24"/>
          <w:szCs w:val="24"/>
        </w:rPr>
        <w:t>现将本公司旗下</w:t>
      </w:r>
      <w:r w:rsidR="0024272F">
        <w:rPr>
          <w:rFonts w:ascii="宋体" w:eastAsia="宋体" w:hAnsi="宋体" w:hint="eastAsia"/>
          <w:bCs/>
          <w:sz w:val="24"/>
          <w:szCs w:val="24"/>
        </w:rPr>
        <w:t>公募基金</w:t>
      </w:r>
      <w:r w:rsidR="00203E1B">
        <w:rPr>
          <w:rFonts w:ascii="宋体" w:eastAsia="宋体" w:hAnsi="宋体" w:hint="eastAsia"/>
          <w:bCs/>
          <w:sz w:val="24"/>
          <w:szCs w:val="24"/>
        </w:rPr>
        <w:t>参与</w:t>
      </w:r>
      <w:r w:rsidR="0024272F">
        <w:rPr>
          <w:rFonts w:ascii="宋体" w:eastAsia="宋体" w:hAnsi="宋体" w:hint="eastAsia"/>
          <w:bCs/>
          <w:sz w:val="24"/>
          <w:szCs w:val="24"/>
        </w:rPr>
        <w:t>绿通科技</w:t>
      </w:r>
      <w:r w:rsidR="008E609D" w:rsidRPr="008E609D">
        <w:rPr>
          <w:rFonts w:ascii="宋体" w:eastAsia="宋体" w:hAnsi="宋体" w:hint="eastAsia"/>
          <w:bCs/>
          <w:sz w:val="24"/>
          <w:szCs w:val="24"/>
        </w:rPr>
        <w:t>本次发行网下申购相关信息公告如下：</w:t>
      </w:r>
    </w:p>
    <w:tbl>
      <w:tblPr>
        <w:tblW w:w="7980" w:type="dxa"/>
        <w:jc w:val="center"/>
        <w:tblLook w:val="04A0"/>
      </w:tblPr>
      <w:tblGrid>
        <w:gridCol w:w="2628"/>
        <w:gridCol w:w="1672"/>
        <w:gridCol w:w="1290"/>
        <w:gridCol w:w="1209"/>
        <w:gridCol w:w="1181"/>
      </w:tblGrid>
      <w:tr w:rsidR="002B77B9" w:rsidRPr="0081046C" w:rsidTr="002B77B9">
        <w:trPr>
          <w:trHeight w:val="28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046C" w:rsidRPr="0081046C" w:rsidRDefault="0081046C" w:rsidP="0024272F">
            <w:pPr>
              <w:widowControl/>
              <w:jc w:val="center"/>
              <w:rPr>
                <w:rFonts w:ascii="Arial" w:eastAsia="宋体" w:hAnsi="Arial" w:cs="Arial"/>
                <w:b/>
                <w:kern w:val="0"/>
                <w:sz w:val="22"/>
              </w:rPr>
            </w:pPr>
            <w:r w:rsidRPr="0081046C">
              <w:rPr>
                <w:rFonts w:ascii="Arial" w:eastAsia="宋体" w:hAnsi="Arial" w:cs="Arial" w:hint="eastAsia"/>
                <w:b/>
                <w:kern w:val="0"/>
                <w:sz w:val="22"/>
              </w:rPr>
              <w:t>基金名称</w:t>
            </w:r>
          </w:p>
        </w:tc>
        <w:tc>
          <w:tcPr>
            <w:tcW w:w="1672" w:type="dxa"/>
            <w:tcBorders>
              <w:top w:val="single" w:sz="4" w:space="0" w:color="000000"/>
              <w:left w:val="nil"/>
              <w:bottom w:val="single" w:sz="4" w:space="0" w:color="000000"/>
              <w:right w:val="single" w:sz="4" w:space="0" w:color="000000"/>
            </w:tcBorders>
            <w:shd w:val="clear" w:color="auto" w:fill="auto"/>
            <w:noWrap/>
            <w:vAlign w:val="center"/>
            <w:hideMark/>
          </w:tcPr>
          <w:p w:rsidR="0081046C" w:rsidRPr="0081046C" w:rsidRDefault="0081046C" w:rsidP="0024272F">
            <w:pPr>
              <w:widowControl/>
              <w:jc w:val="center"/>
              <w:rPr>
                <w:rFonts w:ascii="宋体" w:eastAsia="宋体" w:hAnsi="宋体" w:cs="Arial"/>
                <w:b/>
                <w:kern w:val="0"/>
                <w:sz w:val="22"/>
              </w:rPr>
            </w:pPr>
            <w:r w:rsidRPr="0081046C">
              <w:rPr>
                <w:rFonts w:ascii="宋体" w:eastAsia="宋体" w:hAnsi="宋体" w:cs="Arial" w:hint="eastAsia"/>
                <w:b/>
                <w:kern w:val="0"/>
                <w:sz w:val="22"/>
              </w:rPr>
              <w:t>获配证券名称</w:t>
            </w:r>
          </w:p>
        </w:tc>
        <w:tc>
          <w:tcPr>
            <w:tcW w:w="1290" w:type="dxa"/>
            <w:tcBorders>
              <w:top w:val="single" w:sz="4" w:space="0" w:color="000000"/>
              <w:left w:val="nil"/>
              <w:bottom w:val="single" w:sz="4" w:space="0" w:color="000000"/>
              <w:right w:val="single" w:sz="4" w:space="0" w:color="000000"/>
            </w:tcBorders>
            <w:shd w:val="clear" w:color="auto" w:fill="auto"/>
            <w:noWrap/>
            <w:vAlign w:val="center"/>
            <w:hideMark/>
          </w:tcPr>
          <w:p w:rsidR="0081046C" w:rsidRPr="0081046C" w:rsidRDefault="0081046C" w:rsidP="0024272F">
            <w:pPr>
              <w:widowControl/>
              <w:jc w:val="center"/>
              <w:rPr>
                <w:rFonts w:ascii="Arial" w:eastAsia="宋体" w:hAnsi="Arial" w:cs="Arial"/>
                <w:b/>
                <w:color w:val="000000"/>
                <w:kern w:val="0"/>
                <w:sz w:val="22"/>
              </w:rPr>
            </w:pPr>
            <w:r w:rsidRPr="0081046C">
              <w:rPr>
                <w:rFonts w:ascii="Arial" w:eastAsia="宋体" w:hAnsi="Arial" w:cs="Arial" w:hint="eastAsia"/>
                <w:b/>
                <w:color w:val="000000"/>
                <w:kern w:val="0"/>
                <w:sz w:val="22"/>
              </w:rPr>
              <w:t>获配数量（股）</w:t>
            </w:r>
          </w:p>
        </w:tc>
        <w:tc>
          <w:tcPr>
            <w:tcW w:w="1148" w:type="dxa"/>
            <w:tcBorders>
              <w:top w:val="single" w:sz="4" w:space="0" w:color="000000"/>
              <w:left w:val="nil"/>
              <w:bottom w:val="single" w:sz="4" w:space="0" w:color="000000"/>
              <w:right w:val="single" w:sz="4" w:space="0" w:color="000000"/>
            </w:tcBorders>
            <w:shd w:val="clear" w:color="auto" w:fill="auto"/>
            <w:noWrap/>
            <w:vAlign w:val="center"/>
            <w:hideMark/>
          </w:tcPr>
          <w:p w:rsidR="0081046C" w:rsidRPr="0081046C" w:rsidRDefault="0081046C" w:rsidP="0024272F">
            <w:pPr>
              <w:widowControl/>
              <w:jc w:val="center"/>
              <w:rPr>
                <w:rFonts w:ascii="Arial" w:eastAsia="宋体" w:hAnsi="Arial" w:cs="Arial"/>
                <w:b/>
                <w:color w:val="000000"/>
                <w:kern w:val="0"/>
                <w:sz w:val="22"/>
              </w:rPr>
            </w:pPr>
            <w:r w:rsidRPr="0081046C">
              <w:rPr>
                <w:rFonts w:ascii="Arial" w:eastAsia="宋体" w:hAnsi="Arial" w:cs="Arial" w:hint="eastAsia"/>
                <w:b/>
                <w:color w:val="000000"/>
                <w:kern w:val="0"/>
                <w:sz w:val="22"/>
              </w:rPr>
              <w:t>获配金额（元）</w:t>
            </w:r>
          </w:p>
        </w:tc>
        <w:tc>
          <w:tcPr>
            <w:tcW w:w="1181" w:type="dxa"/>
            <w:tcBorders>
              <w:top w:val="single" w:sz="4" w:space="0" w:color="000000"/>
              <w:left w:val="nil"/>
              <w:bottom w:val="single" w:sz="4" w:space="0" w:color="000000"/>
              <w:right w:val="single" w:sz="4" w:space="0" w:color="000000"/>
            </w:tcBorders>
            <w:shd w:val="clear" w:color="auto" w:fill="auto"/>
            <w:noWrap/>
            <w:vAlign w:val="center"/>
            <w:hideMark/>
          </w:tcPr>
          <w:p w:rsidR="0081046C" w:rsidRPr="0081046C" w:rsidRDefault="0081046C" w:rsidP="0024272F">
            <w:pPr>
              <w:widowControl/>
              <w:jc w:val="center"/>
              <w:rPr>
                <w:rFonts w:ascii="宋体" w:eastAsia="宋体" w:hAnsi="宋体" w:cs="Arial"/>
                <w:b/>
                <w:color w:val="000000"/>
                <w:kern w:val="0"/>
                <w:sz w:val="22"/>
              </w:rPr>
            </w:pPr>
            <w:r w:rsidRPr="0081046C">
              <w:rPr>
                <w:rFonts w:ascii="宋体" w:eastAsia="宋体" w:hAnsi="宋体" w:cs="Arial" w:hint="eastAsia"/>
                <w:b/>
                <w:color w:val="000000"/>
                <w:kern w:val="0"/>
                <w:sz w:val="22"/>
              </w:rPr>
              <w:t>投资类型</w:t>
            </w:r>
          </w:p>
        </w:tc>
      </w:tr>
      <w:tr w:rsidR="002B77B9" w:rsidRPr="00BE0798" w:rsidTr="002B77B9">
        <w:trPr>
          <w:trHeight w:val="28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南方沪深</w:t>
            </w:r>
            <w:r w:rsidRPr="00AC3AA1">
              <w:t>300交易型开放式指数证券投资基金</w:t>
            </w:r>
          </w:p>
        </w:tc>
        <w:tc>
          <w:tcPr>
            <w:tcW w:w="1672" w:type="dxa"/>
            <w:tcBorders>
              <w:top w:val="single" w:sz="4" w:space="0" w:color="000000"/>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single" w:sz="4" w:space="0" w:color="000000"/>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single" w:sz="4" w:space="0" w:color="000000"/>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single" w:sz="4" w:space="0" w:color="000000"/>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南方盛元红利混合型证券投资基金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2200</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288442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w:t>
            </w:r>
            <w:r w:rsidRPr="00AC3AA1">
              <w:t>100指数证券投资基金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583</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76437.13</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w:t>
            </w:r>
            <w:r w:rsidRPr="00AC3AA1">
              <w:t>500交易型开放式指数证券投资基金联接</w:t>
            </w:r>
            <w:r w:rsidRPr="00AC3AA1">
              <w:lastRenderedPageBreak/>
              <w:t>基金（LOF）</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lastRenderedPageBreak/>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lastRenderedPageBreak/>
              <w:t>南方策略优化混合型证券投资基金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898</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117736.78</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南方平衡配置混合型证券投资基金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808</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105936.88</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南方核心竞争混合型证券投资基金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673</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88237.03</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中证</w:t>
            </w:r>
            <w:r w:rsidRPr="00AC3AA1">
              <w:t>500交易型开放式指数证券投资基金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南方医药保健灵活配置混合型证券投资基金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南方新优享灵活配置混合型证券投资基金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南方创新经济灵活配置混合型证券投资基金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南方利淘灵活配置混合型证券投资基金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2289</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300110.79</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南方大数据</w:t>
            </w:r>
            <w:r w:rsidRPr="00AC3AA1">
              <w:t>100指数证券投资基金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南方改革机遇灵活配置混合型证券投资基金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1122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147105.42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lastRenderedPageBreak/>
              <w:t>南方潜力新蓝筹混合型证券投资基金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南方国策动力股票型证券投资基金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1167</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153005.37</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南方中小盘成长股票型证券投资基金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南方量化成长股票型证券投资基金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449</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58868.39</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南方大数据</w:t>
            </w:r>
            <w:r w:rsidRPr="00AC3AA1">
              <w:t>300指数证券投资基金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673</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88237.03</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南方君选灵活配置混合型证券投资基金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1212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158905.32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南方转型增长灵活配置混合型证券投资基金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南方安泰混合型证券投资基金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w:t>
            </w:r>
            <w:r w:rsidRPr="00AC3AA1">
              <w:t>1000交易型开放式指数证券投资基金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南方安裕混合型证券投资基金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w:t>
            </w:r>
            <w:r w:rsidRPr="00AC3AA1">
              <w:t>500量化增强股票型发起式证券投资基金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2065</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270742.15</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南方军工改革灵活配置混合型证券投资基金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南方智慧精选灵活配置混合型证券投资基金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1571</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205973.81</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493"/>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南方安康混合型证券投资基金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南方安睿混合型证券投资基金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2334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306010.74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789"/>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南方金融主题灵活配置混合型证券投资基金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南方中证申万有色金属交易型开放式指数证券投资基金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南方中证全指房地产交易型开放式指数证券投资基金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t>MSCI中国A股国际通交易型开放式指数证券投资基金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1167</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153005.37</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南方成安优选灵活配置混合型证券投资基金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1616</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211873.76</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南方瑞祥一年定期开放灵活配置混合型证券投资基金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1032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135305.52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南方君信灵活配置混合型证券投资基金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942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123505.62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南方全天候策略混合型基金中基金</w:t>
            </w:r>
            <w:r w:rsidRPr="00AC3AA1">
              <w:t>(FOF)</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478"/>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南方智诚混合型证券投资基金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1436</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188273.96</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41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南方致远混合型证券投资基金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南方信息创新混合型证券投资基金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w:t>
            </w:r>
            <w:r w:rsidRPr="00AC3AA1">
              <w:t>ESG主题股票型证券投资基金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2020</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264842.2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南方宝泰一年持有期混合型证券投资基金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2245</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294341.95</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南方宝丰混合型证券投资基金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南方沪深</w:t>
            </w:r>
            <w:r w:rsidRPr="00AC3AA1">
              <w:t>300指数增强型证券投资基金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538</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70537.18</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南方誉慧一年持有期混合型证券投资基金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2110</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276642.1</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南方成长先锋混合型证券投资基金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南方创新精选一年定期开放混合型发起式证券投资基金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南方宁悦一年持有期混合型证券投资基金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南方阿尔法混合型证券投资基金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南方宝升混合型证券投资基金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南方中证新能源交易型开放式指数证券投资基金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南方匠心优选股票型证券投资基金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南方卓越优选</w:t>
            </w:r>
            <w:r w:rsidRPr="00AC3AA1">
              <w:t>3个月持有期混合型证券投资基金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南方医药创新股票型证券投资基金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南方宝顺混合型证券投资基金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南方誉享一年持有期混合型证券投资基金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南方均衡回报混合型证券投资基金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1302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170705.22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南方誉浦一年持有期混合型证券投资基金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南方宝恒混合型证券投资基金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南方中证科创创业</w:t>
            </w:r>
            <w:r w:rsidRPr="00AC3AA1">
              <w:t>50交易型开放式指数证券投资基金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726"/>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南方价值臻选混合型证券投资基金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1302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170705.22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792"/>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南方行业领先混合型证券投资基金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南方均衡优选一年持有期混合型证券投资基金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2200</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288442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1093"/>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南方富誉稳健养老目标一年持有期混合型基金中基金（</w:t>
            </w:r>
            <w:r w:rsidRPr="00AC3AA1">
              <w:t>FOF）</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1008"/>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南方中证全指医疗保健设备与服务交易型开放式指数证券投资基</w:t>
            </w:r>
            <w:bookmarkStart w:id="0" w:name="_GoBack"/>
            <w:bookmarkEnd w:id="0"/>
            <w:r w:rsidRPr="00AC3AA1">
              <w:rPr>
                <w:rFonts w:hint="eastAsia"/>
              </w:rPr>
              <w:t>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269</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35268.59</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752"/>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南方誉盈一年持有期混合型证券投资基金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2155</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282542.05</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南方专精特新混合型证券投资基金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942</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123505.62</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南方中证长江保护主题交易型开放式指数证券投资基金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南方宝昌混合型证券投资基金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南方宝裕混合型证券投资基金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南方宝嘉混合型证券投资基金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南方中证上海环交所碳中和交易型开放式指数证券投资基金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南方高质量优选混合型证券投资基金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1796</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235473.56</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285"/>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Pr="00AC3AA1" w:rsidRDefault="00BC73A6" w:rsidP="0024272F">
            <w:pPr>
              <w:jc w:val="left"/>
            </w:pPr>
            <w:r w:rsidRPr="00AC3AA1">
              <w:rPr>
                <w:rFonts w:hint="eastAsia"/>
              </w:rPr>
              <w:t>南方鑫悦</w:t>
            </w:r>
            <w:r w:rsidRPr="00AC3AA1">
              <w:t>15个月持有期混合型证券投资基金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Pr="008C5607"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Pr="00924389"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r w:rsidR="002B77B9" w:rsidRPr="00BE0798" w:rsidTr="002B77B9">
        <w:trPr>
          <w:trHeight w:val="570"/>
          <w:jc w:val="center"/>
        </w:trPr>
        <w:tc>
          <w:tcPr>
            <w:tcW w:w="2689" w:type="dxa"/>
            <w:tcBorders>
              <w:top w:val="nil"/>
              <w:left w:val="single" w:sz="4" w:space="0" w:color="000000"/>
              <w:bottom w:val="single" w:sz="4" w:space="0" w:color="000000"/>
              <w:right w:val="single" w:sz="4" w:space="0" w:color="000000"/>
            </w:tcBorders>
            <w:shd w:val="clear" w:color="auto" w:fill="auto"/>
            <w:vAlign w:val="center"/>
          </w:tcPr>
          <w:p w:rsidR="00BC73A6" w:rsidRDefault="00BC73A6" w:rsidP="0024272F">
            <w:pPr>
              <w:jc w:val="left"/>
            </w:pPr>
            <w:r w:rsidRPr="00AC3AA1">
              <w:rPr>
                <w:rFonts w:hint="eastAsia"/>
              </w:rPr>
              <w:t>南方均衡成长混合型证券投资基金</w:t>
            </w:r>
          </w:p>
        </w:tc>
        <w:tc>
          <w:tcPr>
            <w:tcW w:w="1672"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2544B3">
              <w:rPr>
                <w:rFonts w:hint="eastAsia"/>
              </w:rPr>
              <w:t>绿通科技</w:t>
            </w:r>
          </w:p>
        </w:tc>
        <w:tc>
          <w:tcPr>
            <w:tcW w:w="1290"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8C5607">
              <w:t>2604</w:t>
            </w:r>
          </w:p>
        </w:tc>
        <w:tc>
          <w:tcPr>
            <w:tcW w:w="1148" w:type="dxa"/>
            <w:tcBorders>
              <w:top w:val="nil"/>
              <w:left w:val="nil"/>
              <w:bottom w:val="single" w:sz="4" w:space="0" w:color="000000"/>
              <w:right w:val="single" w:sz="4" w:space="0" w:color="000000"/>
            </w:tcBorders>
            <w:shd w:val="clear" w:color="auto" w:fill="auto"/>
            <w:noWrap/>
            <w:vAlign w:val="center"/>
          </w:tcPr>
          <w:p w:rsidR="00BC73A6" w:rsidRDefault="00BC73A6" w:rsidP="0024272F">
            <w:pPr>
              <w:jc w:val="center"/>
            </w:pPr>
            <w:r w:rsidRPr="00924389">
              <w:t>341410.44</w:t>
            </w:r>
          </w:p>
        </w:tc>
        <w:tc>
          <w:tcPr>
            <w:tcW w:w="1181" w:type="dxa"/>
            <w:tcBorders>
              <w:top w:val="nil"/>
              <w:left w:val="nil"/>
              <w:bottom w:val="single" w:sz="4" w:space="0" w:color="000000"/>
              <w:right w:val="single" w:sz="4" w:space="0" w:color="000000"/>
            </w:tcBorders>
            <w:shd w:val="clear" w:color="auto" w:fill="auto"/>
            <w:noWrap/>
            <w:vAlign w:val="center"/>
            <w:hideMark/>
          </w:tcPr>
          <w:p w:rsidR="00BC73A6" w:rsidRPr="00BE0798" w:rsidRDefault="00BC73A6" w:rsidP="0024272F">
            <w:pPr>
              <w:widowControl/>
              <w:jc w:val="center"/>
              <w:rPr>
                <w:rFonts w:ascii="宋体" w:eastAsia="宋体" w:hAnsi="宋体" w:cs="Arial"/>
                <w:color w:val="000000"/>
                <w:kern w:val="0"/>
                <w:sz w:val="22"/>
              </w:rPr>
            </w:pPr>
            <w:r w:rsidRPr="00BE0798">
              <w:rPr>
                <w:rFonts w:ascii="宋体" w:eastAsia="宋体" w:hAnsi="宋体" w:cs="Arial" w:hint="eastAsia"/>
                <w:color w:val="000000"/>
                <w:kern w:val="0"/>
                <w:sz w:val="22"/>
              </w:rPr>
              <w:t>网下申购</w:t>
            </w:r>
          </w:p>
        </w:tc>
      </w:tr>
    </w:tbl>
    <w:p w:rsidR="009F02E8" w:rsidRPr="00062D36" w:rsidRDefault="009F02E8" w:rsidP="00C80D58">
      <w:pPr>
        <w:widowControl/>
        <w:spacing w:line="360" w:lineRule="auto"/>
        <w:jc w:val="left"/>
        <w:rPr>
          <w:rFonts w:ascii="宋体" w:eastAsia="宋体" w:hAnsi="宋体" w:cs="宋体"/>
          <w:color w:val="000000"/>
          <w:kern w:val="0"/>
          <w:sz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w:t>
      </w:r>
      <w:r w:rsidR="0024272F">
        <w:rPr>
          <w:rFonts w:ascii="宋体" w:eastAsia="宋体" w:hAnsi="宋体" w:cs="宋体"/>
          <w:bCs/>
          <w:color w:val="000000"/>
          <w:kern w:val="0"/>
          <w:sz w:val="24"/>
        </w:rPr>
        <w:t>3</w:t>
      </w:r>
      <w:r w:rsidR="00524EE5" w:rsidRPr="00524EE5">
        <w:rPr>
          <w:rFonts w:ascii="宋体" w:eastAsia="宋体" w:hAnsi="宋体" w:cs="宋体"/>
          <w:bCs/>
          <w:color w:val="000000"/>
          <w:kern w:val="0"/>
          <w:sz w:val="24"/>
        </w:rPr>
        <w:t>年</w:t>
      </w:r>
      <w:r w:rsidR="0024272F">
        <w:rPr>
          <w:rFonts w:ascii="宋体" w:eastAsia="宋体" w:hAnsi="宋体" w:cs="宋体" w:hint="eastAsia"/>
          <w:bCs/>
          <w:color w:val="000000"/>
          <w:kern w:val="0"/>
          <w:sz w:val="24"/>
        </w:rPr>
        <w:t>3</w:t>
      </w:r>
      <w:r w:rsidR="00524EE5" w:rsidRPr="00524EE5">
        <w:rPr>
          <w:rFonts w:ascii="宋体" w:eastAsia="宋体" w:hAnsi="宋体" w:cs="宋体"/>
          <w:bCs/>
          <w:color w:val="000000"/>
          <w:kern w:val="0"/>
          <w:sz w:val="24"/>
        </w:rPr>
        <w:t>月</w:t>
      </w:r>
      <w:r w:rsidR="0024272F">
        <w:rPr>
          <w:rFonts w:ascii="宋体" w:eastAsia="宋体" w:hAnsi="宋体" w:cs="宋体" w:hint="eastAsia"/>
          <w:bCs/>
          <w:color w:val="000000"/>
          <w:kern w:val="0"/>
          <w:sz w:val="24"/>
        </w:rPr>
        <w:t>1</w:t>
      </w:r>
      <w:r w:rsidR="00524EE5" w:rsidRPr="00524EE5">
        <w:rPr>
          <w:rFonts w:ascii="宋体" w:eastAsia="宋体" w:hAnsi="宋体" w:cs="宋体"/>
          <w:bCs/>
          <w:color w:val="000000"/>
          <w:kern w:val="0"/>
          <w:sz w:val="24"/>
        </w:rPr>
        <w:t>日</w:t>
      </w:r>
    </w:p>
    <w:sectPr w:rsidR="00E42A11" w:rsidRPr="00C80D58" w:rsidSect="007F62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DE" w:rsidRDefault="00C826DE" w:rsidP="008C3863">
      <w:r>
        <w:separator/>
      </w:r>
    </w:p>
  </w:endnote>
  <w:endnote w:type="continuationSeparator" w:id="0">
    <w:p w:rsidR="00C826DE" w:rsidRDefault="00C826DE"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A72093" w:rsidRDefault="007F6247">
        <w:pPr>
          <w:pStyle w:val="a6"/>
          <w:jc w:val="center"/>
        </w:pPr>
        <w:r>
          <w:fldChar w:fldCharType="begin"/>
        </w:r>
        <w:r w:rsidR="00A72093">
          <w:instrText>PAGE   \* MERGEFORMAT</w:instrText>
        </w:r>
        <w:r>
          <w:fldChar w:fldCharType="separate"/>
        </w:r>
        <w:r w:rsidR="00D70FFD" w:rsidRPr="00D70FFD">
          <w:rPr>
            <w:noProof/>
            <w:lang w:val="zh-CN"/>
          </w:rPr>
          <w:t>1</w:t>
        </w:r>
        <w:r>
          <w:fldChar w:fldCharType="end"/>
        </w:r>
      </w:p>
    </w:sdtContent>
  </w:sdt>
  <w:p w:rsidR="00A72093" w:rsidRDefault="00A720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DE" w:rsidRDefault="00C826DE" w:rsidP="008C3863">
      <w:r>
        <w:separator/>
      </w:r>
    </w:p>
  </w:footnote>
  <w:footnote w:type="continuationSeparator" w:id="0">
    <w:p w:rsidR="00C826DE" w:rsidRDefault="00C826DE"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40B2"/>
    <w:rsid w:val="00005F5C"/>
    <w:rsid w:val="00013F18"/>
    <w:rsid w:val="00062D36"/>
    <w:rsid w:val="00080F2E"/>
    <w:rsid w:val="000E7CD7"/>
    <w:rsid w:val="0012333A"/>
    <w:rsid w:val="00147E0C"/>
    <w:rsid w:val="001543CE"/>
    <w:rsid w:val="0015524D"/>
    <w:rsid w:val="0018455B"/>
    <w:rsid w:val="001A1AAA"/>
    <w:rsid w:val="001B76F1"/>
    <w:rsid w:val="001D4B28"/>
    <w:rsid w:val="001F3C85"/>
    <w:rsid w:val="00203E1B"/>
    <w:rsid w:val="0024272F"/>
    <w:rsid w:val="0024704C"/>
    <w:rsid w:val="00250CE6"/>
    <w:rsid w:val="0028512C"/>
    <w:rsid w:val="002B2A80"/>
    <w:rsid w:val="002B77B9"/>
    <w:rsid w:val="002C6D93"/>
    <w:rsid w:val="003142FA"/>
    <w:rsid w:val="00364958"/>
    <w:rsid w:val="00394D94"/>
    <w:rsid w:val="003C535B"/>
    <w:rsid w:val="003C7A02"/>
    <w:rsid w:val="003E5627"/>
    <w:rsid w:val="003F5C28"/>
    <w:rsid w:val="003F6201"/>
    <w:rsid w:val="004213D3"/>
    <w:rsid w:val="00426A55"/>
    <w:rsid w:val="00437144"/>
    <w:rsid w:val="0045478B"/>
    <w:rsid w:val="00466B4B"/>
    <w:rsid w:val="00490146"/>
    <w:rsid w:val="004C639E"/>
    <w:rsid w:val="004D4A9F"/>
    <w:rsid w:val="00523D04"/>
    <w:rsid w:val="00524EE5"/>
    <w:rsid w:val="00532050"/>
    <w:rsid w:val="00540D39"/>
    <w:rsid w:val="00552D5E"/>
    <w:rsid w:val="0057086C"/>
    <w:rsid w:val="00570B74"/>
    <w:rsid w:val="005D1D4F"/>
    <w:rsid w:val="005F7C35"/>
    <w:rsid w:val="006000C4"/>
    <w:rsid w:val="0064085B"/>
    <w:rsid w:val="0064652E"/>
    <w:rsid w:val="00683F1F"/>
    <w:rsid w:val="006A5AE0"/>
    <w:rsid w:val="006A5EA8"/>
    <w:rsid w:val="006E3D18"/>
    <w:rsid w:val="006E6DEC"/>
    <w:rsid w:val="00721AD4"/>
    <w:rsid w:val="00736C00"/>
    <w:rsid w:val="00763C65"/>
    <w:rsid w:val="007A1399"/>
    <w:rsid w:val="007D184F"/>
    <w:rsid w:val="007E11A8"/>
    <w:rsid w:val="007F1DB6"/>
    <w:rsid w:val="007F6247"/>
    <w:rsid w:val="0081046C"/>
    <w:rsid w:val="00845970"/>
    <w:rsid w:val="0086035E"/>
    <w:rsid w:val="008B2B92"/>
    <w:rsid w:val="008C3863"/>
    <w:rsid w:val="008E0562"/>
    <w:rsid w:val="008E609D"/>
    <w:rsid w:val="00914480"/>
    <w:rsid w:val="00936B2A"/>
    <w:rsid w:val="009503EF"/>
    <w:rsid w:val="009836F7"/>
    <w:rsid w:val="009E4D14"/>
    <w:rsid w:val="009F02E8"/>
    <w:rsid w:val="009F2A62"/>
    <w:rsid w:val="009F45E1"/>
    <w:rsid w:val="00A1409F"/>
    <w:rsid w:val="00A158D8"/>
    <w:rsid w:val="00A4041A"/>
    <w:rsid w:val="00A601CB"/>
    <w:rsid w:val="00A72093"/>
    <w:rsid w:val="00A876A6"/>
    <w:rsid w:val="00AB27ED"/>
    <w:rsid w:val="00B13CF5"/>
    <w:rsid w:val="00B241BD"/>
    <w:rsid w:val="00B24B33"/>
    <w:rsid w:val="00B52173"/>
    <w:rsid w:val="00BC73A6"/>
    <w:rsid w:val="00BD098F"/>
    <w:rsid w:val="00BE0798"/>
    <w:rsid w:val="00BE3612"/>
    <w:rsid w:val="00BE4ADB"/>
    <w:rsid w:val="00BF2225"/>
    <w:rsid w:val="00C128FD"/>
    <w:rsid w:val="00C3066F"/>
    <w:rsid w:val="00C76E2B"/>
    <w:rsid w:val="00C77263"/>
    <w:rsid w:val="00C80D58"/>
    <w:rsid w:val="00C826DE"/>
    <w:rsid w:val="00C87B01"/>
    <w:rsid w:val="00C91625"/>
    <w:rsid w:val="00C9485A"/>
    <w:rsid w:val="00CD7C7D"/>
    <w:rsid w:val="00CE2214"/>
    <w:rsid w:val="00D22323"/>
    <w:rsid w:val="00D700EA"/>
    <w:rsid w:val="00D70FFD"/>
    <w:rsid w:val="00DB41AE"/>
    <w:rsid w:val="00DB46CF"/>
    <w:rsid w:val="00DC13F6"/>
    <w:rsid w:val="00DF3254"/>
    <w:rsid w:val="00E27C88"/>
    <w:rsid w:val="00E304E8"/>
    <w:rsid w:val="00E37091"/>
    <w:rsid w:val="00E42A11"/>
    <w:rsid w:val="00E75106"/>
    <w:rsid w:val="00E76D8C"/>
    <w:rsid w:val="00E7709C"/>
    <w:rsid w:val="00E9732D"/>
    <w:rsid w:val="00F20C25"/>
    <w:rsid w:val="00F2504D"/>
    <w:rsid w:val="00F35AD3"/>
    <w:rsid w:val="00F74C78"/>
    <w:rsid w:val="00FA07B3"/>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613899458">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17996405">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4</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2023-02-28T16:02:00Z</dcterms:created>
  <dcterms:modified xsi:type="dcterms:W3CDTF">2023-02-28T16:02:00Z</dcterms:modified>
</cp:coreProperties>
</file>