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2D" w:rsidRDefault="0093542D">
      <w:pPr>
        <w:jc w:val="center"/>
        <w:rPr>
          <w:rFonts w:ascii="宋体" w:hAnsi="宋体"/>
          <w:b/>
          <w:kern w:val="0"/>
          <w:sz w:val="32"/>
          <w:szCs w:val="32"/>
        </w:rPr>
      </w:pPr>
      <w:r>
        <w:rPr>
          <w:rFonts w:ascii="宋体" w:hAnsi="宋体" w:hint="eastAsia"/>
          <w:b/>
          <w:kern w:val="0"/>
          <w:sz w:val="32"/>
          <w:szCs w:val="32"/>
        </w:rPr>
        <w:t>富国基金管理有限公司关于调整旗下部分基金2023年非港股通交易日暂停申购、赎回等业务安排的公告</w:t>
      </w:r>
    </w:p>
    <w:p w:rsidR="0093542D" w:rsidRDefault="0093542D">
      <w:pPr>
        <w:jc w:val="center"/>
        <w:rPr>
          <w:rFonts w:ascii="宋体" w:hAnsi="宋体" w:hint="eastAsia"/>
          <w:b/>
          <w:kern w:val="0"/>
          <w:sz w:val="32"/>
          <w:szCs w:val="32"/>
        </w:rPr>
      </w:pPr>
    </w:p>
    <w:p w:rsidR="0093542D" w:rsidRDefault="0093542D">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为了保障基金平稳运作，保护持有人利益，根据上海证券交易所《关于2023年沪港通下新增港股通交易日有关安排的通知》和深圳证券交易所《关于2023年新增港股通交易日及更新2023年深港通下的港股通交易日有关安排的通知》对港股通交易日的相关调整，富国基金管理有限公司（以下简称“本公司”）决定，对于基金合同、招募说明书规定基金申购和赎回的开放日为上海证券交易所和深圳证券交易所的交易日，且若该工作日为非港股通交易日，则基金不开放申购和赎回的基金（详见附件），对上海证券交易所和深圳证券交易所交易日的</w:t>
      </w:r>
      <w:r>
        <w:rPr>
          <w:rFonts w:ascii="宋体" w:hAnsi="宋体" w:cs="宋体"/>
          <w:color w:val="000000"/>
          <w:kern w:val="0"/>
          <w:sz w:val="24"/>
        </w:rPr>
        <w:t>2023</w:t>
      </w:r>
      <w:r>
        <w:rPr>
          <w:rFonts w:ascii="宋体" w:hAnsi="宋体" w:cs="宋体" w:hint="eastAsia"/>
          <w:color w:val="000000"/>
          <w:kern w:val="0"/>
          <w:sz w:val="24"/>
        </w:rPr>
        <w:t>年非港股通交易日安排进行调整，于下列非港股通交易日暂停前述基金的申购、赎回、定期定额申购、基金转换（如已开通）等交易类业务，并自下列非港股通交易日结束后的首个开放日恢复上述基金在非港股通交易日暂停的日常申购、赎回、定期定额申购、基金转换（如已开通）等业务，届时不再另行公告。</w:t>
      </w:r>
    </w:p>
    <w:tbl>
      <w:tblPr>
        <w:tblW w:w="8222" w:type="dxa"/>
        <w:tblInd w:w="108" w:type="dxa"/>
        <w:tblLook w:val="0000"/>
      </w:tblPr>
      <w:tblGrid>
        <w:gridCol w:w="3402"/>
        <w:gridCol w:w="4820"/>
      </w:tblGrid>
      <w:tr w:rsidR="0093542D">
        <w:trPr>
          <w:trHeight w:val="300"/>
        </w:trPr>
        <w:tc>
          <w:tcPr>
            <w:tcW w:w="3402" w:type="dxa"/>
            <w:vMerge w:val="restart"/>
            <w:tcBorders>
              <w:top w:val="single" w:sz="8" w:space="0" w:color="auto"/>
              <w:left w:val="single" w:sz="8" w:space="0" w:color="auto"/>
              <w:right w:val="single" w:sz="8" w:space="0" w:color="auto"/>
            </w:tcBorders>
            <w:noWrap/>
            <w:vAlign w:val="center"/>
          </w:tcPr>
          <w:p w:rsidR="0093542D" w:rsidRDefault="0093542D">
            <w:pPr>
              <w:jc w:val="center"/>
              <w:rPr>
                <w:rFonts w:ascii="宋体" w:hAnsi="宋体" w:cs="宋体"/>
                <w:color w:val="000000"/>
                <w:kern w:val="0"/>
                <w:sz w:val="22"/>
                <w:szCs w:val="22"/>
              </w:rPr>
            </w:pPr>
            <w:r>
              <w:rPr>
                <w:rFonts w:ascii="宋体" w:hAnsi="宋体" w:cs="宋体" w:hint="eastAsia"/>
                <w:color w:val="000000"/>
                <w:kern w:val="0"/>
                <w:sz w:val="22"/>
                <w:szCs w:val="22"/>
              </w:rPr>
              <w:t>202</w:t>
            </w:r>
            <w:r>
              <w:rPr>
                <w:rFonts w:ascii="宋体" w:hAnsi="宋体" w:cs="宋体"/>
                <w:color w:val="000000"/>
                <w:kern w:val="0"/>
                <w:sz w:val="22"/>
                <w:szCs w:val="22"/>
              </w:rPr>
              <w:t>3</w:t>
            </w:r>
            <w:r>
              <w:rPr>
                <w:rFonts w:ascii="宋体" w:hAnsi="宋体" w:cs="宋体" w:hint="eastAsia"/>
                <w:color w:val="000000"/>
                <w:kern w:val="0"/>
                <w:sz w:val="22"/>
                <w:szCs w:val="22"/>
              </w:rPr>
              <w:t>年非港股通交易日</w:t>
            </w:r>
          </w:p>
        </w:tc>
        <w:tc>
          <w:tcPr>
            <w:tcW w:w="4820" w:type="dxa"/>
            <w:tcBorders>
              <w:top w:val="single" w:sz="8" w:space="0" w:color="auto"/>
              <w:left w:val="nil"/>
              <w:bottom w:val="single" w:sz="8" w:space="0" w:color="auto"/>
              <w:right w:val="single" w:sz="8" w:space="0" w:color="auto"/>
            </w:tcBorders>
            <w:vAlign w:val="center"/>
          </w:tcPr>
          <w:p w:rsidR="0093542D" w:rsidRDefault="0093542D">
            <w:pPr>
              <w:widowControl/>
              <w:jc w:val="center"/>
              <w:rPr>
                <w:rFonts w:ascii="宋体" w:hAnsi="宋体" w:cs="宋体" w:hint="eastAsia"/>
                <w:color w:val="000000"/>
                <w:kern w:val="0"/>
                <w:sz w:val="24"/>
              </w:rPr>
            </w:pPr>
            <w:r>
              <w:rPr>
                <w:rFonts w:ascii="宋体" w:hAnsi="宋体" w:cs="宋体" w:hint="eastAsia"/>
                <w:color w:val="000000"/>
                <w:kern w:val="0"/>
                <w:sz w:val="24"/>
              </w:rPr>
              <w:t>日期</w:t>
            </w:r>
          </w:p>
        </w:tc>
      </w:tr>
      <w:tr w:rsidR="0093542D">
        <w:trPr>
          <w:trHeight w:val="285"/>
        </w:trPr>
        <w:tc>
          <w:tcPr>
            <w:tcW w:w="3402" w:type="dxa"/>
            <w:vMerge/>
            <w:tcBorders>
              <w:left w:val="single" w:sz="8" w:space="0" w:color="auto"/>
              <w:right w:val="single" w:sz="8" w:space="0" w:color="auto"/>
            </w:tcBorders>
            <w:noWrap/>
            <w:vAlign w:val="center"/>
          </w:tcPr>
          <w:p w:rsidR="0093542D" w:rsidRDefault="0093542D">
            <w:pPr>
              <w:widowControl/>
              <w:jc w:val="center"/>
              <w:rPr>
                <w:rFonts w:ascii="宋体" w:hAnsi="宋体" w:cs="宋体" w:hint="eastAsia"/>
                <w:color w:val="000000"/>
                <w:kern w:val="0"/>
                <w:sz w:val="22"/>
                <w:szCs w:val="22"/>
              </w:rPr>
            </w:pPr>
          </w:p>
        </w:tc>
        <w:tc>
          <w:tcPr>
            <w:tcW w:w="4820" w:type="dxa"/>
            <w:tcBorders>
              <w:top w:val="nil"/>
              <w:left w:val="nil"/>
              <w:bottom w:val="single" w:sz="8" w:space="0" w:color="auto"/>
              <w:right w:val="single" w:sz="8" w:space="0" w:color="auto"/>
            </w:tcBorders>
            <w:vAlign w:val="center"/>
          </w:tcPr>
          <w:p w:rsidR="0093542D" w:rsidRDefault="0093542D">
            <w:pPr>
              <w:widowControl/>
              <w:rPr>
                <w:color w:val="000000"/>
                <w:kern w:val="0"/>
                <w:szCs w:val="21"/>
              </w:rPr>
            </w:pPr>
            <w:r>
              <w:rPr>
                <w:color w:val="000000"/>
                <w:kern w:val="0"/>
                <w:szCs w:val="21"/>
              </w:rPr>
              <w:t>2023</w:t>
            </w:r>
            <w:r>
              <w:rPr>
                <w:color w:val="000000"/>
                <w:kern w:val="0"/>
                <w:szCs w:val="21"/>
              </w:rPr>
              <w:t>年</w:t>
            </w:r>
            <w:r>
              <w:rPr>
                <w:color w:val="000000"/>
                <w:kern w:val="0"/>
                <w:szCs w:val="21"/>
              </w:rPr>
              <w:t>4</w:t>
            </w:r>
            <w:r>
              <w:rPr>
                <w:color w:val="000000"/>
                <w:kern w:val="0"/>
                <w:szCs w:val="21"/>
              </w:rPr>
              <w:t>月</w:t>
            </w:r>
            <w:r>
              <w:rPr>
                <w:color w:val="000000"/>
                <w:kern w:val="0"/>
                <w:szCs w:val="21"/>
              </w:rPr>
              <w:t>7</w:t>
            </w:r>
            <w:r>
              <w:rPr>
                <w:color w:val="000000"/>
                <w:kern w:val="0"/>
                <w:szCs w:val="21"/>
              </w:rPr>
              <w:t>日</w:t>
            </w:r>
          </w:p>
        </w:tc>
      </w:tr>
      <w:tr w:rsidR="0093542D">
        <w:trPr>
          <w:trHeight w:val="285"/>
        </w:trPr>
        <w:tc>
          <w:tcPr>
            <w:tcW w:w="3402" w:type="dxa"/>
            <w:vMerge/>
            <w:tcBorders>
              <w:left w:val="single" w:sz="8" w:space="0" w:color="auto"/>
              <w:right w:val="single" w:sz="8" w:space="0" w:color="auto"/>
            </w:tcBorders>
            <w:vAlign w:val="center"/>
          </w:tcPr>
          <w:p w:rsidR="0093542D" w:rsidRDefault="0093542D">
            <w:pPr>
              <w:widowControl/>
              <w:jc w:val="left"/>
              <w:rPr>
                <w:rFonts w:ascii="宋体" w:hAnsi="宋体" w:cs="宋体"/>
                <w:color w:val="000000"/>
                <w:kern w:val="0"/>
                <w:sz w:val="22"/>
                <w:szCs w:val="22"/>
              </w:rPr>
            </w:pPr>
          </w:p>
        </w:tc>
        <w:tc>
          <w:tcPr>
            <w:tcW w:w="4820" w:type="dxa"/>
            <w:tcBorders>
              <w:top w:val="nil"/>
              <w:left w:val="nil"/>
              <w:bottom w:val="single" w:sz="8" w:space="0" w:color="auto"/>
              <w:right w:val="single" w:sz="8" w:space="0" w:color="auto"/>
            </w:tcBorders>
            <w:vAlign w:val="center"/>
          </w:tcPr>
          <w:p w:rsidR="0093542D" w:rsidRDefault="0093542D">
            <w:pPr>
              <w:widowControl/>
              <w:rPr>
                <w:color w:val="000000"/>
                <w:kern w:val="0"/>
                <w:szCs w:val="21"/>
              </w:rPr>
            </w:pPr>
            <w:r>
              <w:rPr>
                <w:color w:val="000000"/>
                <w:kern w:val="0"/>
                <w:szCs w:val="21"/>
              </w:rPr>
              <w:t>2023</w:t>
            </w:r>
            <w:r>
              <w:rPr>
                <w:color w:val="000000"/>
                <w:kern w:val="0"/>
                <w:szCs w:val="21"/>
              </w:rPr>
              <w:t>年</w:t>
            </w:r>
            <w:r>
              <w:rPr>
                <w:color w:val="000000"/>
                <w:kern w:val="0"/>
                <w:szCs w:val="21"/>
              </w:rPr>
              <w:t>4</w:t>
            </w:r>
            <w:r>
              <w:rPr>
                <w:color w:val="000000"/>
                <w:kern w:val="0"/>
                <w:szCs w:val="21"/>
              </w:rPr>
              <w:t>月</w:t>
            </w:r>
            <w:r>
              <w:rPr>
                <w:color w:val="000000"/>
                <w:kern w:val="0"/>
                <w:szCs w:val="21"/>
              </w:rPr>
              <w:t>10</w:t>
            </w:r>
            <w:r>
              <w:rPr>
                <w:color w:val="000000"/>
                <w:kern w:val="0"/>
                <w:szCs w:val="21"/>
              </w:rPr>
              <w:t>日</w:t>
            </w:r>
          </w:p>
        </w:tc>
      </w:tr>
      <w:tr w:rsidR="0093542D">
        <w:trPr>
          <w:trHeight w:val="285"/>
        </w:trPr>
        <w:tc>
          <w:tcPr>
            <w:tcW w:w="3402" w:type="dxa"/>
            <w:vMerge/>
            <w:tcBorders>
              <w:left w:val="single" w:sz="8" w:space="0" w:color="auto"/>
              <w:right w:val="single" w:sz="8" w:space="0" w:color="auto"/>
            </w:tcBorders>
            <w:vAlign w:val="center"/>
          </w:tcPr>
          <w:p w:rsidR="0093542D" w:rsidRDefault="0093542D">
            <w:pPr>
              <w:widowControl/>
              <w:jc w:val="left"/>
              <w:rPr>
                <w:rFonts w:ascii="宋体" w:hAnsi="宋体" w:cs="宋体"/>
                <w:color w:val="000000"/>
                <w:kern w:val="0"/>
                <w:sz w:val="22"/>
                <w:szCs w:val="22"/>
              </w:rPr>
            </w:pPr>
          </w:p>
        </w:tc>
        <w:tc>
          <w:tcPr>
            <w:tcW w:w="4820" w:type="dxa"/>
            <w:tcBorders>
              <w:top w:val="nil"/>
              <w:left w:val="nil"/>
              <w:bottom w:val="single" w:sz="8" w:space="0" w:color="auto"/>
              <w:right w:val="single" w:sz="8" w:space="0" w:color="auto"/>
            </w:tcBorders>
            <w:vAlign w:val="center"/>
          </w:tcPr>
          <w:p w:rsidR="0093542D" w:rsidRDefault="0093542D">
            <w:pPr>
              <w:widowControl/>
              <w:rPr>
                <w:color w:val="000000"/>
                <w:kern w:val="0"/>
                <w:szCs w:val="21"/>
              </w:rPr>
            </w:pPr>
            <w:r>
              <w:rPr>
                <w:color w:val="000000"/>
                <w:kern w:val="0"/>
                <w:szCs w:val="21"/>
              </w:rPr>
              <w:t>2023</w:t>
            </w:r>
            <w:r>
              <w:rPr>
                <w:color w:val="000000"/>
                <w:kern w:val="0"/>
                <w:szCs w:val="21"/>
              </w:rPr>
              <w:t>年</w:t>
            </w:r>
            <w:r>
              <w:rPr>
                <w:color w:val="000000"/>
                <w:kern w:val="0"/>
                <w:szCs w:val="21"/>
              </w:rPr>
              <w:t>5</w:t>
            </w:r>
            <w:r>
              <w:rPr>
                <w:color w:val="000000"/>
                <w:kern w:val="0"/>
                <w:szCs w:val="21"/>
              </w:rPr>
              <w:t>月</w:t>
            </w:r>
            <w:r>
              <w:rPr>
                <w:color w:val="000000"/>
                <w:kern w:val="0"/>
                <w:szCs w:val="21"/>
              </w:rPr>
              <w:t>26</w:t>
            </w:r>
            <w:r>
              <w:rPr>
                <w:color w:val="000000"/>
                <w:kern w:val="0"/>
                <w:szCs w:val="21"/>
              </w:rPr>
              <w:t>日</w:t>
            </w:r>
          </w:p>
        </w:tc>
      </w:tr>
      <w:tr w:rsidR="0093542D">
        <w:trPr>
          <w:trHeight w:val="285"/>
        </w:trPr>
        <w:tc>
          <w:tcPr>
            <w:tcW w:w="3402" w:type="dxa"/>
            <w:vMerge/>
            <w:tcBorders>
              <w:left w:val="single" w:sz="8" w:space="0" w:color="auto"/>
              <w:right w:val="single" w:sz="8" w:space="0" w:color="auto"/>
            </w:tcBorders>
            <w:vAlign w:val="center"/>
          </w:tcPr>
          <w:p w:rsidR="0093542D" w:rsidRDefault="0093542D">
            <w:pPr>
              <w:widowControl/>
              <w:jc w:val="left"/>
              <w:rPr>
                <w:rFonts w:ascii="宋体" w:hAnsi="宋体" w:cs="宋体"/>
                <w:color w:val="000000"/>
                <w:kern w:val="0"/>
                <w:sz w:val="22"/>
                <w:szCs w:val="22"/>
              </w:rPr>
            </w:pPr>
          </w:p>
        </w:tc>
        <w:tc>
          <w:tcPr>
            <w:tcW w:w="4820" w:type="dxa"/>
            <w:tcBorders>
              <w:top w:val="nil"/>
              <w:left w:val="nil"/>
              <w:bottom w:val="single" w:sz="8" w:space="0" w:color="auto"/>
              <w:right w:val="single" w:sz="8" w:space="0" w:color="auto"/>
            </w:tcBorders>
            <w:vAlign w:val="center"/>
          </w:tcPr>
          <w:p w:rsidR="0093542D" w:rsidRDefault="0093542D">
            <w:pPr>
              <w:widowControl/>
              <w:rPr>
                <w:color w:val="000000"/>
                <w:kern w:val="0"/>
                <w:szCs w:val="21"/>
              </w:rPr>
            </w:pPr>
            <w:r>
              <w:rPr>
                <w:color w:val="000000"/>
                <w:kern w:val="0"/>
                <w:szCs w:val="21"/>
              </w:rPr>
              <w:t>2023</w:t>
            </w:r>
            <w:r>
              <w:rPr>
                <w:color w:val="000000"/>
                <w:kern w:val="0"/>
                <w:szCs w:val="21"/>
              </w:rPr>
              <w:t>年</w:t>
            </w:r>
            <w:r>
              <w:rPr>
                <w:color w:val="000000"/>
                <w:kern w:val="0"/>
                <w:szCs w:val="21"/>
              </w:rPr>
              <w:t>10</w:t>
            </w:r>
            <w:r>
              <w:rPr>
                <w:color w:val="000000"/>
                <w:kern w:val="0"/>
                <w:szCs w:val="21"/>
              </w:rPr>
              <w:t>月</w:t>
            </w:r>
            <w:r>
              <w:rPr>
                <w:color w:val="000000"/>
                <w:kern w:val="0"/>
                <w:szCs w:val="21"/>
              </w:rPr>
              <w:t>23</w:t>
            </w:r>
            <w:r>
              <w:rPr>
                <w:color w:val="000000"/>
                <w:kern w:val="0"/>
                <w:szCs w:val="21"/>
              </w:rPr>
              <w:t>日</w:t>
            </w:r>
          </w:p>
        </w:tc>
      </w:tr>
      <w:tr w:rsidR="0093542D">
        <w:trPr>
          <w:trHeight w:val="285"/>
        </w:trPr>
        <w:tc>
          <w:tcPr>
            <w:tcW w:w="3402" w:type="dxa"/>
            <w:vMerge/>
            <w:tcBorders>
              <w:left w:val="single" w:sz="8" w:space="0" w:color="auto"/>
              <w:right w:val="single" w:sz="8" w:space="0" w:color="auto"/>
            </w:tcBorders>
            <w:vAlign w:val="center"/>
          </w:tcPr>
          <w:p w:rsidR="0093542D" w:rsidRDefault="0093542D">
            <w:pPr>
              <w:widowControl/>
              <w:jc w:val="left"/>
              <w:rPr>
                <w:rFonts w:ascii="宋体" w:hAnsi="宋体" w:cs="宋体"/>
                <w:color w:val="000000"/>
                <w:kern w:val="0"/>
                <w:sz w:val="22"/>
                <w:szCs w:val="22"/>
              </w:rPr>
            </w:pPr>
          </w:p>
        </w:tc>
        <w:tc>
          <w:tcPr>
            <w:tcW w:w="4820" w:type="dxa"/>
            <w:tcBorders>
              <w:top w:val="nil"/>
              <w:left w:val="nil"/>
              <w:bottom w:val="single" w:sz="8" w:space="0" w:color="auto"/>
              <w:right w:val="single" w:sz="8" w:space="0" w:color="auto"/>
            </w:tcBorders>
            <w:vAlign w:val="center"/>
          </w:tcPr>
          <w:p w:rsidR="0093542D" w:rsidRDefault="0093542D">
            <w:pPr>
              <w:widowControl/>
              <w:rPr>
                <w:color w:val="000000"/>
                <w:kern w:val="0"/>
                <w:szCs w:val="21"/>
              </w:rPr>
            </w:pPr>
            <w:r>
              <w:rPr>
                <w:color w:val="000000"/>
                <w:kern w:val="0"/>
                <w:szCs w:val="21"/>
              </w:rPr>
              <w:t>2023</w:t>
            </w:r>
            <w:r>
              <w:rPr>
                <w:color w:val="000000"/>
                <w:kern w:val="0"/>
                <w:szCs w:val="21"/>
              </w:rPr>
              <w:t>年</w:t>
            </w:r>
            <w:r>
              <w:rPr>
                <w:color w:val="000000"/>
                <w:kern w:val="0"/>
                <w:szCs w:val="21"/>
              </w:rPr>
              <w:t>12</w:t>
            </w:r>
            <w:r>
              <w:rPr>
                <w:color w:val="000000"/>
                <w:kern w:val="0"/>
                <w:szCs w:val="21"/>
              </w:rPr>
              <w:t>月</w:t>
            </w:r>
            <w:r>
              <w:rPr>
                <w:color w:val="000000"/>
                <w:kern w:val="0"/>
                <w:szCs w:val="21"/>
              </w:rPr>
              <w:t>25</w:t>
            </w:r>
            <w:r>
              <w:rPr>
                <w:color w:val="000000"/>
                <w:kern w:val="0"/>
                <w:szCs w:val="21"/>
              </w:rPr>
              <w:t>日</w:t>
            </w:r>
          </w:p>
        </w:tc>
      </w:tr>
      <w:tr w:rsidR="0093542D">
        <w:trPr>
          <w:trHeight w:val="285"/>
        </w:trPr>
        <w:tc>
          <w:tcPr>
            <w:tcW w:w="3402" w:type="dxa"/>
            <w:vMerge/>
            <w:tcBorders>
              <w:left w:val="single" w:sz="8" w:space="0" w:color="auto"/>
              <w:bottom w:val="single" w:sz="8" w:space="0" w:color="000000"/>
              <w:right w:val="single" w:sz="8" w:space="0" w:color="auto"/>
            </w:tcBorders>
            <w:vAlign w:val="center"/>
          </w:tcPr>
          <w:p w:rsidR="0093542D" w:rsidRDefault="0093542D">
            <w:pPr>
              <w:widowControl/>
              <w:jc w:val="left"/>
              <w:rPr>
                <w:rFonts w:ascii="宋体" w:hAnsi="宋体" w:cs="宋体"/>
                <w:color w:val="000000"/>
                <w:kern w:val="0"/>
                <w:sz w:val="22"/>
                <w:szCs w:val="22"/>
              </w:rPr>
            </w:pPr>
          </w:p>
        </w:tc>
        <w:tc>
          <w:tcPr>
            <w:tcW w:w="4820" w:type="dxa"/>
            <w:tcBorders>
              <w:top w:val="nil"/>
              <w:left w:val="nil"/>
              <w:bottom w:val="single" w:sz="8" w:space="0" w:color="auto"/>
              <w:right w:val="single" w:sz="8" w:space="0" w:color="auto"/>
            </w:tcBorders>
            <w:vAlign w:val="center"/>
          </w:tcPr>
          <w:p w:rsidR="0093542D" w:rsidRDefault="0093542D">
            <w:pPr>
              <w:widowControl/>
              <w:rPr>
                <w:color w:val="000000"/>
                <w:kern w:val="0"/>
                <w:szCs w:val="21"/>
              </w:rPr>
            </w:pPr>
            <w:r>
              <w:rPr>
                <w:color w:val="000000"/>
                <w:kern w:val="0"/>
                <w:szCs w:val="21"/>
              </w:rPr>
              <w:t>2023</w:t>
            </w:r>
            <w:r>
              <w:rPr>
                <w:color w:val="000000"/>
                <w:kern w:val="0"/>
                <w:szCs w:val="21"/>
              </w:rPr>
              <w:t>年</w:t>
            </w:r>
            <w:r>
              <w:rPr>
                <w:color w:val="000000"/>
                <w:kern w:val="0"/>
                <w:szCs w:val="21"/>
              </w:rPr>
              <w:t>12</w:t>
            </w:r>
            <w:r>
              <w:rPr>
                <w:color w:val="000000"/>
                <w:kern w:val="0"/>
                <w:szCs w:val="21"/>
              </w:rPr>
              <w:t>月</w:t>
            </w:r>
            <w:r>
              <w:rPr>
                <w:color w:val="000000"/>
                <w:kern w:val="0"/>
                <w:szCs w:val="21"/>
              </w:rPr>
              <w:t>26</w:t>
            </w:r>
            <w:r>
              <w:rPr>
                <w:color w:val="000000"/>
                <w:kern w:val="0"/>
                <w:szCs w:val="21"/>
              </w:rPr>
              <w:t>日</w:t>
            </w:r>
          </w:p>
        </w:tc>
      </w:tr>
    </w:tbl>
    <w:p w:rsidR="0093542D" w:rsidRDefault="0093542D">
      <w:pPr>
        <w:spacing w:line="360" w:lineRule="auto"/>
        <w:rPr>
          <w:rFonts w:ascii="宋体" w:hAnsi="宋体" w:cs="宋体" w:hint="eastAsia"/>
          <w:color w:val="000000"/>
          <w:kern w:val="0"/>
          <w:sz w:val="24"/>
        </w:rPr>
      </w:pPr>
    </w:p>
    <w:p w:rsidR="0093542D" w:rsidRDefault="0093542D">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注：2023年12月28日（星期四）至12月29日（星期五）是否暂停基金的申购、赎回、定期定额申购、基金转换等交易类业务，将待中国证监会关于2024年节假日放假和休市安排确定后由本公司另行公告。</w:t>
      </w:r>
    </w:p>
    <w:p w:rsidR="0093542D" w:rsidRDefault="0093542D">
      <w:pPr>
        <w:spacing w:line="360" w:lineRule="auto"/>
        <w:ind w:firstLineChars="200" w:firstLine="480"/>
        <w:rPr>
          <w:rFonts w:ascii="宋体" w:hAnsi="宋体" w:cs="宋体"/>
          <w:color w:val="000000"/>
          <w:kern w:val="0"/>
          <w:sz w:val="24"/>
        </w:rPr>
      </w:pPr>
      <w:r>
        <w:rPr>
          <w:rFonts w:ascii="宋体" w:hAnsi="宋体" w:cs="宋体"/>
          <w:color w:val="000000"/>
          <w:kern w:val="0"/>
          <w:sz w:val="24"/>
        </w:rPr>
        <w:t>若</w:t>
      </w:r>
      <w:r>
        <w:rPr>
          <w:rFonts w:ascii="宋体" w:hAnsi="宋体" w:cs="宋体" w:hint="eastAsia"/>
          <w:color w:val="000000"/>
          <w:kern w:val="0"/>
          <w:sz w:val="24"/>
        </w:rPr>
        <w:t>非港股通交易日</w:t>
      </w:r>
      <w:r>
        <w:rPr>
          <w:rFonts w:ascii="宋体" w:hAnsi="宋体" w:cs="宋体"/>
          <w:color w:val="000000"/>
          <w:kern w:val="0"/>
          <w:sz w:val="24"/>
        </w:rPr>
        <w:t>安排发生变化或将来根据法律法规和</w:t>
      </w:r>
      <w:r>
        <w:rPr>
          <w:rFonts w:ascii="宋体" w:hAnsi="宋体" w:cs="宋体" w:hint="eastAsia"/>
          <w:color w:val="000000"/>
          <w:kern w:val="0"/>
          <w:sz w:val="24"/>
        </w:rPr>
        <w:t>前述基金</w:t>
      </w:r>
      <w:r>
        <w:rPr>
          <w:rFonts w:ascii="宋体" w:hAnsi="宋体" w:cs="宋体"/>
          <w:color w:val="000000"/>
          <w:kern w:val="0"/>
          <w:sz w:val="24"/>
        </w:rPr>
        <w:t>基金合同的约定需要调整上述安排的</w:t>
      </w:r>
      <w:r>
        <w:rPr>
          <w:rFonts w:ascii="宋体" w:hAnsi="宋体" w:cs="宋体" w:hint="eastAsia"/>
          <w:color w:val="000000"/>
          <w:kern w:val="0"/>
          <w:sz w:val="24"/>
        </w:rPr>
        <w:t>，本公司</w:t>
      </w:r>
      <w:r>
        <w:rPr>
          <w:rFonts w:ascii="宋体" w:hAnsi="宋体" w:cs="宋体"/>
          <w:color w:val="000000"/>
          <w:kern w:val="0"/>
          <w:sz w:val="24"/>
        </w:rPr>
        <w:t>将另行调整并公告。</w:t>
      </w:r>
    </w:p>
    <w:p w:rsidR="0093542D" w:rsidRDefault="0093542D">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对于本公告与本公司于2022年12月30日发布的《富国基金管理有限公司关于旗下部分基金2023年非港股通交易日暂停申购、赎回等业务的公告》的不同之处，以本公告为准。</w:t>
      </w:r>
    </w:p>
    <w:p w:rsidR="0093542D" w:rsidRDefault="0093542D">
      <w:pPr>
        <w:spacing w:line="360" w:lineRule="auto"/>
        <w:ind w:firstLineChars="200" w:firstLine="480"/>
        <w:rPr>
          <w:rFonts w:ascii="宋体" w:hAnsi="宋体" w:cs="宋体"/>
          <w:color w:val="000000"/>
          <w:kern w:val="0"/>
          <w:sz w:val="24"/>
        </w:rPr>
      </w:pPr>
      <w:r>
        <w:rPr>
          <w:rFonts w:ascii="宋体" w:hAnsi="宋体" w:cs="宋体"/>
          <w:color w:val="000000"/>
          <w:kern w:val="0"/>
          <w:sz w:val="24"/>
        </w:rPr>
        <w:lastRenderedPageBreak/>
        <w:t>投资者可访问</w:t>
      </w:r>
      <w:r>
        <w:rPr>
          <w:rFonts w:ascii="宋体" w:hAnsi="宋体" w:cs="宋体" w:hint="eastAsia"/>
          <w:color w:val="000000"/>
          <w:kern w:val="0"/>
          <w:sz w:val="24"/>
        </w:rPr>
        <w:t>富国</w:t>
      </w:r>
      <w:r>
        <w:rPr>
          <w:rFonts w:ascii="宋体" w:hAnsi="宋体" w:cs="宋体"/>
          <w:color w:val="000000"/>
          <w:kern w:val="0"/>
          <w:sz w:val="24"/>
        </w:rPr>
        <w:t>基金管理有限公司网站</w:t>
      </w:r>
      <w:r>
        <w:rPr>
          <w:rFonts w:ascii="宋体" w:hAnsi="宋体" w:cs="宋体" w:hint="eastAsia"/>
          <w:color w:val="000000"/>
          <w:kern w:val="0"/>
          <w:sz w:val="24"/>
        </w:rPr>
        <w:t>(</w:t>
      </w:r>
      <w:hyperlink r:id="rId4" w:history="1">
        <w:r>
          <w:rPr>
            <w:rFonts w:ascii="宋体" w:hAnsi="宋体" w:hint="eastAsia"/>
            <w:sz w:val="24"/>
          </w:rPr>
          <w:t>www.fullgoal.com.cn</w:t>
        </w:r>
      </w:hyperlink>
      <w:r>
        <w:rPr>
          <w:rFonts w:ascii="宋体" w:hAnsi="宋体" w:cs="宋体"/>
          <w:color w:val="000000"/>
          <w:kern w:val="0"/>
          <w:sz w:val="24"/>
        </w:rPr>
        <w:t>)或拨打</w:t>
      </w:r>
      <w:r>
        <w:rPr>
          <w:rFonts w:ascii="宋体" w:hAnsi="宋体" w:hint="eastAsia"/>
          <w:sz w:val="24"/>
        </w:rPr>
        <w:t>客户服务热线：95105686，4008880688（全国统一，均免长途话费）</w:t>
      </w:r>
      <w:r>
        <w:rPr>
          <w:rFonts w:ascii="宋体" w:hAnsi="宋体" w:cs="宋体"/>
          <w:color w:val="000000"/>
          <w:kern w:val="0"/>
          <w:sz w:val="24"/>
        </w:rPr>
        <w:t>咨询相关情况。敬请投资者及早做好交易安排</w:t>
      </w:r>
      <w:r>
        <w:rPr>
          <w:rFonts w:ascii="宋体" w:hAnsi="宋体" w:cs="宋体" w:hint="eastAsia"/>
          <w:color w:val="000000"/>
          <w:kern w:val="0"/>
          <w:sz w:val="24"/>
        </w:rPr>
        <w:t>，</w:t>
      </w:r>
      <w:r>
        <w:rPr>
          <w:rFonts w:ascii="宋体" w:hAnsi="宋体" w:cs="宋体"/>
          <w:color w:val="000000"/>
          <w:kern w:val="0"/>
          <w:sz w:val="24"/>
        </w:rPr>
        <w:t>避免因假期原因带来不便。</w:t>
      </w:r>
    </w:p>
    <w:p w:rsidR="0093542D" w:rsidRDefault="0093542D">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风险提示：本公司承诺以诚实信用、勤勉尽责的原则管理和运用基金资产，但不保证基金一定盈利，也不保证最低收益。敬请投资人注意投资风险。投资者投资于基金前应认真阅读基金的基金合同、更新的招募说明书及相关公告。</w:t>
      </w:r>
    </w:p>
    <w:p w:rsidR="0093542D" w:rsidRDefault="0093542D">
      <w:pPr>
        <w:spacing w:line="360" w:lineRule="auto"/>
        <w:jc w:val="right"/>
        <w:rPr>
          <w:rFonts w:ascii="宋体" w:hAnsi="宋体" w:cs="宋体" w:hint="eastAsia"/>
          <w:b/>
          <w:color w:val="000000"/>
          <w:kern w:val="0"/>
          <w:sz w:val="24"/>
        </w:rPr>
      </w:pPr>
    </w:p>
    <w:p w:rsidR="0093542D" w:rsidRDefault="0093542D">
      <w:pPr>
        <w:spacing w:line="360" w:lineRule="auto"/>
        <w:ind w:firstLine="5542"/>
        <w:jc w:val="right"/>
        <w:rPr>
          <w:rFonts w:ascii="宋体" w:hAnsi="宋体" w:cs="宋体"/>
          <w:b/>
          <w:color w:val="000000"/>
          <w:kern w:val="0"/>
          <w:sz w:val="24"/>
        </w:rPr>
      </w:pPr>
      <w:r>
        <w:rPr>
          <w:rFonts w:ascii="宋体" w:hAnsi="宋体" w:cs="宋体" w:hint="eastAsia"/>
          <w:b/>
          <w:color w:val="000000"/>
          <w:kern w:val="0"/>
          <w:sz w:val="24"/>
        </w:rPr>
        <w:t>富国</w:t>
      </w:r>
      <w:r>
        <w:rPr>
          <w:rFonts w:ascii="宋体" w:hAnsi="宋体" w:cs="宋体"/>
          <w:b/>
          <w:color w:val="000000"/>
          <w:kern w:val="0"/>
          <w:sz w:val="24"/>
        </w:rPr>
        <w:t>基金管理有限公司</w:t>
      </w:r>
    </w:p>
    <w:p w:rsidR="0093542D" w:rsidRDefault="0093542D">
      <w:pPr>
        <w:spacing w:line="360" w:lineRule="auto"/>
        <w:jc w:val="right"/>
        <w:rPr>
          <w:rFonts w:ascii="宋体" w:hAnsi="宋体" w:cs="宋体"/>
          <w:b/>
          <w:color w:val="000000"/>
          <w:kern w:val="0"/>
          <w:sz w:val="24"/>
        </w:rPr>
      </w:pPr>
      <w:r>
        <w:rPr>
          <w:rFonts w:ascii="宋体" w:hAnsi="宋体" w:cs="宋体" w:hint="eastAsia"/>
          <w:b/>
          <w:color w:val="000000"/>
          <w:kern w:val="0"/>
          <w:sz w:val="24"/>
        </w:rPr>
        <w:t xml:space="preserve">  </w:t>
      </w:r>
      <w:r w:rsidR="000C7EE7">
        <w:rPr>
          <w:rFonts w:ascii="宋体" w:hAnsi="宋体" w:cs="宋体" w:hint="eastAsia"/>
          <w:b/>
          <w:color w:val="000000"/>
          <w:kern w:val="0"/>
          <w:sz w:val="24"/>
        </w:rPr>
        <w:t>202</w:t>
      </w:r>
      <w:r w:rsidR="000C7EE7">
        <w:rPr>
          <w:rFonts w:ascii="宋体" w:hAnsi="宋体" w:cs="宋体"/>
          <w:b/>
          <w:color w:val="000000"/>
          <w:kern w:val="0"/>
          <w:sz w:val="24"/>
        </w:rPr>
        <w:t>3年3</w:t>
      </w:r>
      <w:r>
        <w:rPr>
          <w:rFonts w:ascii="宋体" w:hAnsi="宋体" w:cs="宋体"/>
          <w:b/>
          <w:color w:val="000000"/>
          <w:kern w:val="0"/>
          <w:sz w:val="24"/>
        </w:rPr>
        <w:t>月</w:t>
      </w:r>
      <w:r w:rsidR="000C7EE7">
        <w:rPr>
          <w:rFonts w:ascii="宋体" w:hAnsi="宋体" w:cs="宋体"/>
          <w:b/>
          <w:color w:val="000000"/>
          <w:kern w:val="0"/>
          <w:sz w:val="24"/>
        </w:rPr>
        <w:t>1</w:t>
      </w:r>
      <w:r>
        <w:rPr>
          <w:rFonts w:ascii="宋体" w:hAnsi="宋体" w:cs="宋体"/>
          <w:b/>
          <w:color w:val="000000"/>
          <w:kern w:val="0"/>
          <w:sz w:val="24"/>
        </w:rPr>
        <w:t>日</w:t>
      </w:r>
    </w:p>
    <w:p w:rsidR="0093542D" w:rsidRDefault="0093542D">
      <w:pPr>
        <w:spacing w:line="360" w:lineRule="auto"/>
        <w:rPr>
          <w:rFonts w:ascii="宋体" w:hAnsi="宋体" w:cs="宋体" w:hint="eastAsia"/>
          <w:color w:val="000000"/>
          <w:kern w:val="0"/>
          <w:sz w:val="24"/>
        </w:rPr>
      </w:pPr>
    </w:p>
    <w:p w:rsidR="0093542D" w:rsidRDefault="0093542D">
      <w:pPr>
        <w:spacing w:line="360" w:lineRule="auto"/>
        <w:rPr>
          <w:rFonts w:ascii="宋体" w:hAnsi="宋体" w:cs="宋体" w:hint="eastAsia"/>
          <w:color w:val="000000"/>
          <w:kern w:val="0"/>
          <w:sz w:val="24"/>
        </w:rPr>
      </w:pPr>
    </w:p>
    <w:p w:rsidR="0093542D" w:rsidRDefault="0093542D">
      <w:pPr>
        <w:spacing w:line="360" w:lineRule="auto"/>
        <w:rPr>
          <w:rFonts w:ascii="宋体" w:hAnsi="宋体" w:cs="宋体" w:hint="eastAsia"/>
          <w:color w:val="000000"/>
          <w:kern w:val="0"/>
          <w:sz w:val="24"/>
        </w:rPr>
      </w:pPr>
    </w:p>
    <w:p w:rsidR="0093542D" w:rsidRDefault="0093542D">
      <w:pPr>
        <w:spacing w:line="360" w:lineRule="auto"/>
        <w:rPr>
          <w:rFonts w:ascii="宋体" w:hAnsi="宋体" w:cs="宋体" w:hint="eastAsia"/>
          <w:color w:val="000000"/>
          <w:kern w:val="0"/>
          <w:sz w:val="24"/>
        </w:rPr>
      </w:pPr>
    </w:p>
    <w:p w:rsidR="0093542D" w:rsidRDefault="0093542D">
      <w:pPr>
        <w:spacing w:line="360" w:lineRule="auto"/>
        <w:rPr>
          <w:rFonts w:ascii="宋体" w:hAnsi="宋体" w:cs="宋体" w:hint="eastAsia"/>
          <w:color w:val="000000"/>
          <w:kern w:val="0"/>
          <w:sz w:val="24"/>
        </w:rPr>
      </w:pPr>
    </w:p>
    <w:p w:rsidR="0093542D" w:rsidRDefault="0093542D">
      <w:pPr>
        <w:spacing w:line="360" w:lineRule="auto"/>
        <w:rPr>
          <w:rFonts w:ascii="宋体" w:hAnsi="宋体" w:cs="宋体" w:hint="eastAsia"/>
          <w:color w:val="000000"/>
          <w:kern w:val="0"/>
          <w:sz w:val="24"/>
        </w:rPr>
      </w:pPr>
    </w:p>
    <w:p w:rsidR="0093542D" w:rsidRDefault="0093542D">
      <w:pPr>
        <w:spacing w:line="360" w:lineRule="auto"/>
        <w:rPr>
          <w:rFonts w:ascii="宋体" w:hAnsi="宋体" w:cs="宋体" w:hint="eastAsia"/>
          <w:color w:val="000000"/>
          <w:kern w:val="0"/>
          <w:sz w:val="24"/>
        </w:rPr>
      </w:pPr>
    </w:p>
    <w:p w:rsidR="0093542D" w:rsidRDefault="0093542D">
      <w:pPr>
        <w:spacing w:line="360" w:lineRule="auto"/>
        <w:rPr>
          <w:rFonts w:ascii="宋体" w:hAnsi="宋体" w:cs="宋体" w:hint="eastAsia"/>
          <w:color w:val="000000"/>
          <w:kern w:val="0"/>
          <w:sz w:val="24"/>
        </w:rPr>
      </w:pPr>
    </w:p>
    <w:p w:rsidR="0093542D" w:rsidRDefault="0093542D">
      <w:pPr>
        <w:spacing w:line="360" w:lineRule="auto"/>
        <w:rPr>
          <w:rFonts w:ascii="宋体" w:hAnsi="宋体" w:cs="宋体" w:hint="eastAsia"/>
          <w:color w:val="000000"/>
          <w:kern w:val="0"/>
          <w:sz w:val="24"/>
        </w:rPr>
      </w:pPr>
    </w:p>
    <w:p w:rsidR="0093542D" w:rsidRDefault="0093542D">
      <w:pPr>
        <w:spacing w:line="360" w:lineRule="auto"/>
        <w:rPr>
          <w:rFonts w:ascii="宋体" w:hAnsi="宋体" w:cs="宋体" w:hint="eastAsia"/>
          <w:color w:val="000000"/>
          <w:kern w:val="0"/>
          <w:sz w:val="24"/>
        </w:rPr>
      </w:pPr>
    </w:p>
    <w:p w:rsidR="0093542D" w:rsidRDefault="0093542D">
      <w:pPr>
        <w:spacing w:line="360" w:lineRule="auto"/>
        <w:rPr>
          <w:rFonts w:ascii="宋体" w:hAnsi="宋体" w:cs="宋体" w:hint="eastAsia"/>
          <w:color w:val="000000"/>
          <w:kern w:val="0"/>
          <w:sz w:val="24"/>
        </w:rPr>
      </w:pPr>
    </w:p>
    <w:p w:rsidR="0093542D" w:rsidRDefault="0093542D">
      <w:pPr>
        <w:spacing w:line="360" w:lineRule="auto"/>
        <w:rPr>
          <w:rFonts w:ascii="宋体" w:hAnsi="宋体" w:cs="宋体" w:hint="eastAsia"/>
          <w:color w:val="000000"/>
          <w:kern w:val="0"/>
          <w:sz w:val="24"/>
        </w:rPr>
      </w:pPr>
    </w:p>
    <w:p w:rsidR="0093542D" w:rsidRDefault="0093542D">
      <w:pPr>
        <w:spacing w:line="360" w:lineRule="auto"/>
        <w:rPr>
          <w:rFonts w:ascii="宋体" w:hAnsi="宋体" w:cs="宋体" w:hint="eastAsia"/>
          <w:color w:val="000000"/>
          <w:kern w:val="0"/>
          <w:sz w:val="24"/>
        </w:rPr>
      </w:pPr>
    </w:p>
    <w:p w:rsidR="0093542D" w:rsidRDefault="0093542D">
      <w:pPr>
        <w:spacing w:line="360" w:lineRule="auto"/>
        <w:rPr>
          <w:rFonts w:ascii="宋体" w:hAnsi="宋体" w:cs="宋体" w:hint="eastAsia"/>
          <w:color w:val="000000"/>
          <w:kern w:val="0"/>
          <w:sz w:val="24"/>
        </w:rPr>
      </w:pPr>
    </w:p>
    <w:p w:rsidR="0093542D" w:rsidRDefault="0093542D">
      <w:pPr>
        <w:spacing w:line="360" w:lineRule="auto"/>
        <w:rPr>
          <w:rFonts w:ascii="宋体" w:hAnsi="宋体" w:cs="宋体" w:hint="eastAsia"/>
          <w:color w:val="000000"/>
          <w:kern w:val="0"/>
          <w:sz w:val="24"/>
        </w:rPr>
      </w:pPr>
    </w:p>
    <w:p w:rsidR="0093542D" w:rsidRDefault="0093542D">
      <w:pPr>
        <w:spacing w:line="360" w:lineRule="auto"/>
        <w:rPr>
          <w:rFonts w:ascii="宋体" w:hAnsi="宋体" w:cs="宋体" w:hint="eastAsia"/>
          <w:color w:val="000000"/>
          <w:kern w:val="0"/>
          <w:sz w:val="24"/>
        </w:rPr>
      </w:pPr>
    </w:p>
    <w:p w:rsidR="0093542D" w:rsidRDefault="0093542D">
      <w:pPr>
        <w:spacing w:line="360" w:lineRule="auto"/>
        <w:rPr>
          <w:rFonts w:ascii="宋体" w:hAnsi="宋体" w:cs="宋体"/>
          <w:color w:val="000000"/>
          <w:kern w:val="0"/>
          <w:sz w:val="24"/>
        </w:rPr>
      </w:pPr>
    </w:p>
    <w:p w:rsidR="0093542D" w:rsidRDefault="0093542D">
      <w:pPr>
        <w:spacing w:line="360" w:lineRule="auto"/>
        <w:rPr>
          <w:rFonts w:ascii="宋体" w:hAnsi="宋体" w:cs="宋体"/>
          <w:color w:val="000000"/>
          <w:kern w:val="0"/>
          <w:sz w:val="24"/>
        </w:rPr>
      </w:pPr>
    </w:p>
    <w:p w:rsidR="0093542D" w:rsidRDefault="0093542D">
      <w:pPr>
        <w:spacing w:line="360" w:lineRule="auto"/>
        <w:rPr>
          <w:rFonts w:ascii="宋体" w:hAnsi="宋体" w:cs="宋体"/>
          <w:color w:val="000000"/>
          <w:kern w:val="0"/>
          <w:sz w:val="24"/>
        </w:rPr>
      </w:pPr>
    </w:p>
    <w:p w:rsidR="000C7EE7" w:rsidRDefault="000C7EE7">
      <w:pPr>
        <w:spacing w:line="360" w:lineRule="auto"/>
        <w:rPr>
          <w:rFonts w:ascii="宋体" w:hAnsi="宋体" w:cs="宋体" w:hint="eastAsia"/>
          <w:color w:val="000000"/>
          <w:kern w:val="0"/>
          <w:sz w:val="24"/>
        </w:rPr>
      </w:pPr>
    </w:p>
    <w:p w:rsidR="0093542D" w:rsidRDefault="0093542D">
      <w:pPr>
        <w:spacing w:line="360" w:lineRule="auto"/>
        <w:rPr>
          <w:rFonts w:ascii="宋体" w:hAnsi="宋体" w:cs="宋体" w:hint="eastAsia"/>
          <w:color w:val="000000"/>
          <w:kern w:val="0"/>
          <w:sz w:val="24"/>
        </w:rPr>
      </w:pPr>
      <w:r>
        <w:rPr>
          <w:rFonts w:ascii="宋体" w:hAnsi="宋体" w:cs="宋体" w:hint="eastAsia"/>
          <w:color w:val="000000"/>
          <w:kern w:val="0"/>
          <w:sz w:val="24"/>
        </w:rPr>
        <w:lastRenderedPageBreak/>
        <w:t>附件：</w:t>
      </w:r>
    </w:p>
    <w:p w:rsidR="0093542D" w:rsidRDefault="0093542D">
      <w:pPr>
        <w:spacing w:line="360" w:lineRule="auto"/>
        <w:jc w:val="center"/>
        <w:rPr>
          <w:rFonts w:ascii="宋体" w:hAnsi="宋体" w:cs="宋体" w:hint="eastAsia"/>
          <w:color w:val="000000"/>
          <w:kern w:val="0"/>
          <w:sz w:val="24"/>
        </w:rPr>
      </w:pPr>
      <w:r>
        <w:rPr>
          <w:rFonts w:ascii="宋体" w:hAnsi="宋体" w:cs="宋体" w:hint="eastAsia"/>
          <w:b/>
          <w:bCs/>
          <w:color w:val="000000"/>
          <w:kern w:val="0"/>
          <w:sz w:val="28"/>
          <w:szCs w:val="28"/>
        </w:rPr>
        <w:t>非港股通交易日暂停交易基金列表</w:t>
      </w:r>
    </w:p>
    <w:p w:rsidR="0093542D" w:rsidRDefault="0093542D">
      <w:pPr>
        <w:spacing w:line="360" w:lineRule="auto"/>
        <w:jc w:val="center"/>
        <w:rPr>
          <w:rFonts w:ascii="宋体" w:hAnsi="宋体" w:cs="宋体" w:hint="eastAsia"/>
          <w:color w:val="000000"/>
          <w:kern w:val="0"/>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1417"/>
        <w:gridCol w:w="6946"/>
      </w:tblGrid>
      <w:tr w:rsidR="0093542D">
        <w:tc>
          <w:tcPr>
            <w:tcW w:w="993" w:type="dxa"/>
          </w:tcPr>
          <w:p w:rsidR="0093542D" w:rsidRDefault="0093542D">
            <w:pPr>
              <w:spacing w:line="360" w:lineRule="auto"/>
              <w:ind w:firstLineChars="100" w:firstLine="240"/>
              <w:jc w:val="left"/>
              <w:rPr>
                <w:rFonts w:ascii="宋体" w:hAnsi="宋体" w:cs="宋体" w:hint="eastAsia"/>
                <w:color w:val="000000"/>
                <w:kern w:val="0"/>
                <w:sz w:val="24"/>
              </w:rPr>
            </w:pPr>
            <w:r>
              <w:rPr>
                <w:rFonts w:ascii="宋体" w:hAnsi="宋体" w:cs="宋体" w:hint="eastAsia"/>
                <w:color w:val="000000"/>
                <w:kern w:val="0"/>
                <w:sz w:val="24"/>
              </w:rPr>
              <w:t>序号</w:t>
            </w:r>
          </w:p>
        </w:tc>
        <w:tc>
          <w:tcPr>
            <w:tcW w:w="1417" w:type="dxa"/>
          </w:tcPr>
          <w:p w:rsidR="0093542D" w:rsidRDefault="0093542D">
            <w:pPr>
              <w:spacing w:line="360" w:lineRule="auto"/>
              <w:ind w:firstLineChars="100" w:firstLine="240"/>
              <w:jc w:val="left"/>
              <w:rPr>
                <w:rFonts w:ascii="宋体" w:hAnsi="宋体" w:cs="宋体" w:hint="eastAsia"/>
                <w:color w:val="000000"/>
                <w:kern w:val="0"/>
                <w:sz w:val="24"/>
              </w:rPr>
            </w:pPr>
            <w:r>
              <w:rPr>
                <w:rFonts w:ascii="宋体" w:hAnsi="宋体" w:cs="宋体"/>
                <w:color w:val="000000"/>
                <w:kern w:val="0"/>
                <w:sz w:val="24"/>
              </w:rPr>
              <w:t>份额</w:t>
            </w:r>
            <w:r>
              <w:rPr>
                <w:rFonts w:ascii="宋体" w:hAnsi="宋体" w:cs="宋体" w:hint="eastAsia"/>
                <w:color w:val="000000"/>
                <w:kern w:val="0"/>
                <w:sz w:val="24"/>
              </w:rPr>
              <w:t>代码</w:t>
            </w:r>
          </w:p>
        </w:tc>
        <w:tc>
          <w:tcPr>
            <w:tcW w:w="6946" w:type="dxa"/>
          </w:tcPr>
          <w:p w:rsidR="0093542D" w:rsidRDefault="0093542D">
            <w:pPr>
              <w:spacing w:line="360" w:lineRule="auto"/>
              <w:rPr>
                <w:rFonts w:ascii="宋体" w:hAnsi="宋体" w:cs="宋体" w:hint="eastAsia"/>
                <w:color w:val="000000"/>
                <w:kern w:val="0"/>
                <w:sz w:val="24"/>
              </w:rPr>
            </w:pPr>
            <w:r>
              <w:rPr>
                <w:rFonts w:ascii="宋体" w:hAnsi="宋体" w:cs="宋体" w:hint="eastAsia"/>
                <w:color w:val="000000"/>
                <w:kern w:val="0"/>
                <w:sz w:val="24"/>
              </w:rPr>
              <w:t>基金名称</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widowControl/>
              <w:jc w:val="left"/>
              <w:rPr>
                <w:rFonts w:ascii="Arial" w:hAnsi="Arial" w:cs="Arial"/>
                <w:kern w:val="0"/>
                <w:sz w:val="20"/>
                <w:szCs w:val="20"/>
              </w:rPr>
            </w:pPr>
            <w:r>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sz w:val="24"/>
              </w:rPr>
              <w:t>001371</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富国沪港深价值精选灵活配置混合型证券投资基金</w:t>
            </w:r>
            <w:r>
              <w:rPr>
                <w:rFonts w:hint="eastAsia"/>
                <w:sz w:val="24"/>
              </w:rPr>
              <w:t>A</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sz w:val="24"/>
              </w:rPr>
            </w:pPr>
            <w:r>
              <w:rPr>
                <w:sz w:val="24"/>
              </w:rPr>
              <w:t>011131</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富国沪港深价值精选灵活配置混合型证券投资基金</w:t>
            </w:r>
            <w:r>
              <w:rPr>
                <w:rFonts w:hint="eastAsia"/>
                <w:sz w:val="24"/>
              </w:rPr>
              <w:t>C</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001827</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富国研究优选沪港深灵活配置混合型证券投资基金</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005354</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富国沪港深行业精选灵活配置混合型发起式证券投资基金</w:t>
            </w:r>
            <w:r>
              <w:rPr>
                <w:sz w:val="24"/>
              </w:rPr>
              <w:t>A</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sz w:val="24"/>
              </w:rPr>
              <w:t>011114</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富国沪港深行业精选灵活配置混合型发起式证券投资基金</w:t>
            </w:r>
            <w:r>
              <w:rPr>
                <w:rFonts w:hint="eastAsia"/>
                <w:sz w:val="24"/>
              </w:rPr>
              <w:t>C</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005357</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富国国企改革灵活配置混合型证券投资基金</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005368</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富国清洁能源产业灵活配置混合型证券投资基金</w:t>
            </w:r>
            <w:r>
              <w:rPr>
                <w:rFonts w:hint="eastAsia"/>
                <w:sz w:val="24"/>
              </w:rPr>
              <w:t>A</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sz w:val="24"/>
              </w:rPr>
              <w:t>011127</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富国清洁能源产业灵活配置混合型证券投资基金</w:t>
            </w:r>
            <w:r>
              <w:rPr>
                <w:rFonts w:hint="eastAsia"/>
                <w:sz w:val="24"/>
              </w:rPr>
              <w:t>C</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005472</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富国价值驱动灵活配置混合型证券投资基金</w:t>
            </w:r>
            <w:r>
              <w:rPr>
                <w:rFonts w:hint="eastAsia"/>
                <w:sz w:val="24"/>
              </w:rPr>
              <w:t>A</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sz w:val="24"/>
              </w:rPr>
              <w:t>005473</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富国价值驱动灵活配置混合型证券投资基金</w:t>
            </w:r>
            <w:r>
              <w:rPr>
                <w:rFonts w:hint="eastAsia"/>
                <w:sz w:val="24"/>
              </w:rPr>
              <w:t>C</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11</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005707</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富国港股通量化精选股票型证券投资基金</w:t>
            </w:r>
            <w:r>
              <w:rPr>
                <w:rFonts w:hint="eastAsia"/>
                <w:sz w:val="24"/>
              </w:rPr>
              <w:t>A</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sz w:val="24"/>
              </w:rPr>
              <w:t>014163</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富国港股通量化精选股票型证券投资基金</w:t>
            </w:r>
            <w:r>
              <w:rPr>
                <w:rFonts w:hint="eastAsia"/>
                <w:sz w:val="24"/>
              </w:rPr>
              <w:t>C</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13</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005732</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富国臻选成长灵活配置混合型证券投资基金</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14</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005760</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富国周期优势混合型证券投资基金</w:t>
            </w:r>
            <w:r>
              <w:rPr>
                <w:rFonts w:hint="eastAsia"/>
                <w:sz w:val="24"/>
              </w:rPr>
              <w:t>A</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sz w:val="24"/>
              </w:rPr>
              <w:t>011565</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富国周期优势混合型证券投资基金</w:t>
            </w:r>
            <w:r>
              <w:rPr>
                <w:rFonts w:hint="eastAsia"/>
                <w:sz w:val="24"/>
              </w:rPr>
              <w:t>C</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16</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005840</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富国产业驱动混合型证券投资基金</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17</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005847</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富国沪港深业绩驱动混合型证券投资基金</w:t>
            </w:r>
            <w:r>
              <w:rPr>
                <w:rFonts w:hint="eastAsia"/>
                <w:sz w:val="24"/>
              </w:rPr>
              <w:t>A</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18</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sz w:val="24"/>
              </w:rPr>
              <w:t>011117</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富国沪港深业绩驱动混合型证券投资基金</w:t>
            </w:r>
            <w:r>
              <w:rPr>
                <w:rFonts w:hint="eastAsia"/>
                <w:sz w:val="24"/>
              </w:rPr>
              <w:t>C</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19</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006179</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富国品质生活混合型证券投资基金</w:t>
            </w:r>
            <w:r>
              <w:rPr>
                <w:rFonts w:hint="eastAsia"/>
                <w:sz w:val="24"/>
              </w:rPr>
              <w:t>A</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sz w:val="24"/>
              </w:rPr>
              <w:t>013047</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富国品质生活混合型证券投资基金</w:t>
            </w:r>
            <w:r>
              <w:rPr>
                <w:rFonts w:hint="eastAsia"/>
                <w:sz w:val="24"/>
              </w:rPr>
              <w:t>C</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21</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006218</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富国生物医药科技混合型证券投资基金</w:t>
            </w:r>
            <w:r>
              <w:rPr>
                <w:rFonts w:hint="eastAsia"/>
                <w:sz w:val="24"/>
              </w:rPr>
              <w:t>A</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22</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sz w:val="24"/>
              </w:rPr>
              <w:t>011308</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富国生物医药科技混合型证券投资基金</w:t>
            </w:r>
            <w:r>
              <w:rPr>
                <w:rFonts w:hint="eastAsia"/>
                <w:sz w:val="24"/>
              </w:rPr>
              <w:t>C</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23</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006527</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富国优质发展混合型证券投资基金</w:t>
            </w:r>
            <w:r>
              <w:rPr>
                <w:rFonts w:hint="eastAsia"/>
                <w:sz w:val="24"/>
              </w:rPr>
              <w:t>A</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24</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sz w:val="24"/>
              </w:rPr>
              <w:t>006528</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富国优质发展混合型证券投资基金</w:t>
            </w:r>
            <w:r>
              <w:rPr>
                <w:rFonts w:hint="eastAsia"/>
                <w:sz w:val="24"/>
              </w:rPr>
              <w:t>C</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25</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006652</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富国金融地产行业混合型证券投资基金</w:t>
            </w:r>
            <w:r>
              <w:rPr>
                <w:rFonts w:hint="eastAsia"/>
                <w:sz w:val="24"/>
              </w:rPr>
              <w:t>A</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26</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sz w:val="24"/>
              </w:rPr>
              <w:t>011124</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富国金融地产行业混合型证券投资基金</w:t>
            </w:r>
            <w:r>
              <w:rPr>
                <w:rFonts w:hint="eastAsia"/>
                <w:sz w:val="24"/>
              </w:rPr>
              <w:t>C</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27</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006751</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富国互联科技股票型证券投资基金</w:t>
            </w:r>
            <w:r>
              <w:rPr>
                <w:rFonts w:hint="eastAsia"/>
                <w:sz w:val="24"/>
              </w:rPr>
              <w:t>A</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sz w:val="24"/>
              </w:rPr>
              <w:t>011126</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富国互联科技股票型证券投资基金</w:t>
            </w:r>
            <w:r>
              <w:rPr>
                <w:rFonts w:hint="eastAsia"/>
                <w:sz w:val="24"/>
              </w:rPr>
              <w:t>C</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29</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006796</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富国消费升级混合型证券投资基金</w:t>
            </w:r>
            <w:r>
              <w:rPr>
                <w:rFonts w:hint="eastAsia"/>
                <w:sz w:val="24"/>
              </w:rPr>
              <w:t>A</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sz w:val="24"/>
              </w:rPr>
              <w:t>011567</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富国消费升级混合型证券投资基金</w:t>
            </w:r>
            <w:r>
              <w:rPr>
                <w:rFonts w:hint="eastAsia"/>
                <w:sz w:val="24"/>
              </w:rPr>
              <w:t>C</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31</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007016</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富国睿泽回报混合型证券投资基金</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007139</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富国民裕进取沪港深成长精选混合型证券投资基金</w:t>
            </w:r>
            <w:r>
              <w:rPr>
                <w:rFonts w:hint="eastAsia"/>
                <w:sz w:val="24"/>
              </w:rPr>
              <w:t>A</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33</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sz w:val="24"/>
              </w:rPr>
              <w:t>011556</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富国民裕进取沪港深成长精选混合型证券投资基金</w:t>
            </w:r>
            <w:r>
              <w:rPr>
                <w:rFonts w:hint="eastAsia"/>
                <w:sz w:val="24"/>
              </w:rPr>
              <w:t>C</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34</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007345</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富国科技创新灵活配置混合型证券投资基金</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35</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008138</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富国龙头优势混合型证券投资基金</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36</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008901</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富国内需增长混合型证券投资基金</w:t>
            </w:r>
            <w:r>
              <w:rPr>
                <w:rFonts w:hint="eastAsia"/>
                <w:sz w:val="24"/>
              </w:rPr>
              <w:t>A</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37</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sz w:val="24"/>
              </w:rPr>
              <w:t>013045</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富国内需增长混合型证券投资基金</w:t>
            </w:r>
            <w:r>
              <w:rPr>
                <w:rFonts w:hint="eastAsia"/>
                <w:sz w:val="24"/>
              </w:rPr>
              <w:t>C</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38</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009092</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富国新材料新能源混合型证券投资基金</w:t>
            </w:r>
            <w:r>
              <w:rPr>
                <w:rFonts w:hint="eastAsia"/>
                <w:sz w:val="24"/>
              </w:rPr>
              <w:t>A</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39</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sz w:val="24"/>
              </w:rPr>
              <w:t>014243</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富国新材料新能源混合型证券投资基金</w:t>
            </w:r>
            <w:r>
              <w:rPr>
                <w:rFonts w:hint="eastAsia"/>
                <w:sz w:val="24"/>
              </w:rPr>
              <w:t>C</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40</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009162</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富国医药成长</w:t>
            </w:r>
            <w:r>
              <w:rPr>
                <w:rFonts w:hint="eastAsia"/>
                <w:sz w:val="24"/>
              </w:rPr>
              <w:t>30</w:t>
            </w:r>
            <w:r>
              <w:rPr>
                <w:rFonts w:hint="eastAsia"/>
                <w:sz w:val="24"/>
              </w:rPr>
              <w:t>股票型证券投资基金</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41</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009782</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富国兴泉回报</w:t>
            </w:r>
            <w:r>
              <w:rPr>
                <w:rFonts w:hint="eastAsia"/>
                <w:sz w:val="24"/>
              </w:rPr>
              <w:t>12</w:t>
            </w:r>
            <w:r>
              <w:rPr>
                <w:rFonts w:hint="eastAsia"/>
                <w:sz w:val="24"/>
              </w:rPr>
              <w:t>个月持有期混合型证券投资基金</w:t>
            </w:r>
            <w:r>
              <w:rPr>
                <w:rFonts w:hint="eastAsia"/>
                <w:sz w:val="24"/>
              </w:rPr>
              <w:t>A</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42</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sz w:val="24"/>
              </w:rPr>
              <w:t>009783</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富国兴泉回报</w:t>
            </w:r>
            <w:r>
              <w:rPr>
                <w:rFonts w:hint="eastAsia"/>
                <w:sz w:val="24"/>
              </w:rPr>
              <w:t>12</w:t>
            </w:r>
            <w:r>
              <w:rPr>
                <w:rFonts w:hint="eastAsia"/>
                <w:sz w:val="24"/>
              </w:rPr>
              <w:t>个月持有期混合型证券投资基金</w:t>
            </w:r>
            <w:r>
              <w:rPr>
                <w:rFonts w:hint="eastAsia"/>
                <w:sz w:val="24"/>
              </w:rPr>
              <w:t>C</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43</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009863</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富国创新趋势股票型证券投资基金</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44</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100016</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富国天源沪港深平衡混合型证券投资基金</w:t>
            </w:r>
            <w:r>
              <w:rPr>
                <w:rFonts w:hint="eastAsia"/>
                <w:sz w:val="24"/>
              </w:rPr>
              <w:t>A</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hint="eastAsia"/>
                <w:sz w:val="20"/>
                <w:szCs w:val="20"/>
              </w:rPr>
              <w:t>4</w:t>
            </w:r>
            <w:r>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sz w:val="24"/>
              </w:rPr>
              <w:t>014931</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富国天源沪港深平衡混合型证券投资基金</w:t>
            </w:r>
            <w:r>
              <w:rPr>
                <w:rFonts w:hint="eastAsia"/>
                <w:sz w:val="24"/>
              </w:rPr>
              <w:t>C</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hint="eastAsia"/>
                <w:sz w:val="20"/>
                <w:szCs w:val="20"/>
              </w:rPr>
              <w:t>4</w:t>
            </w:r>
            <w:r>
              <w:rPr>
                <w:rFonts w:ascii="Arial" w:hAnsi="Arial" w:cs="Arial"/>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sz w:val="24"/>
              </w:rPr>
              <w:t>011635</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富国港股通策略精选混合型证券投资基金</w:t>
            </w:r>
            <w:r>
              <w:rPr>
                <w:rFonts w:hint="eastAsia"/>
                <w:sz w:val="24"/>
              </w:rPr>
              <w:t>A</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hint="eastAsia"/>
                <w:sz w:val="20"/>
                <w:szCs w:val="20"/>
              </w:rPr>
              <w:t>4</w:t>
            </w:r>
            <w:r>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sz w:val="24"/>
              </w:rPr>
              <w:t>011636</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富国港股通策略精选混合型证券投资基金</w:t>
            </w:r>
            <w:r>
              <w:rPr>
                <w:rFonts w:hint="eastAsia"/>
                <w:sz w:val="24"/>
              </w:rPr>
              <w:t>C</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48</w:t>
            </w:r>
          </w:p>
        </w:tc>
        <w:tc>
          <w:tcPr>
            <w:tcW w:w="1417" w:type="dxa"/>
            <w:tcBorders>
              <w:top w:val="single" w:sz="4" w:space="0" w:color="auto"/>
              <w:left w:val="single" w:sz="4" w:space="0" w:color="auto"/>
              <w:bottom w:val="single" w:sz="4" w:space="0" w:color="auto"/>
              <w:right w:val="single" w:sz="4" w:space="0" w:color="auto"/>
            </w:tcBorders>
            <w:vAlign w:val="bottom"/>
          </w:tcPr>
          <w:p w:rsidR="0093542D" w:rsidRDefault="0093542D">
            <w:pPr>
              <w:rPr>
                <w:sz w:val="24"/>
              </w:rPr>
            </w:pPr>
            <w:r>
              <w:rPr>
                <w:sz w:val="24"/>
              </w:rPr>
              <w:t>012275</w:t>
            </w:r>
          </w:p>
        </w:tc>
        <w:tc>
          <w:tcPr>
            <w:tcW w:w="6946" w:type="dxa"/>
            <w:tcBorders>
              <w:top w:val="single" w:sz="4" w:space="0" w:color="auto"/>
              <w:left w:val="single" w:sz="4" w:space="0" w:color="auto"/>
              <w:bottom w:val="single" w:sz="4" w:space="0" w:color="auto"/>
              <w:right w:val="single" w:sz="4" w:space="0" w:color="auto"/>
            </w:tcBorders>
            <w:vAlign w:val="bottom"/>
          </w:tcPr>
          <w:p w:rsidR="0093542D" w:rsidRDefault="0093542D">
            <w:pPr>
              <w:rPr>
                <w:sz w:val="24"/>
              </w:rPr>
            </w:pPr>
            <w:r>
              <w:rPr>
                <w:rFonts w:hint="eastAsia"/>
                <w:sz w:val="24"/>
              </w:rPr>
              <w:t>富国中证沪港深</w:t>
            </w:r>
            <w:r>
              <w:rPr>
                <w:sz w:val="24"/>
              </w:rPr>
              <w:t>500</w:t>
            </w:r>
            <w:r>
              <w:rPr>
                <w:rFonts w:hint="eastAsia"/>
                <w:sz w:val="24"/>
              </w:rPr>
              <w:t>交易型开放式指数证券投资基金联接基金</w:t>
            </w:r>
            <w:r>
              <w:rPr>
                <w:rFonts w:hint="eastAsia"/>
                <w:sz w:val="24"/>
              </w:rPr>
              <w:t>A</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49</w:t>
            </w:r>
          </w:p>
        </w:tc>
        <w:tc>
          <w:tcPr>
            <w:tcW w:w="1417" w:type="dxa"/>
            <w:tcBorders>
              <w:top w:val="single" w:sz="4" w:space="0" w:color="auto"/>
              <w:left w:val="single" w:sz="4" w:space="0" w:color="auto"/>
              <w:bottom w:val="single" w:sz="4" w:space="0" w:color="auto"/>
              <w:right w:val="single" w:sz="4" w:space="0" w:color="auto"/>
            </w:tcBorders>
            <w:vAlign w:val="bottom"/>
          </w:tcPr>
          <w:p w:rsidR="0093542D" w:rsidRDefault="0093542D">
            <w:pPr>
              <w:rPr>
                <w:sz w:val="24"/>
              </w:rPr>
            </w:pPr>
            <w:r>
              <w:rPr>
                <w:sz w:val="24"/>
              </w:rPr>
              <w:t>012276</w:t>
            </w:r>
          </w:p>
        </w:tc>
        <w:tc>
          <w:tcPr>
            <w:tcW w:w="6946" w:type="dxa"/>
            <w:tcBorders>
              <w:top w:val="single" w:sz="4" w:space="0" w:color="auto"/>
              <w:left w:val="single" w:sz="4" w:space="0" w:color="auto"/>
              <w:bottom w:val="single" w:sz="4" w:space="0" w:color="auto"/>
              <w:right w:val="single" w:sz="4" w:space="0" w:color="auto"/>
            </w:tcBorders>
            <w:vAlign w:val="bottom"/>
          </w:tcPr>
          <w:p w:rsidR="0093542D" w:rsidRDefault="0093542D">
            <w:pPr>
              <w:rPr>
                <w:rFonts w:hint="eastAsia"/>
                <w:sz w:val="24"/>
              </w:rPr>
            </w:pPr>
            <w:r>
              <w:rPr>
                <w:rFonts w:hint="eastAsia"/>
                <w:sz w:val="24"/>
              </w:rPr>
              <w:t>富国中证沪港深</w:t>
            </w:r>
            <w:r>
              <w:rPr>
                <w:sz w:val="24"/>
              </w:rPr>
              <w:t>500</w:t>
            </w:r>
            <w:r>
              <w:rPr>
                <w:rFonts w:hint="eastAsia"/>
                <w:sz w:val="24"/>
              </w:rPr>
              <w:t>交易型开放式指数证券投资基金联接基金</w:t>
            </w:r>
            <w:r>
              <w:rPr>
                <w:rFonts w:hint="eastAsia"/>
                <w:sz w:val="24"/>
              </w:rPr>
              <w:t>C</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013989</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富国沪港深优质资产混合型发起式证券投资基金</w:t>
            </w:r>
            <w:r>
              <w:rPr>
                <w:rFonts w:hint="eastAsia"/>
                <w:sz w:val="24"/>
              </w:rPr>
              <w:t>A</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51</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013990</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sz w:val="24"/>
              </w:rPr>
            </w:pPr>
            <w:r>
              <w:rPr>
                <w:rFonts w:hint="eastAsia"/>
                <w:sz w:val="24"/>
              </w:rPr>
              <w:t>富国沪港深优质资产混合型发起式证券投资基金</w:t>
            </w:r>
            <w:r>
              <w:rPr>
                <w:rFonts w:hint="eastAsia"/>
                <w:sz w:val="24"/>
              </w:rPr>
              <w:t>C</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sz w:val="20"/>
                <w:szCs w:val="20"/>
              </w:rPr>
              <w:t>52</w:t>
            </w:r>
          </w:p>
        </w:tc>
        <w:tc>
          <w:tcPr>
            <w:tcW w:w="1417" w:type="dxa"/>
            <w:tcBorders>
              <w:top w:val="single" w:sz="4" w:space="0" w:color="auto"/>
              <w:left w:val="single" w:sz="4" w:space="0" w:color="auto"/>
              <w:bottom w:val="single" w:sz="4" w:space="0" w:color="auto"/>
              <w:right w:val="single" w:sz="4" w:space="0" w:color="auto"/>
            </w:tcBorders>
            <w:vAlign w:val="bottom"/>
          </w:tcPr>
          <w:p w:rsidR="0093542D" w:rsidRDefault="0093542D">
            <w:pPr>
              <w:rPr>
                <w:sz w:val="24"/>
              </w:rPr>
            </w:pPr>
            <w:r>
              <w:rPr>
                <w:sz w:val="24"/>
              </w:rPr>
              <w:t>517100</w:t>
            </w:r>
          </w:p>
        </w:tc>
        <w:tc>
          <w:tcPr>
            <w:tcW w:w="6946" w:type="dxa"/>
            <w:tcBorders>
              <w:top w:val="single" w:sz="4" w:space="0" w:color="auto"/>
              <w:left w:val="single" w:sz="4" w:space="0" w:color="auto"/>
              <w:bottom w:val="single" w:sz="4" w:space="0" w:color="auto"/>
              <w:right w:val="single" w:sz="4" w:space="0" w:color="auto"/>
            </w:tcBorders>
            <w:vAlign w:val="bottom"/>
          </w:tcPr>
          <w:p w:rsidR="0093542D" w:rsidRDefault="0093542D">
            <w:pPr>
              <w:rPr>
                <w:sz w:val="24"/>
              </w:rPr>
            </w:pPr>
            <w:r>
              <w:rPr>
                <w:rFonts w:hint="eastAsia"/>
                <w:sz w:val="24"/>
              </w:rPr>
              <w:t>富国中证沪港深</w:t>
            </w:r>
            <w:r>
              <w:rPr>
                <w:sz w:val="24"/>
              </w:rPr>
              <w:t>500</w:t>
            </w:r>
            <w:r>
              <w:rPr>
                <w:rFonts w:hint="eastAsia"/>
                <w:sz w:val="24"/>
              </w:rPr>
              <w:t>交易型开放式指数证券投资基金</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hint="eastAsia"/>
                <w:sz w:val="20"/>
                <w:szCs w:val="20"/>
              </w:rPr>
              <w:t>5</w:t>
            </w: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vAlign w:val="bottom"/>
          </w:tcPr>
          <w:p w:rsidR="0093542D" w:rsidRDefault="0093542D">
            <w:pPr>
              <w:rPr>
                <w:sz w:val="24"/>
              </w:rPr>
            </w:pPr>
            <w:r>
              <w:rPr>
                <w:sz w:val="24"/>
              </w:rPr>
              <w:t>159748</w:t>
            </w:r>
          </w:p>
        </w:tc>
        <w:tc>
          <w:tcPr>
            <w:tcW w:w="6946" w:type="dxa"/>
            <w:tcBorders>
              <w:top w:val="single" w:sz="4" w:space="0" w:color="auto"/>
              <w:left w:val="single" w:sz="4" w:space="0" w:color="auto"/>
              <w:bottom w:val="single" w:sz="4" w:space="0" w:color="auto"/>
              <w:right w:val="single" w:sz="4" w:space="0" w:color="auto"/>
            </w:tcBorders>
            <w:vAlign w:val="bottom"/>
          </w:tcPr>
          <w:p w:rsidR="0093542D" w:rsidRDefault="0093542D">
            <w:pPr>
              <w:rPr>
                <w:sz w:val="24"/>
              </w:rPr>
            </w:pPr>
            <w:r>
              <w:rPr>
                <w:rFonts w:hint="eastAsia"/>
                <w:sz w:val="24"/>
              </w:rPr>
              <w:t>富国中证沪港深创新药产业交易型开放式指数证券投资基金</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hint="eastAsia"/>
                <w:sz w:val="20"/>
                <w:szCs w:val="20"/>
              </w:rPr>
              <w:t>5</w:t>
            </w:r>
            <w:r>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vAlign w:val="bottom"/>
          </w:tcPr>
          <w:p w:rsidR="0093542D" w:rsidRDefault="0093542D">
            <w:pPr>
              <w:rPr>
                <w:sz w:val="24"/>
              </w:rPr>
            </w:pPr>
            <w:r>
              <w:rPr>
                <w:sz w:val="24"/>
              </w:rPr>
              <w:t>159792</w:t>
            </w:r>
          </w:p>
        </w:tc>
        <w:tc>
          <w:tcPr>
            <w:tcW w:w="6946" w:type="dxa"/>
            <w:tcBorders>
              <w:top w:val="single" w:sz="4" w:space="0" w:color="auto"/>
              <w:left w:val="single" w:sz="4" w:space="0" w:color="auto"/>
              <w:bottom w:val="single" w:sz="4" w:space="0" w:color="auto"/>
              <w:right w:val="single" w:sz="4" w:space="0" w:color="auto"/>
            </w:tcBorders>
            <w:vAlign w:val="bottom"/>
          </w:tcPr>
          <w:p w:rsidR="0093542D" w:rsidRDefault="0093542D">
            <w:pPr>
              <w:rPr>
                <w:rFonts w:hint="eastAsia"/>
                <w:sz w:val="24"/>
              </w:rPr>
            </w:pPr>
            <w:r>
              <w:rPr>
                <w:rFonts w:hint="eastAsia"/>
                <w:sz w:val="24"/>
              </w:rPr>
              <w:t>富国中证港股通互联网交易型开放式指数证券投资基金</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hint="eastAsia"/>
                <w:sz w:val="20"/>
                <w:szCs w:val="20"/>
              </w:rPr>
              <w:t>5</w:t>
            </w:r>
            <w:r>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014673</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富国中证港股通互联网交易型开放式指数证券投资基金发起式联接基金</w:t>
            </w:r>
            <w:r>
              <w:rPr>
                <w:rFonts w:hint="eastAsia"/>
                <w:sz w:val="24"/>
              </w:rPr>
              <w:t>A</w:t>
            </w:r>
          </w:p>
        </w:tc>
      </w:tr>
      <w:tr w:rsidR="0093542D">
        <w:tc>
          <w:tcPr>
            <w:tcW w:w="993" w:type="dxa"/>
            <w:tcBorders>
              <w:top w:val="single" w:sz="4" w:space="0" w:color="auto"/>
              <w:left w:val="single" w:sz="4" w:space="0" w:color="auto"/>
              <w:bottom w:val="single" w:sz="4" w:space="0" w:color="auto"/>
              <w:right w:val="single" w:sz="4" w:space="0" w:color="auto"/>
            </w:tcBorders>
            <w:vAlign w:val="bottom"/>
          </w:tcPr>
          <w:p w:rsidR="0093542D" w:rsidRDefault="0093542D">
            <w:pPr>
              <w:jc w:val="left"/>
              <w:rPr>
                <w:rFonts w:ascii="Arial" w:hAnsi="Arial" w:cs="Arial"/>
                <w:sz w:val="20"/>
                <w:szCs w:val="20"/>
              </w:rPr>
            </w:pPr>
            <w:r>
              <w:rPr>
                <w:rFonts w:ascii="Arial" w:hAnsi="Arial" w:cs="Arial" w:hint="eastAsia"/>
                <w:sz w:val="20"/>
                <w:szCs w:val="20"/>
              </w:rPr>
              <w:t>5</w:t>
            </w:r>
            <w:r>
              <w:rPr>
                <w:rFonts w:ascii="Arial" w:hAnsi="Arial" w:cs="Arial"/>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93542D" w:rsidRDefault="0093542D">
            <w:pPr>
              <w:rPr>
                <w:rFonts w:hint="eastAsia"/>
                <w:sz w:val="24"/>
              </w:rPr>
            </w:pPr>
            <w:r>
              <w:rPr>
                <w:rFonts w:hint="eastAsia"/>
                <w:sz w:val="24"/>
              </w:rPr>
              <w:t>014674</w:t>
            </w:r>
          </w:p>
        </w:tc>
        <w:tc>
          <w:tcPr>
            <w:tcW w:w="6946" w:type="dxa"/>
            <w:tcBorders>
              <w:top w:val="single" w:sz="4" w:space="0" w:color="auto"/>
              <w:left w:val="single" w:sz="4" w:space="0" w:color="auto"/>
              <w:bottom w:val="single" w:sz="4" w:space="0" w:color="auto"/>
              <w:right w:val="single" w:sz="4" w:space="0" w:color="auto"/>
            </w:tcBorders>
          </w:tcPr>
          <w:p w:rsidR="0093542D" w:rsidRDefault="0093542D">
            <w:pPr>
              <w:rPr>
                <w:sz w:val="24"/>
              </w:rPr>
            </w:pPr>
            <w:r>
              <w:rPr>
                <w:rFonts w:hint="eastAsia"/>
                <w:sz w:val="24"/>
              </w:rPr>
              <w:t>富国中证港股通互联网交易型开放式指数证券投资基金发起式联接基金</w:t>
            </w:r>
            <w:r>
              <w:rPr>
                <w:rFonts w:hint="eastAsia"/>
                <w:sz w:val="24"/>
              </w:rPr>
              <w:t>C</w:t>
            </w:r>
          </w:p>
        </w:tc>
      </w:tr>
    </w:tbl>
    <w:p w:rsidR="0093542D" w:rsidRDefault="0093542D">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注</w:t>
      </w:r>
      <w:r>
        <w:rPr>
          <w:rFonts w:ascii="宋体" w:hAnsi="宋体" w:cs="宋体"/>
          <w:color w:val="000000"/>
          <w:kern w:val="0"/>
          <w:sz w:val="24"/>
        </w:rPr>
        <w:t>：</w:t>
      </w:r>
      <w:r>
        <w:rPr>
          <w:rFonts w:ascii="宋体" w:hAnsi="宋体" w:cs="宋体" w:hint="eastAsia"/>
          <w:color w:val="000000"/>
          <w:kern w:val="0"/>
          <w:sz w:val="24"/>
        </w:rPr>
        <w:t>列表中的基金若新增份额类别，则该份额类别在上海证券交易所和深圳证券交易所交易日的上述202</w:t>
      </w:r>
      <w:r>
        <w:rPr>
          <w:rFonts w:ascii="宋体" w:hAnsi="宋体" w:cs="宋体"/>
          <w:color w:val="000000"/>
          <w:kern w:val="0"/>
          <w:sz w:val="24"/>
        </w:rPr>
        <w:t>3</w:t>
      </w:r>
      <w:r>
        <w:rPr>
          <w:rFonts w:ascii="宋体" w:hAnsi="宋体" w:cs="宋体" w:hint="eastAsia"/>
          <w:color w:val="000000"/>
          <w:kern w:val="0"/>
          <w:sz w:val="24"/>
        </w:rPr>
        <w:t>年非港股通交易日，暂停基金的申购、赎回、定期定额申购、基金转换（如已开通）等交易类业务，届时将不再另行公告。</w:t>
      </w:r>
    </w:p>
    <w:p w:rsidR="0093542D" w:rsidRDefault="0093542D">
      <w:pPr>
        <w:spacing w:line="360" w:lineRule="auto"/>
        <w:jc w:val="right"/>
        <w:rPr>
          <w:rFonts w:ascii="宋体" w:hAnsi="宋体" w:cs="宋体"/>
          <w:b/>
          <w:color w:val="000000"/>
          <w:kern w:val="0"/>
          <w:sz w:val="24"/>
        </w:rPr>
      </w:pPr>
    </w:p>
    <w:p w:rsidR="0093542D" w:rsidRDefault="0093542D">
      <w:pPr>
        <w:spacing w:line="360" w:lineRule="auto"/>
        <w:jc w:val="right"/>
        <w:rPr>
          <w:rFonts w:ascii="宋体" w:hAnsi="宋体" w:cs="宋体" w:hint="eastAsia"/>
          <w:b/>
          <w:color w:val="000000"/>
          <w:kern w:val="0"/>
          <w:sz w:val="24"/>
        </w:rPr>
      </w:pPr>
    </w:p>
    <w:sectPr w:rsidR="0093542D">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trackRevisions/>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9B0"/>
    <w:rsid w:val="00005655"/>
    <w:rsid w:val="000368F6"/>
    <w:rsid w:val="00055090"/>
    <w:rsid w:val="000609BB"/>
    <w:rsid w:val="00072932"/>
    <w:rsid w:val="0007670E"/>
    <w:rsid w:val="000A6A69"/>
    <w:rsid w:val="000C273A"/>
    <w:rsid w:val="000C7EE7"/>
    <w:rsid w:val="000E0914"/>
    <w:rsid w:val="000E4D00"/>
    <w:rsid w:val="000F0921"/>
    <w:rsid w:val="00116FD2"/>
    <w:rsid w:val="001273D8"/>
    <w:rsid w:val="00134F44"/>
    <w:rsid w:val="001571EE"/>
    <w:rsid w:val="00162D06"/>
    <w:rsid w:val="001640C2"/>
    <w:rsid w:val="00164CB5"/>
    <w:rsid w:val="00166023"/>
    <w:rsid w:val="0017044F"/>
    <w:rsid w:val="00171F21"/>
    <w:rsid w:val="001831E0"/>
    <w:rsid w:val="00191700"/>
    <w:rsid w:val="00197025"/>
    <w:rsid w:val="001A47B9"/>
    <w:rsid w:val="001B2170"/>
    <w:rsid w:val="001C4629"/>
    <w:rsid w:val="001D0D9D"/>
    <w:rsid w:val="001D3D0E"/>
    <w:rsid w:val="001D5DB3"/>
    <w:rsid w:val="001D6076"/>
    <w:rsid w:val="001D726B"/>
    <w:rsid w:val="001E5722"/>
    <w:rsid w:val="001F0C93"/>
    <w:rsid w:val="001F503D"/>
    <w:rsid w:val="002067DE"/>
    <w:rsid w:val="00210B1D"/>
    <w:rsid w:val="00216D45"/>
    <w:rsid w:val="0022198B"/>
    <w:rsid w:val="00246C6A"/>
    <w:rsid w:val="002721FA"/>
    <w:rsid w:val="002743B2"/>
    <w:rsid w:val="0027455C"/>
    <w:rsid w:val="00275904"/>
    <w:rsid w:val="0028250A"/>
    <w:rsid w:val="002827DA"/>
    <w:rsid w:val="00287898"/>
    <w:rsid w:val="0029140B"/>
    <w:rsid w:val="0029501C"/>
    <w:rsid w:val="002A6498"/>
    <w:rsid w:val="002B2636"/>
    <w:rsid w:val="002B2A25"/>
    <w:rsid w:val="002B54F5"/>
    <w:rsid w:val="002C2354"/>
    <w:rsid w:val="002D04E1"/>
    <w:rsid w:val="002D7F4A"/>
    <w:rsid w:val="002F3DDE"/>
    <w:rsid w:val="00320B6F"/>
    <w:rsid w:val="0033230B"/>
    <w:rsid w:val="003421C0"/>
    <w:rsid w:val="003446CC"/>
    <w:rsid w:val="00345E22"/>
    <w:rsid w:val="00345E8A"/>
    <w:rsid w:val="003701CE"/>
    <w:rsid w:val="003724A7"/>
    <w:rsid w:val="00377C39"/>
    <w:rsid w:val="00380362"/>
    <w:rsid w:val="0038133B"/>
    <w:rsid w:val="00392030"/>
    <w:rsid w:val="00393E25"/>
    <w:rsid w:val="00396673"/>
    <w:rsid w:val="003B1794"/>
    <w:rsid w:val="003B5DD4"/>
    <w:rsid w:val="003B6E25"/>
    <w:rsid w:val="003C0B59"/>
    <w:rsid w:val="003C3FC9"/>
    <w:rsid w:val="003C635F"/>
    <w:rsid w:val="003D356C"/>
    <w:rsid w:val="003E4F46"/>
    <w:rsid w:val="003F1C3E"/>
    <w:rsid w:val="00406F5D"/>
    <w:rsid w:val="00423E42"/>
    <w:rsid w:val="0043543B"/>
    <w:rsid w:val="00437FFD"/>
    <w:rsid w:val="0044144F"/>
    <w:rsid w:val="00455749"/>
    <w:rsid w:val="00490EBB"/>
    <w:rsid w:val="004933BF"/>
    <w:rsid w:val="004C0080"/>
    <w:rsid w:val="004E4CFA"/>
    <w:rsid w:val="004F3A72"/>
    <w:rsid w:val="005013F5"/>
    <w:rsid w:val="00512D36"/>
    <w:rsid w:val="0052155B"/>
    <w:rsid w:val="00532552"/>
    <w:rsid w:val="00532C82"/>
    <w:rsid w:val="00544217"/>
    <w:rsid w:val="005468B9"/>
    <w:rsid w:val="005632C6"/>
    <w:rsid w:val="00563336"/>
    <w:rsid w:val="00572EA1"/>
    <w:rsid w:val="00572FBB"/>
    <w:rsid w:val="00581D36"/>
    <w:rsid w:val="00592E4B"/>
    <w:rsid w:val="00594310"/>
    <w:rsid w:val="005B53AB"/>
    <w:rsid w:val="005D04BA"/>
    <w:rsid w:val="005F30B9"/>
    <w:rsid w:val="005F39BD"/>
    <w:rsid w:val="00605E6B"/>
    <w:rsid w:val="00613247"/>
    <w:rsid w:val="00617A17"/>
    <w:rsid w:val="00640875"/>
    <w:rsid w:val="00640DC3"/>
    <w:rsid w:val="00646C42"/>
    <w:rsid w:val="00647C74"/>
    <w:rsid w:val="006604ED"/>
    <w:rsid w:val="00662070"/>
    <w:rsid w:val="00692D98"/>
    <w:rsid w:val="006A28E8"/>
    <w:rsid w:val="006C3EB6"/>
    <w:rsid w:val="006C6194"/>
    <w:rsid w:val="006C66B2"/>
    <w:rsid w:val="006F2E71"/>
    <w:rsid w:val="006F3DEA"/>
    <w:rsid w:val="006F4C36"/>
    <w:rsid w:val="007014EE"/>
    <w:rsid w:val="00713E88"/>
    <w:rsid w:val="00721676"/>
    <w:rsid w:val="00735473"/>
    <w:rsid w:val="00735CD4"/>
    <w:rsid w:val="00742610"/>
    <w:rsid w:val="0075126E"/>
    <w:rsid w:val="00754E69"/>
    <w:rsid w:val="00756AEB"/>
    <w:rsid w:val="00760E57"/>
    <w:rsid w:val="00762530"/>
    <w:rsid w:val="0077633F"/>
    <w:rsid w:val="00781C78"/>
    <w:rsid w:val="007854C6"/>
    <w:rsid w:val="00797064"/>
    <w:rsid w:val="007A34BD"/>
    <w:rsid w:val="007A5433"/>
    <w:rsid w:val="007A5642"/>
    <w:rsid w:val="007B04F3"/>
    <w:rsid w:val="007F6B29"/>
    <w:rsid w:val="0081434B"/>
    <w:rsid w:val="00822F57"/>
    <w:rsid w:val="0082381C"/>
    <w:rsid w:val="0083474A"/>
    <w:rsid w:val="00834DBA"/>
    <w:rsid w:val="00835E2C"/>
    <w:rsid w:val="0084092C"/>
    <w:rsid w:val="008522CB"/>
    <w:rsid w:val="0086254A"/>
    <w:rsid w:val="008725B4"/>
    <w:rsid w:val="008835B0"/>
    <w:rsid w:val="008947F3"/>
    <w:rsid w:val="008956D2"/>
    <w:rsid w:val="008A28AE"/>
    <w:rsid w:val="008C10A7"/>
    <w:rsid w:val="008C766B"/>
    <w:rsid w:val="008D1940"/>
    <w:rsid w:val="008D5A91"/>
    <w:rsid w:val="008D6855"/>
    <w:rsid w:val="008E32F6"/>
    <w:rsid w:val="008E4EBC"/>
    <w:rsid w:val="008E6BE3"/>
    <w:rsid w:val="008F501A"/>
    <w:rsid w:val="0093542D"/>
    <w:rsid w:val="00937285"/>
    <w:rsid w:val="00953880"/>
    <w:rsid w:val="00963447"/>
    <w:rsid w:val="00964F46"/>
    <w:rsid w:val="0096516A"/>
    <w:rsid w:val="0097097A"/>
    <w:rsid w:val="0097334C"/>
    <w:rsid w:val="00984B52"/>
    <w:rsid w:val="009A2F0F"/>
    <w:rsid w:val="009A3A55"/>
    <w:rsid w:val="009D238E"/>
    <w:rsid w:val="009E1F02"/>
    <w:rsid w:val="009E2D45"/>
    <w:rsid w:val="009E559F"/>
    <w:rsid w:val="009E70A4"/>
    <w:rsid w:val="009F2F08"/>
    <w:rsid w:val="009F5FB5"/>
    <w:rsid w:val="00A0267D"/>
    <w:rsid w:val="00A15C60"/>
    <w:rsid w:val="00A402C8"/>
    <w:rsid w:val="00A60512"/>
    <w:rsid w:val="00A6420E"/>
    <w:rsid w:val="00A8206F"/>
    <w:rsid w:val="00A94701"/>
    <w:rsid w:val="00A94B25"/>
    <w:rsid w:val="00AA3AD0"/>
    <w:rsid w:val="00AA6DD8"/>
    <w:rsid w:val="00AF0CF6"/>
    <w:rsid w:val="00B0657C"/>
    <w:rsid w:val="00B117EE"/>
    <w:rsid w:val="00B11981"/>
    <w:rsid w:val="00B176E8"/>
    <w:rsid w:val="00B23173"/>
    <w:rsid w:val="00B24137"/>
    <w:rsid w:val="00B37370"/>
    <w:rsid w:val="00B462AD"/>
    <w:rsid w:val="00B469D6"/>
    <w:rsid w:val="00B53D29"/>
    <w:rsid w:val="00B56941"/>
    <w:rsid w:val="00B570F1"/>
    <w:rsid w:val="00B602DE"/>
    <w:rsid w:val="00B7375C"/>
    <w:rsid w:val="00B756B2"/>
    <w:rsid w:val="00B76420"/>
    <w:rsid w:val="00BA0E6D"/>
    <w:rsid w:val="00BA79B0"/>
    <w:rsid w:val="00BC5833"/>
    <w:rsid w:val="00BE7D70"/>
    <w:rsid w:val="00BF09BC"/>
    <w:rsid w:val="00C123DC"/>
    <w:rsid w:val="00C167F7"/>
    <w:rsid w:val="00C1756E"/>
    <w:rsid w:val="00C33676"/>
    <w:rsid w:val="00C37145"/>
    <w:rsid w:val="00C46B0E"/>
    <w:rsid w:val="00C477CE"/>
    <w:rsid w:val="00C50D31"/>
    <w:rsid w:val="00C513FA"/>
    <w:rsid w:val="00C53078"/>
    <w:rsid w:val="00C84015"/>
    <w:rsid w:val="00CA2B72"/>
    <w:rsid w:val="00CC700A"/>
    <w:rsid w:val="00CD351A"/>
    <w:rsid w:val="00CE7DE7"/>
    <w:rsid w:val="00CF2BD6"/>
    <w:rsid w:val="00D00518"/>
    <w:rsid w:val="00D07733"/>
    <w:rsid w:val="00D23151"/>
    <w:rsid w:val="00D23163"/>
    <w:rsid w:val="00D33351"/>
    <w:rsid w:val="00D33A5B"/>
    <w:rsid w:val="00D4004A"/>
    <w:rsid w:val="00D6456B"/>
    <w:rsid w:val="00D66B97"/>
    <w:rsid w:val="00D70F84"/>
    <w:rsid w:val="00D75980"/>
    <w:rsid w:val="00D769D2"/>
    <w:rsid w:val="00D776F5"/>
    <w:rsid w:val="00D87565"/>
    <w:rsid w:val="00D938BD"/>
    <w:rsid w:val="00DA272F"/>
    <w:rsid w:val="00DC4257"/>
    <w:rsid w:val="00DD3C17"/>
    <w:rsid w:val="00E0763D"/>
    <w:rsid w:val="00E12EDB"/>
    <w:rsid w:val="00E14479"/>
    <w:rsid w:val="00E1727F"/>
    <w:rsid w:val="00E23546"/>
    <w:rsid w:val="00E45546"/>
    <w:rsid w:val="00E479AC"/>
    <w:rsid w:val="00E7265B"/>
    <w:rsid w:val="00E81EF1"/>
    <w:rsid w:val="00E878A6"/>
    <w:rsid w:val="00EA1822"/>
    <w:rsid w:val="00EA2387"/>
    <w:rsid w:val="00EA3156"/>
    <w:rsid w:val="00EB1873"/>
    <w:rsid w:val="00EB3F81"/>
    <w:rsid w:val="00EB5D42"/>
    <w:rsid w:val="00EC0108"/>
    <w:rsid w:val="00ED3A31"/>
    <w:rsid w:val="00EE0B53"/>
    <w:rsid w:val="00EE0F15"/>
    <w:rsid w:val="00EF578E"/>
    <w:rsid w:val="00F01FD8"/>
    <w:rsid w:val="00F14508"/>
    <w:rsid w:val="00F21680"/>
    <w:rsid w:val="00F46962"/>
    <w:rsid w:val="00F476F2"/>
    <w:rsid w:val="00F500AD"/>
    <w:rsid w:val="00F86A6B"/>
    <w:rsid w:val="00F943C2"/>
    <w:rsid w:val="00FA258A"/>
    <w:rsid w:val="00FA5857"/>
    <w:rsid w:val="00FD680B"/>
    <w:rsid w:val="00FE66E5"/>
    <w:rsid w:val="12E6250F"/>
    <w:rsid w:val="1D5C71BB"/>
    <w:rsid w:val="2970130A"/>
    <w:rsid w:val="2B012BE0"/>
    <w:rsid w:val="55D90C66"/>
    <w:rsid w:val="69293A06"/>
    <w:rsid w:val="6E2D5DD3"/>
    <w:rsid w:val="6F992AA6"/>
    <w:rsid w:val="6FFA0E47"/>
    <w:rsid w:val="71C80FC4"/>
    <w:rsid w:val="7FE729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paragraph" w:styleId="a3">
    <w:name w:val="annotation text"/>
    <w:basedOn w:val="a"/>
    <w:link w:val="Char"/>
    <w:uiPriority w:val="99"/>
    <w:unhideWhenUsed/>
    <w:pPr>
      <w:jc w:val="left"/>
    </w:pPr>
  </w:style>
  <w:style w:type="character" w:customStyle="1" w:styleId="Char">
    <w:name w:val="批注文字 Char"/>
    <w:link w:val="a3"/>
    <w:uiPriority w:val="99"/>
    <w:semiHidden/>
    <w:rPr>
      <w:rFonts w:ascii="Times New Roman" w:hAnsi="Times New Roman"/>
      <w:kern w:val="2"/>
      <w:sz w:val="21"/>
      <w:szCs w:val="24"/>
    </w:rPr>
  </w:style>
  <w:style w:type="paragraph" w:styleId="a4">
    <w:name w:val="Balloon Text"/>
    <w:basedOn w:val="a"/>
    <w:link w:val="Char0"/>
    <w:uiPriority w:val="99"/>
    <w:unhideWhenUsed/>
    <w:rPr>
      <w:sz w:val="18"/>
      <w:szCs w:val="18"/>
    </w:rPr>
  </w:style>
  <w:style w:type="character" w:customStyle="1" w:styleId="Char0">
    <w:name w:val="批注框文本 Char"/>
    <w:link w:val="a4"/>
    <w:uiPriority w:val="99"/>
    <w:semiHidden/>
    <w:rPr>
      <w:rFonts w:ascii="Times New Roman" w:hAnsi="Times New Roman"/>
      <w:kern w:val="2"/>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link w:val="a5"/>
    <w:uiPriority w:val="99"/>
    <w:rPr>
      <w:rFonts w:ascii="Times New Roman" w:eastAsia="宋体" w:hAnsi="Times New Roman" w:cs="Times New Roman"/>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rPr>
      <w:rFonts w:ascii="Times New Roman" w:eastAsia="宋体" w:hAnsi="Times New Roman" w:cs="Times New Roman"/>
      <w:sz w:val="18"/>
      <w:szCs w:val="18"/>
    </w:rPr>
  </w:style>
  <w:style w:type="paragraph" w:styleId="a7">
    <w:name w:val="annotation subject"/>
    <w:basedOn w:val="a3"/>
    <w:next w:val="a3"/>
    <w:link w:val="Char3"/>
    <w:uiPriority w:val="99"/>
    <w:unhideWhenUsed/>
    <w:rPr>
      <w:b/>
      <w:bCs/>
    </w:rPr>
  </w:style>
  <w:style w:type="character" w:customStyle="1" w:styleId="Char3">
    <w:name w:val="批注主题 Char"/>
    <w:link w:val="a7"/>
    <w:uiPriority w:val="99"/>
    <w:semiHidden/>
    <w:rPr>
      <w:rFonts w:ascii="Times New Roman" w:hAnsi="Times New Roman"/>
      <w:b/>
      <w:bCs/>
      <w:kern w:val="2"/>
      <w:sz w:val="21"/>
      <w:szCs w:val="24"/>
    </w:rPr>
  </w:style>
  <w:style w:type="table" w:styleId="a8">
    <w:name w:val="Table Grid"/>
    <w:basedOn w:val="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iPriority w:val="99"/>
    <w:unhideWhenUsed/>
    <w:rPr>
      <w:sz w:val="21"/>
      <w:szCs w:val="21"/>
    </w:rPr>
  </w:style>
  <w:style w:type="paragraph" w:styleId="aa">
    <w:name w:val="Revision"/>
    <w:uiPriority w:val="99"/>
    <w:unhideWhenUsed/>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ullgoal.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2555</Characters>
  <Application>Microsoft Office Word</Application>
  <DocSecurity>4</DocSecurity>
  <PresentationFormat/>
  <Lines>21</Lines>
  <Paragraphs>5</Paragraphs>
  <Slides>0</Slides>
  <Notes>0</Notes>
  <HiddenSlides>0</HiddenSlides>
  <MMClips>0</MMClips>
  <ScaleCrop>false</ScaleCrop>
  <Company>Microsoft</Company>
  <LinksUpToDate>false</LinksUpToDate>
  <CharactersWithSpaces>2998</CharactersWithSpaces>
  <SharedDoc>false</SharedDoc>
  <HLinks>
    <vt:vector size="6" baseType="variant">
      <vt:variant>
        <vt:i4>2490407</vt:i4>
      </vt:variant>
      <vt:variant>
        <vt:i4>0</vt:i4>
      </vt:variant>
      <vt:variant>
        <vt:i4>0</vt:i4>
      </vt:variant>
      <vt:variant>
        <vt:i4>5</vt:i4>
      </vt:variant>
      <vt:variant>
        <vt:lpwstr>http://www.fullgoal.com.cn/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yangyu</dc:creator>
  <cp:keywords/>
  <cp:lastModifiedBy>ZHONGM</cp:lastModifiedBy>
  <cp:revision>2</cp:revision>
  <dcterms:created xsi:type="dcterms:W3CDTF">2023-02-28T16:02:00Z</dcterms:created>
  <dcterms:modified xsi:type="dcterms:W3CDTF">2023-02-28T16:02:00Z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E5750E3D912F4412886FDEB322CAC766</vt:lpwstr>
  </property>
</Properties>
</file>