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516B60">
      <w:pPr>
        <w:jc w:val="center"/>
        <w:rPr>
          <w:rFonts w:ascii="宋体" w:hAnsi="宋体"/>
          <w:b/>
          <w:bCs/>
          <w:sz w:val="48"/>
          <w:szCs w:val="30"/>
        </w:rPr>
      </w:pPr>
      <w:bookmarkStart w:id="0" w:name="t_2_0_table"/>
      <w:bookmarkEnd w:id="0"/>
      <w:r>
        <w:rPr>
          <w:rFonts w:ascii="宋体" w:hAnsi="宋体" w:hint="eastAsia"/>
          <w:b/>
          <w:bCs/>
          <w:sz w:val="48"/>
          <w:szCs w:val="30"/>
        </w:rPr>
        <w:t>华商卓越成长一年持有期混合型证券投资基金</w:t>
      </w:r>
      <w:r>
        <w:rPr>
          <w:rFonts w:ascii="宋体" w:hAnsi="宋体" w:hint="eastAsia"/>
          <w:b/>
          <w:sz w:val="48"/>
          <w:szCs w:val="48"/>
        </w:rPr>
        <w:t>开放日常赎回、转换转出业务的公告</w:t>
      </w:r>
    </w:p>
    <w:p w:rsidR="00E13672" w:rsidRDefault="00E13672">
      <w:pPr>
        <w:jc w:val="center"/>
        <w:rPr>
          <w:rFonts w:ascii="宋体" w:hAnsi="宋体"/>
          <w:sz w:val="30"/>
          <w:szCs w:val="30"/>
        </w:rPr>
      </w:pPr>
    </w:p>
    <w:p w:rsidR="00E13672" w:rsidRDefault="00E13672">
      <w:pPr>
        <w:jc w:val="center"/>
        <w:rPr>
          <w:rFonts w:ascii="宋体" w:hAnsi="宋体"/>
          <w:sz w:val="30"/>
          <w:szCs w:val="30"/>
        </w:rPr>
      </w:pPr>
      <w:bookmarkStart w:id="1" w:name="t_2_0_0002_a2_fm1"/>
      <w:bookmarkEnd w:id="1"/>
    </w:p>
    <w:p w:rsidR="00E13672" w:rsidRDefault="00E13672">
      <w:pPr>
        <w:jc w:val="center"/>
        <w:rPr>
          <w:rFonts w:ascii="宋体" w:hAnsi="宋体"/>
          <w:sz w:val="30"/>
          <w:szCs w:val="30"/>
        </w:rPr>
      </w:pPr>
    </w:p>
    <w:p w:rsidR="00E13672" w:rsidRDefault="00E13672">
      <w:pPr>
        <w:jc w:val="center"/>
        <w:rPr>
          <w:rFonts w:ascii="宋体" w:hAnsi="宋体"/>
          <w:sz w:val="30"/>
          <w:szCs w:val="30"/>
        </w:rPr>
      </w:pPr>
    </w:p>
    <w:p w:rsidR="00E13672" w:rsidRDefault="00E13672">
      <w:pPr>
        <w:jc w:val="center"/>
        <w:rPr>
          <w:rFonts w:ascii="宋体" w:hAnsi="宋体"/>
          <w:sz w:val="30"/>
          <w:szCs w:val="30"/>
        </w:rPr>
      </w:pPr>
    </w:p>
    <w:p w:rsidR="00E13672" w:rsidRDefault="00E13672">
      <w:pPr>
        <w:jc w:val="center"/>
        <w:rPr>
          <w:rFonts w:ascii="宋体" w:hAnsi="宋体"/>
          <w:sz w:val="30"/>
          <w:szCs w:val="30"/>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516B60">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w:t>
      </w:r>
      <w:r>
        <w:rPr>
          <w:rFonts w:ascii="宋体" w:hAnsi="宋体" w:hint="eastAsia"/>
          <w:b/>
          <w:sz w:val="28"/>
          <w:szCs w:val="28"/>
        </w:rPr>
        <w:t>3</w:t>
      </w:r>
      <w:r>
        <w:rPr>
          <w:rFonts w:ascii="宋体" w:hAnsi="宋体"/>
          <w:b/>
          <w:sz w:val="28"/>
          <w:szCs w:val="28"/>
        </w:rPr>
        <w:t>年3月1日</w:t>
      </w: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Pr>
        <w:rPr>
          <w:sz w:val="24"/>
        </w:rPr>
      </w:pPr>
    </w:p>
    <w:p w:rsidR="00E13672" w:rsidRDefault="00E13672"/>
    <w:p w:rsidR="00E13672" w:rsidRDefault="00516B60" w:rsidP="00504458">
      <w:pPr>
        <w:pStyle w:val="2"/>
        <w:numPr>
          <w:ilvl w:val="0"/>
          <w:numId w:val="1"/>
        </w:numPr>
        <w:spacing w:beforeLines="50" w:afterLines="50" w:line="240" w:lineRule="auto"/>
        <w:jc w:val="left"/>
        <w:rPr>
          <w:rFonts w:ascii="宋体" w:eastAsia="宋体" w:hAnsi="宋体"/>
          <w:bCs/>
          <w:sz w:val="24"/>
          <w:szCs w:val="24"/>
        </w:rPr>
      </w:pPr>
      <w:bookmarkStart w:id="3" w:name="t_2_1_table"/>
      <w:bookmarkStart w:id="4" w:name="m01"/>
      <w:bookmarkEnd w:id="3"/>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030"/>
        <w:gridCol w:w="2537"/>
      </w:tblGrid>
      <w:tr w:rsidR="00E13672">
        <w:tc>
          <w:tcPr>
            <w:tcW w:w="4253" w:type="dxa"/>
          </w:tcPr>
          <w:p w:rsidR="00E13672" w:rsidRDefault="00516B60">
            <w:pPr>
              <w:rPr>
                <w:rFonts w:ascii="宋体" w:hAnsi="宋体"/>
                <w:szCs w:val="21"/>
              </w:rPr>
            </w:pPr>
            <w:bookmarkStart w:id="5" w:name="m01_tab"/>
            <w:r>
              <w:rPr>
                <w:rFonts w:ascii="宋体" w:hAnsi="宋体" w:hint="eastAsia"/>
                <w:szCs w:val="21"/>
              </w:rPr>
              <w:t>基金名称</w:t>
            </w:r>
          </w:p>
        </w:tc>
        <w:tc>
          <w:tcPr>
            <w:tcW w:w="4567" w:type="dxa"/>
            <w:gridSpan w:val="2"/>
          </w:tcPr>
          <w:p w:rsidR="00E13672" w:rsidRDefault="00516B60">
            <w:pPr>
              <w:rPr>
                <w:rFonts w:ascii="宋体" w:hAnsi="宋体"/>
                <w:szCs w:val="21"/>
              </w:rPr>
            </w:pPr>
            <w:bookmarkStart w:id="6" w:name="t_2_1_0009_a1_fm1"/>
            <w:bookmarkEnd w:id="6"/>
            <w:r w:rsidRPr="00A11651">
              <w:rPr>
                <w:rFonts w:ascii="宋体" w:hAnsi="宋体" w:hint="eastAsia"/>
              </w:rPr>
              <w:t>华商卓越成长一年持有期混合型证券投资基金</w:t>
            </w:r>
          </w:p>
        </w:tc>
      </w:tr>
      <w:tr w:rsidR="00E13672">
        <w:tc>
          <w:tcPr>
            <w:tcW w:w="4253" w:type="dxa"/>
          </w:tcPr>
          <w:p w:rsidR="00E13672" w:rsidRDefault="00516B60">
            <w:pPr>
              <w:rPr>
                <w:rFonts w:ascii="宋体" w:hAnsi="宋体"/>
                <w:szCs w:val="21"/>
              </w:rPr>
            </w:pPr>
            <w:r>
              <w:rPr>
                <w:rFonts w:ascii="宋体" w:hAnsi="宋体" w:hint="eastAsia"/>
                <w:szCs w:val="21"/>
              </w:rPr>
              <w:t>基金简称</w:t>
            </w:r>
          </w:p>
        </w:tc>
        <w:tc>
          <w:tcPr>
            <w:tcW w:w="4567" w:type="dxa"/>
            <w:gridSpan w:val="2"/>
          </w:tcPr>
          <w:p w:rsidR="00E13672" w:rsidRDefault="00516B60">
            <w:pPr>
              <w:rPr>
                <w:rFonts w:ascii="宋体" w:hAnsi="宋体"/>
                <w:szCs w:val="21"/>
              </w:rPr>
            </w:pPr>
            <w:bookmarkStart w:id="7" w:name="t_2_1_0011_a1_fm1"/>
            <w:bookmarkEnd w:id="7"/>
            <w:r>
              <w:rPr>
                <w:rFonts w:ascii="宋体" w:hAnsi="宋体" w:hint="eastAsia"/>
              </w:rPr>
              <w:t>华商卓越成长一年持有混合</w:t>
            </w:r>
          </w:p>
        </w:tc>
      </w:tr>
      <w:tr w:rsidR="00E13672">
        <w:tc>
          <w:tcPr>
            <w:tcW w:w="4253" w:type="dxa"/>
          </w:tcPr>
          <w:p w:rsidR="00E13672" w:rsidRDefault="00516B60">
            <w:pPr>
              <w:rPr>
                <w:rFonts w:ascii="宋体" w:hAnsi="宋体"/>
                <w:szCs w:val="21"/>
              </w:rPr>
            </w:pPr>
            <w:r>
              <w:rPr>
                <w:rFonts w:ascii="宋体" w:hAnsi="宋体" w:hint="eastAsia"/>
                <w:szCs w:val="21"/>
              </w:rPr>
              <w:t>基金主代码</w:t>
            </w:r>
          </w:p>
        </w:tc>
        <w:tc>
          <w:tcPr>
            <w:tcW w:w="4567" w:type="dxa"/>
            <w:gridSpan w:val="2"/>
          </w:tcPr>
          <w:p w:rsidR="00E13672" w:rsidRDefault="00516B60">
            <w:pPr>
              <w:rPr>
                <w:rFonts w:ascii="宋体" w:hAnsi="宋体"/>
                <w:szCs w:val="21"/>
              </w:rPr>
            </w:pPr>
            <w:bookmarkStart w:id="8" w:name="t_2_1_0012_a1_fm1"/>
            <w:bookmarkEnd w:id="8"/>
            <w:r>
              <w:rPr>
                <w:rFonts w:ascii="宋体" w:hAnsi="宋体"/>
              </w:rPr>
              <w:t>014350</w:t>
            </w:r>
          </w:p>
        </w:tc>
      </w:tr>
      <w:tr w:rsidR="00E13672">
        <w:tc>
          <w:tcPr>
            <w:tcW w:w="4253" w:type="dxa"/>
          </w:tcPr>
          <w:p w:rsidR="00E13672" w:rsidRDefault="00516B60">
            <w:pPr>
              <w:rPr>
                <w:rFonts w:ascii="宋体" w:hAnsi="宋体"/>
                <w:szCs w:val="21"/>
              </w:rPr>
            </w:pPr>
            <w:r>
              <w:rPr>
                <w:rFonts w:ascii="宋体" w:hAnsi="宋体" w:hint="eastAsia"/>
                <w:szCs w:val="21"/>
              </w:rPr>
              <w:t>基金运作方式</w:t>
            </w:r>
          </w:p>
        </w:tc>
        <w:tc>
          <w:tcPr>
            <w:tcW w:w="4567" w:type="dxa"/>
            <w:gridSpan w:val="2"/>
          </w:tcPr>
          <w:p w:rsidR="00E13672" w:rsidRDefault="00516B60">
            <w:pPr>
              <w:rPr>
                <w:rFonts w:ascii="宋体" w:hAnsi="宋体"/>
                <w:szCs w:val="21"/>
              </w:rPr>
            </w:pPr>
            <w:bookmarkStart w:id="9" w:name="t_2_1_0017_a1_fm1"/>
            <w:bookmarkEnd w:id="9"/>
            <w:r>
              <w:rPr>
                <w:rFonts w:ascii="宋体" w:hAnsi="宋体" w:hint="eastAsia"/>
                <w:szCs w:val="21"/>
              </w:rPr>
              <w:t>契约型开放式</w:t>
            </w:r>
          </w:p>
        </w:tc>
      </w:tr>
      <w:tr w:rsidR="00E13672">
        <w:tc>
          <w:tcPr>
            <w:tcW w:w="4253" w:type="dxa"/>
          </w:tcPr>
          <w:p w:rsidR="00E13672" w:rsidRDefault="00516B60">
            <w:pPr>
              <w:rPr>
                <w:rFonts w:ascii="宋体" w:hAnsi="宋体"/>
                <w:szCs w:val="21"/>
              </w:rPr>
            </w:pPr>
            <w:r>
              <w:rPr>
                <w:rFonts w:ascii="宋体" w:hAnsi="宋体" w:hint="eastAsia"/>
                <w:szCs w:val="21"/>
              </w:rPr>
              <w:t>基金合同生效日</w:t>
            </w:r>
          </w:p>
        </w:tc>
        <w:tc>
          <w:tcPr>
            <w:tcW w:w="4567" w:type="dxa"/>
            <w:gridSpan w:val="2"/>
          </w:tcPr>
          <w:p w:rsidR="00E13672" w:rsidRDefault="00516B60">
            <w:pPr>
              <w:rPr>
                <w:rFonts w:ascii="宋体" w:hAnsi="宋体"/>
                <w:szCs w:val="21"/>
              </w:rPr>
            </w:pPr>
            <w:bookmarkStart w:id="10" w:name="t_2_1_0018_a1_fm1"/>
            <w:bookmarkEnd w:id="10"/>
            <w:r>
              <w:rPr>
                <w:rFonts w:ascii="宋体" w:hAnsi="宋体"/>
              </w:rPr>
              <w:t>2022年3月1日</w:t>
            </w:r>
          </w:p>
        </w:tc>
      </w:tr>
      <w:tr w:rsidR="00E13672">
        <w:tc>
          <w:tcPr>
            <w:tcW w:w="4253" w:type="dxa"/>
          </w:tcPr>
          <w:p w:rsidR="00E13672" w:rsidRDefault="00516B60">
            <w:pPr>
              <w:rPr>
                <w:rFonts w:ascii="宋体" w:hAnsi="宋体"/>
                <w:szCs w:val="21"/>
              </w:rPr>
            </w:pPr>
            <w:r>
              <w:rPr>
                <w:rFonts w:ascii="宋体" w:hAnsi="宋体" w:hint="eastAsia"/>
                <w:szCs w:val="21"/>
              </w:rPr>
              <w:t>基金管理人名称</w:t>
            </w:r>
          </w:p>
        </w:tc>
        <w:tc>
          <w:tcPr>
            <w:tcW w:w="4567" w:type="dxa"/>
            <w:gridSpan w:val="2"/>
          </w:tcPr>
          <w:p w:rsidR="00E13672" w:rsidRDefault="00516B60">
            <w:pPr>
              <w:rPr>
                <w:rFonts w:ascii="宋体" w:hAnsi="宋体"/>
                <w:szCs w:val="21"/>
              </w:rPr>
            </w:pPr>
            <w:bookmarkStart w:id="11" w:name="t_2_1_0186_a1_fm1"/>
            <w:bookmarkEnd w:id="11"/>
            <w:r>
              <w:rPr>
                <w:rFonts w:ascii="宋体" w:hAnsi="宋体" w:hint="eastAsia"/>
                <w:szCs w:val="21"/>
              </w:rPr>
              <w:t>华商基金管理有限公司</w:t>
            </w:r>
          </w:p>
        </w:tc>
      </w:tr>
      <w:tr w:rsidR="00E13672">
        <w:tc>
          <w:tcPr>
            <w:tcW w:w="4253" w:type="dxa"/>
          </w:tcPr>
          <w:p w:rsidR="00E13672" w:rsidRDefault="00516B60">
            <w:pPr>
              <w:rPr>
                <w:rFonts w:ascii="宋体" w:hAnsi="宋体"/>
                <w:szCs w:val="21"/>
              </w:rPr>
            </w:pPr>
            <w:r>
              <w:rPr>
                <w:rFonts w:ascii="宋体" w:hAnsi="宋体" w:hint="eastAsia"/>
                <w:szCs w:val="21"/>
              </w:rPr>
              <w:t>基金托管人名称</w:t>
            </w:r>
          </w:p>
        </w:tc>
        <w:tc>
          <w:tcPr>
            <w:tcW w:w="4567" w:type="dxa"/>
            <w:gridSpan w:val="2"/>
          </w:tcPr>
          <w:p w:rsidR="00E13672" w:rsidRDefault="00516B60">
            <w:pPr>
              <w:rPr>
                <w:rFonts w:ascii="宋体" w:hAnsi="宋体"/>
                <w:szCs w:val="21"/>
              </w:rPr>
            </w:pPr>
            <w:bookmarkStart w:id="12" w:name="t_2_1_0213_a1_fm1"/>
            <w:bookmarkEnd w:id="12"/>
            <w:r>
              <w:rPr>
                <w:rFonts w:ascii="宋体" w:hAnsi="宋体" w:hint="eastAsia"/>
              </w:rPr>
              <w:t>中国工商银行股份有限公司</w:t>
            </w:r>
          </w:p>
        </w:tc>
      </w:tr>
      <w:tr w:rsidR="00E13672">
        <w:tc>
          <w:tcPr>
            <w:tcW w:w="4253" w:type="dxa"/>
          </w:tcPr>
          <w:p w:rsidR="00E13672" w:rsidRDefault="00516B60">
            <w:pPr>
              <w:rPr>
                <w:rFonts w:ascii="宋体" w:hAnsi="宋体"/>
                <w:szCs w:val="21"/>
              </w:rPr>
            </w:pPr>
            <w:r>
              <w:rPr>
                <w:rFonts w:ascii="宋体" w:hAnsi="宋体" w:hint="eastAsia"/>
                <w:szCs w:val="21"/>
              </w:rPr>
              <w:t>基金注册登记机构名称</w:t>
            </w:r>
          </w:p>
        </w:tc>
        <w:tc>
          <w:tcPr>
            <w:tcW w:w="4567" w:type="dxa"/>
            <w:gridSpan w:val="2"/>
          </w:tcPr>
          <w:p w:rsidR="00E13672" w:rsidRDefault="00516B60">
            <w:pPr>
              <w:rPr>
                <w:rFonts w:ascii="宋体" w:hAnsi="宋体"/>
                <w:szCs w:val="21"/>
              </w:rPr>
            </w:pPr>
            <w:bookmarkStart w:id="13" w:name="t_2_1_0310_a1_fm1"/>
            <w:bookmarkEnd w:id="13"/>
            <w:r>
              <w:rPr>
                <w:rFonts w:ascii="宋体" w:hAnsi="宋体" w:hint="eastAsia"/>
                <w:szCs w:val="21"/>
              </w:rPr>
              <w:t>华商基金管理有限公司</w:t>
            </w:r>
          </w:p>
        </w:tc>
      </w:tr>
      <w:tr w:rsidR="00E13672">
        <w:tc>
          <w:tcPr>
            <w:tcW w:w="4253" w:type="dxa"/>
          </w:tcPr>
          <w:p w:rsidR="00E13672" w:rsidRDefault="00516B60">
            <w:pPr>
              <w:rPr>
                <w:rFonts w:ascii="宋体" w:hAnsi="宋体"/>
                <w:szCs w:val="21"/>
              </w:rPr>
            </w:pPr>
            <w:r>
              <w:rPr>
                <w:rFonts w:ascii="宋体" w:hAnsi="宋体" w:hint="eastAsia"/>
                <w:szCs w:val="21"/>
              </w:rPr>
              <w:t>公告依据</w:t>
            </w:r>
          </w:p>
        </w:tc>
        <w:tc>
          <w:tcPr>
            <w:tcW w:w="4567" w:type="dxa"/>
            <w:gridSpan w:val="2"/>
          </w:tcPr>
          <w:p w:rsidR="00E13672" w:rsidRDefault="00516B60">
            <w:pPr>
              <w:rPr>
                <w:rFonts w:ascii="宋体" w:hAnsi="宋体"/>
                <w:szCs w:val="21"/>
              </w:rPr>
            </w:pPr>
            <w:bookmarkStart w:id="14" w:name="t_2_1_2631_a1_fm1"/>
            <w:bookmarkEnd w:id="14"/>
            <w:r>
              <w:rPr>
                <w:rFonts w:ascii="宋体" w:hAnsi="宋体" w:hint="eastAsia"/>
                <w:szCs w:val="21"/>
              </w:rPr>
              <w:t>《中华人民共和国证券投资基金法》、《公开募集证券投资基金销售机构监督管理办法》、《公开募集证券投资基金运作管理办法》、《公开募集证券投资基金信息披露管理办法》及其他有关法律法规以及本基金相关法律文件等</w:t>
            </w:r>
          </w:p>
        </w:tc>
      </w:tr>
      <w:tr w:rsidR="00E13672">
        <w:tc>
          <w:tcPr>
            <w:tcW w:w="4253" w:type="dxa"/>
          </w:tcPr>
          <w:p w:rsidR="00E13672" w:rsidRDefault="00516B60">
            <w:pPr>
              <w:rPr>
                <w:rFonts w:ascii="宋体" w:hAnsi="宋体"/>
                <w:szCs w:val="21"/>
              </w:rPr>
            </w:pPr>
            <w:r>
              <w:rPr>
                <w:rFonts w:ascii="宋体" w:hAnsi="宋体" w:hint="eastAsia"/>
                <w:szCs w:val="21"/>
              </w:rPr>
              <w:t>赎回起始日</w:t>
            </w:r>
          </w:p>
        </w:tc>
        <w:tc>
          <w:tcPr>
            <w:tcW w:w="4567" w:type="dxa"/>
            <w:gridSpan w:val="2"/>
          </w:tcPr>
          <w:p w:rsidR="00E13672" w:rsidRDefault="00516B60" w:rsidP="00D05FE1">
            <w:pPr>
              <w:rPr>
                <w:rFonts w:ascii="宋体" w:hAnsi="宋体"/>
                <w:szCs w:val="21"/>
              </w:rPr>
            </w:pPr>
            <w:bookmarkStart w:id="15" w:name="t_2_1_2660_a1_fm1"/>
            <w:bookmarkEnd w:id="15"/>
            <w:r>
              <w:rPr>
                <w:rFonts w:ascii="宋体" w:hAnsi="宋体"/>
                <w:szCs w:val="21"/>
              </w:rPr>
              <w:t>202</w:t>
            </w:r>
            <w:r>
              <w:rPr>
                <w:rFonts w:ascii="宋体" w:hAnsi="宋体" w:hint="eastAsia"/>
                <w:szCs w:val="21"/>
              </w:rPr>
              <w:t>3</w:t>
            </w:r>
            <w:r>
              <w:rPr>
                <w:rFonts w:ascii="宋体" w:hAnsi="宋体"/>
                <w:szCs w:val="21"/>
              </w:rPr>
              <w:t>年3月1日</w:t>
            </w:r>
          </w:p>
        </w:tc>
      </w:tr>
      <w:tr w:rsidR="00E13672">
        <w:tc>
          <w:tcPr>
            <w:tcW w:w="4253" w:type="dxa"/>
          </w:tcPr>
          <w:p w:rsidR="00E13672" w:rsidRDefault="00516B60">
            <w:pPr>
              <w:rPr>
                <w:rFonts w:ascii="宋体" w:hAnsi="宋体"/>
                <w:szCs w:val="21"/>
              </w:rPr>
            </w:pPr>
            <w:r>
              <w:rPr>
                <w:rFonts w:ascii="宋体" w:hAnsi="宋体" w:hint="eastAsia"/>
                <w:szCs w:val="21"/>
              </w:rPr>
              <w:t>转换转出起始日</w:t>
            </w:r>
          </w:p>
        </w:tc>
        <w:tc>
          <w:tcPr>
            <w:tcW w:w="4567" w:type="dxa"/>
            <w:gridSpan w:val="2"/>
          </w:tcPr>
          <w:p w:rsidR="00E13672" w:rsidRDefault="00516B60" w:rsidP="00D05FE1">
            <w:pPr>
              <w:rPr>
                <w:rFonts w:ascii="宋体" w:hAnsi="宋体"/>
                <w:szCs w:val="21"/>
              </w:rPr>
            </w:pPr>
            <w:bookmarkStart w:id="16" w:name="t_2_1_2793_a1_fm1"/>
            <w:bookmarkEnd w:id="16"/>
            <w:r>
              <w:rPr>
                <w:rFonts w:ascii="宋体" w:hAnsi="宋体"/>
                <w:szCs w:val="21"/>
              </w:rPr>
              <w:t>202</w:t>
            </w:r>
            <w:r>
              <w:rPr>
                <w:rFonts w:ascii="宋体" w:hAnsi="宋体" w:hint="eastAsia"/>
                <w:szCs w:val="21"/>
              </w:rPr>
              <w:t>3</w:t>
            </w:r>
            <w:r>
              <w:rPr>
                <w:rFonts w:ascii="宋体" w:hAnsi="宋体"/>
                <w:szCs w:val="21"/>
              </w:rPr>
              <w:t>年3月1日</w:t>
            </w:r>
          </w:p>
        </w:tc>
      </w:tr>
      <w:tr w:rsidR="00E13672" w:rsidTr="00A11651">
        <w:tc>
          <w:tcPr>
            <w:tcW w:w="4253" w:type="dxa"/>
          </w:tcPr>
          <w:p w:rsidR="00E13672" w:rsidRDefault="00516B60">
            <w:pPr>
              <w:rPr>
                <w:rFonts w:ascii="宋体" w:hAnsi="宋体"/>
                <w:szCs w:val="21"/>
              </w:rPr>
            </w:pPr>
            <w:r>
              <w:rPr>
                <w:rFonts w:ascii="宋体" w:hAnsi="宋体" w:hint="eastAsia"/>
                <w:szCs w:val="21"/>
              </w:rPr>
              <w:t>下属分级基金的基金简称</w:t>
            </w:r>
          </w:p>
        </w:tc>
        <w:tc>
          <w:tcPr>
            <w:tcW w:w="2030" w:type="dxa"/>
            <w:vAlign w:val="center"/>
          </w:tcPr>
          <w:p w:rsidR="00E13672" w:rsidRDefault="00516B60">
            <w:pPr>
              <w:rPr>
                <w:rFonts w:ascii="宋体" w:hAnsi="宋体"/>
                <w:szCs w:val="21"/>
              </w:rPr>
            </w:pPr>
            <w:r>
              <w:rPr>
                <w:rFonts w:ascii="宋体" w:hAnsi="宋体" w:hint="eastAsia"/>
              </w:rPr>
              <w:t>华商卓越成长一年持有混合</w:t>
            </w:r>
            <w:r>
              <w:rPr>
                <w:rFonts w:ascii="宋体" w:hAnsi="宋体"/>
              </w:rPr>
              <w:t>A</w:t>
            </w:r>
          </w:p>
        </w:tc>
        <w:tc>
          <w:tcPr>
            <w:tcW w:w="2537" w:type="dxa"/>
            <w:vAlign w:val="center"/>
          </w:tcPr>
          <w:p w:rsidR="00E13672" w:rsidRDefault="00516B60">
            <w:pPr>
              <w:rPr>
                <w:rFonts w:ascii="宋体" w:hAnsi="宋体"/>
                <w:szCs w:val="21"/>
              </w:rPr>
            </w:pPr>
            <w:bookmarkStart w:id="17" w:name="t_1_1_fj_0011B_a1_fm1"/>
            <w:bookmarkStart w:id="18" w:name="t_1_1_fj_0011C_a1_fm1"/>
            <w:bookmarkEnd w:id="17"/>
            <w:bookmarkEnd w:id="18"/>
            <w:r>
              <w:rPr>
                <w:rFonts w:ascii="宋体" w:hAnsi="宋体" w:hint="eastAsia"/>
              </w:rPr>
              <w:t>华商卓越成长一年持有混合</w:t>
            </w:r>
            <w:r>
              <w:rPr>
                <w:rFonts w:ascii="宋体" w:hAnsi="宋体"/>
              </w:rPr>
              <w:t>C</w:t>
            </w:r>
          </w:p>
        </w:tc>
      </w:tr>
      <w:tr w:rsidR="00E13672" w:rsidTr="00A11651">
        <w:tc>
          <w:tcPr>
            <w:tcW w:w="4253" w:type="dxa"/>
          </w:tcPr>
          <w:p w:rsidR="00E13672" w:rsidRDefault="00516B60">
            <w:pPr>
              <w:rPr>
                <w:rFonts w:ascii="宋体" w:hAnsi="宋体"/>
                <w:szCs w:val="21"/>
              </w:rPr>
            </w:pPr>
            <w:r>
              <w:rPr>
                <w:rFonts w:ascii="宋体" w:hAnsi="宋体" w:hint="eastAsia"/>
                <w:szCs w:val="21"/>
              </w:rPr>
              <w:t>下属分级基金的交易代码</w:t>
            </w:r>
          </w:p>
        </w:tc>
        <w:tc>
          <w:tcPr>
            <w:tcW w:w="2030" w:type="dxa"/>
            <w:vAlign w:val="center"/>
          </w:tcPr>
          <w:p w:rsidR="00E13672" w:rsidRDefault="00516B60">
            <w:pPr>
              <w:rPr>
                <w:rFonts w:ascii="宋体" w:hAnsi="宋体"/>
                <w:szCs w:val="21"/>
              </w:rPr>
            </w:pPr>
            <w:r>
              <w:rPr>
                <w:rFonts w:ascii="宋体" w:hAnsi="宋体"/>
              </w:rPr>
              <w:t>014350</w:t>
            </w:r>
          </w:p>
        </w:tc>
        <w:tc>
          <w:tcPr>
            <w:tcW w:w="2537" w:type="dxa"/>
            <w:vAlign w:val="center"/>
          </w:tcPr>
          <w:p w:rsidR="00E13672" w:rsidRDefault="00516B60">
            <w:pPr>
              <w:rPr>
                <w:rFonts w:ascii="宋体" w:hAnsi="宋体"/>
                <w:szCs w:val="21"/>
              </w:rPr>
            </w:pPr>
            <w:bookmarkStart w:id="19" w:name="t_1_1_fj_0012B_a1_fm1"/>
            <w:bookmarkStart w:id="20" w:name="t_1_1_fj_0012C_a1_fm1"/>
            <w:bookmarkEnd w:id="19"/>
            <w:bookmarkEnd w:id="20"/>
            <w:r>
              <w:rPr>
                <w:rFonts w:ascii="宋体" w:hAnsi="宋体"/>
              </w:rPr>
              <w:t>014351</w:t>
            </w:r>
          </w:p>
        </w:tc>
      </w:tr>
      <w:tr w:rsidR="00E13672">
        <w:tc>
          <w:tcPr>
            <w:tcW w:w="4253" w:type="dxa"/>
          </w:tcPr>
          <w:p w:rsidR="00E13672" w:rsidRDefault="00516B60">
            <w:pPr>
              <w:rPr>
                <w:rFonts w:ascii="宋体" w:hAnsi="宋体"/>
                <w:szCs w:val="21"/>
              </w:rPr>
            </w:pPr>
            <w:r>
              <w:rPr>
                <w:rFonts w:ascii="宋体" w:hAnsi="宋体" w:hint="eastAsia"/>
                <w:szCs w:val="21"/>
              </w:rPr>
              <w:t>该分级基金是否开放申购、赎回（转换转入、定期定额投资）</w:t>
            </w:r>
          </w:p>
        </w:tc>
        <w:tc>
          <w:tcPr>
            <w:tcW w:w="2030" w:type="dxa"/>
          </w:tcPr>
          <w:p w:rsidR="00E13672" w:rsidRDefault="00516B60">
            <w:pPr>
              <w:rPr>
                <w:rFonts w:ascii="宋体" w:hAnsi="宋体"/>
                <w:szCs w:val="21"/>
              </w:rPr>
            </w:pPr>
            <w:r>
              <w:rPr>
                <w:rFonts w:ascii="宋体" w:hAnsi="宋体" w:hint="eastAsia"/>
                <w:szCs w:val="21"/>
              </w:rPr>
              <w:t>是</w:t>
            </w:r>
          </w:p>
        </w:tc>
        <w:tc>
          <w:tcPr>
            <w:tcW w:w="2537" w:type="dxa"/>
          </w:tcPr>
          <w:p w:rsidR="00E13672" w:rsidRDefault="00516B60">
            <w:pPr>
              <w:rPr>
                <w:rFonts w:ascii="宋体" w:hAnsi="宋体"/>
                <w:szCs w:val="21"/>
              </w:rPr>
            </w:pPr>
            <w:r>
              <w:rPr>
                <w:rFonts w:ascii="宋体" w:hAnsi="宋体" w:hint="eastAsia"/>
                <w:szCs w:val="21"/>
              </w:rPr>
              <w:t>是</w:t>
            </w:r>
          </w:p>
        </w:tc>
      </w:tr>
    </w:tbl>
    <w:bookmarkEnd w:id="4"/>
    <w:bookmarkEnd w:id="5"/>
    <w:p w:rsidR="00E13672" w:rsidRDefault="00516B60">
      <w:pPr>
        <w:spacing w:line="360" w:lineRule="auto"/>
        <w:rPr>
          <w:rFonts w:ascii="宋体" w:hAnsi="宋体"/>
          <w:color w:val="0000FF"/>
          <w:kern w:val="0"/>
          <w:sz w:val="18"/>
        </w:rPr>
      </w:pPr>
      <w:r>
        <w:rPr>
          <w:rFonts w:ascii="宋体" w:hAnsi="宋体" w:hint="eastAsia"/>
          <w:szCs w:val="21"/>
        </w:rPr>
        <w:t>注：本基金已于2022年3月24日开放日常申购、转换转入及定期定额投资业务。</w:t>
      </w:r>
    </w:p>
    <w:p w:rsidR="00E13672" w:rsidRDefault="00516B60" w:rsidP="00504458">
      <w:pPr>
        <w:pStyle w:val="2"/>
        <w:numPr>
          <w:ilvl w:val="0"/>
          <w:numId w:val="1"/>
        </w:numPr>
        <w:spacing w:beforeLines="50" w:afterLines="50" w:line="240" w:lineRule="auto"/>
        <w:jc w:val="left"/>
        <w:rPr>
          <w:rFonts w:ascii="宋体" w:eastAsia="宋体" w:hAnsi="宋体"/>
          <w:bCs/>
          <w:sz w:val="24"/>
          <w:szCs w:val="24"/>
        </w:rPr>
      </w:pPr>
      <w:bookmarkStart w:id="21" w:name="t_2_2_table"/>
      <w:bookmarkEnd w:id="21"/>
      <w:r>
        <w:rPr>
          <w:rFonts w:ascii="宋体" w:eastAsia="宋体" w:hAnsi="宋体" w:hint="eastAsia"/>
          <w:bCs/>
          <w:sz w:val="24"/>
          <w:szCs w:val="24"/>
        </w:rPr>
        <w:t>日常赎回、转换转出业务的办理时间</w:t>
      </w:r>
    </w:p>
    <w:p w:rsidR="00E13672" w:rsidRDefault="00516B60">
      <w:pPr>
        <w:spacing w:line="360" w:lineRule="auto"/>
        <w:ind w:firstLineChars="200" w:firstLine="420"/>
        <w:rPr>
          <w:rFonts w:ascii="宋体" w:hAnsi="宋体"/>
          <w:szCs w:val="21"/>
        </w:rPr>
      </w:pPr>
      <w:r>
        <w:rPr>
          <w:rFonts w:ascii="宋体" w:hAnsi="宋体" w:hint="eastAsia"/>
          <w:szCs w:val="21"/>
        </w:rPr>
        <w:t>本基金最短持有期限为一年，本基金基金合同自</w:t>
      </w:r>
      <w:r>
        <w:rPr>
          <w:rFonts w:ascii="宋体" w:hAnsi="宋体"/>
        </w:rPr>
        <w:t>2022年3月1</w:t>
      </w:r>
      <w:r>
        <w:rPr>
          <w:rFonts w:ascii="宋体" w:hAnsi="宋体" w:hint="eastAsia"/>
          <w:szCs w:val="21"/>
        </w:rPr>
        <w:t>日</w:t>
      </w:r>
      <w:r>
        <w:rPr>
          <w:rFonts w:ascii="宋体" w:hAnsi="宋体"/>
          <w:szCs w:val="21"/>
        </w:rPr>
        <w:t>生效，本基金首个赎回起始日为202</w:t>
      </w:r>
      <w:r>
        <w:rPr>
          <w:rFonts w:ascii="宋体" w:hAnsi="宋体" w:hint="eastAsia"/>
          <w:szCs w:val="21"/>
        </w:rPr>
        <w:t>3</w:t>
      </w:r>
      <w:r>
        <w:rPr>
          <w:rFonts w:ascii="宋体" w:hAnsi="宋体"/>
          <w:szCs w:val="21"/>
        </w:rPr>
        <w:t>年3月1日，投资者可自该基金份额的最短持有期限到期日起（含当日）对该基金份额提出赎回申请。</w:t>
      </w:r>
    </w:p>
    <w:p w:rsidR="00E13672" w:rsidRDefault="00516B60">
      <w:pPr>
        <w:spacing w:line="360" w:lineRule="auto"/>
        <w:ind w:firstLineChars="200" w:firstLine="420"/>
        <w:rPr>
          <w:rFonts w:ascii="宋体" w:hAnsi="宋体"/>
          <w:szCs w:val="21"/>
        </w:rPr>
      </w:pPr>
      <w:r>
        <w:rPr>
          <w:rFonts w:ascii="宋体" w:hAnsi="宋体" w:hint="eastAsia"/>
          <w:szCs w:val="21"/>
        </w:rPr>
        <w:t>本基金赎回、转换转出业务的开放日为上海证券交易所、深圳证券交易所及相关期货交易所的正常交易日的交易时间（若本基金参与港股通交易，且该交易日为非港股通交易日，则本基金有权不开放赎回，并按规定进行公告），但基金管理人根据法律法规、中国证监会的要求或本基金基金合同的规定公告暂停赎回时除外。</w:t>
      </w:r>
    </w:p>
    <w:p w:rsidR="00E13672" w:rsidRDefault="00516B60">
      <w:pPr>
        <w:spacing w:line="360" w:lineRule="auto"/>
        <w:ind w:firstLineChars="200" w:firstLine="420"/>
        <w:rPr>
          <w:rFonts w:ascii="宋体" w:hAnsi="宋体"/>
          <w:szCs w:val="21"/>
        </w:rPr>
      </w:pPr>
      <w:r>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的有关规定在规定媒介上公告。</w:t>
      </w:r>
    </w:p>
    <w:p w:rsidR="00E13672" w:rsidRDefault="00E13672">
      <w:pPr>
        <w:jc w:val="left"/>
        <w:rPr>
          <w:rFonts w:ascii="宋体" w:hAnsi="宋体"/>
          <w:szCs w:val="21"/>
        </w:rPr>
      </w:pPr>
      <w:bookmarkStart w:id="22" w:name="t_2_3_3_2821_a1_fm1"/>
      <w:bookmarkEnd w:id="22"/>
    </w:p>
    <w:p w:rsidR="00E13672" w:rsidRDefault="00516B60" w:rsidP="00504458">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lastRenderedPageBreak/>
        <w:t>日常赎回业务</w:t>
      </w:r>
    </w:p>
    <w:p w:rsidR="00E13672" w:rsidRDefault="00516B60" w:rsidP="00504458">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3.1赎回份额限制</w:t>
      </w:r>
    </w:p>
    <w:p w:rsidR="00E13672" w:rsidRDefault="00516B60">
      <w:pPr>
        <w:spacing w:line="360" w:lineRule="auto"/>
        <w:ind w:firstLineChars="200" w:firstLine="420"/>
        <w:jc w:val="left"/>
        <w:rPr>
          <w:rFonts w:ascii="宋体" w:hAnsi="宋体"/>
          <w:szCs w:val="21"/>
        </w:rPr>
      </w:pPr>
      <w:bookmarkStart w:id="23" w:name="t_2_4_1_2822_a1_fm1"/>
      <w:bookmarkEnd w:id="23"/>
      <w:r>
        <w:rPr>
          <w:rFonts w:ascii="宋体" w:hAnsi="宋体" w:hint="eastAsia"/>
          <w:szCs w:val="21"/>
        </w:rPr>
        <w:t>赎回的最低份额为</w:t>
      </w:r>
      <w:r>
        <w:rPr>
          <w:rFonts w:ascii="宋体" w:hAnsi="宋体"/>
          <w:szCs w:val="21"/>
        </w:rPr>
        <w:t>1.00份基金份额，基金份额持有人可将其全部或部分基金份额赎回，但某笔赎回导致在一个销售机构的基金份额余额少于1.00份时，余额部分基金份额必须一并赎回。</w:t>
      </w:r>
    </w:p>
    <w:p w:rsidR="00E13672" w:rsidRDefault="00516B60">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基金管理人可在法律法规允许的情况下，调整上述赎回份额的数量限制，但应在实施日前依照《公开募集证券投资基金信息披露管理办法》的有关规定在规定媒介上公告。</w:t>
      </w:r>
    </w:p>
    <w:p w:rsidR="00E13672" w:rsidRDefault="00516B60" w:rsidP="00504458">
      <w:pPr>
        <w:pStyle w:val="2"/>
        <w:spacing w:beforeLines="50" w:afterLines="50" w:line="240" w:lineRule="auto"/>
        <w:jc w:val="left"/>
        <w:rPr>
          <w:rFonts w:ascii="宋体" w:eastAsia="宋体" w:hAnsi="宋体"/>
          <w:bCs/>
          <w:sz w:val="24"/>
          <w:szCs w:val="24"/>
        </w:rPr>
      </w:pPr>
      <w:bookmarkStart w:id="24" w:name="t_2_4_2_table"/>
      <w:bookmarkStart w:id="25" w:name="m04_02"/>
      <w:bookmarkEnd w:id="24"/>
      <w:r>
        <w:rPr>
          <w:rFonts w:ascii="宋体" w:eastAsia="宋体" w:hAnsi="宋体" w:hint="eastAsia"/>
          <w:bCs/>
          <w:sz w:val="24"/>
          <w:szCs w:val="24"/>
        </w:rPr>
        <w:t>3.2赎回费率</w:t>
      </w:r>
    </w:p>
    <w:p w:rsidR="00E13672" w:rsidRDefault="00516B60">
      <w:pPr>
        <w:spacing w:line="360" w:lineRule="auto"/>
        <w:ind w:firstLineChars="200" w:firstLine="420"/>
        <w:jc w:val="left"/>
        <w:rPr>
          <w:sz w:val="24"/>
        </w:rPr>
      </w:pPr>
      <w:bookmarkStart w:id="26" w:name="t_2_4_2_2843_a1_fm1"/>
      <w:bookmarkStart w:id="27" w:name="m03_02_02"/>
      <w:bookmarkEnd w:id="26"/>
      <w:r>
        <w:rPr>
          <w:rFonts w:ascii="宋体" w:hAnsi="宋体" w:hint="eastAsia"/>
          <w:szCs w:val="21"/>
        </w:rPr>
        <w:t>本基金不收取赎回费用。</w:t>
      </w:r>
    </w:p>
    <w:p w:rsidR="00E13672" w:rsidRDefault="00516B60" w:rsidP="00504458">
      <w:pPr>
        <w:spacing w:beforeLines="50" w:afterLines="50"/>
        <w:rPr>
          <w:rFonts w:ascii="宋体" w:hAnsi="宋体"/>
          <w:b/>
          <w:sz w:val="24"/>
          <w:szCs w:val="20"/>
        </w:rPr>
      </w:pPr>
      <w:bookmarkStart w:id="28" w:name="t_2_4_3_table"/>
      <w:bookmarkEnd w:id="25"/>
      <w:bookmarkEnd w:id="27"/>
      <w:bookmarkEnd w:id="28"/>
      <w:r>
        <w:rPr>
          <w:rFonts w:ascii="宋体" w:hAnsi="宋体" w:hint="eastAsia"/>
          <w:b/>
          <w:sz w:val="24"/>
          <w:szCs w:val="20"/>
        </w:rPr>
        <w:t>3.3其他与赎回相关的事项</w:t>
      </w:r>
    </w:p>
    <w:p w:rsidR="00E13672" w:rsidRDefault="00516B60">
      <w:pPr>
        <w:spacing w:line="360" w:lineRule="auto"/>
        <w:ind w:firstLineChars="200" w:firstLine="420"/>
        <w:jc w:val="left"/>
        <w:rPr>
          <w:rFonts w:ascii="宋体" w:hAnsi="宋体"/>
          <w:szCs w:val="21"/>
        </w:rPr>
      </w:pPr>
      <w:bookmarkStart w:id="29" w:name="t_2_4_3_2823_a1_fm1"/>
      <w:bookmarkEnd w:id="29"/>
      <w:r>
        <w:rPr>
          <w:rFonts w:ascii="宋体" w:hAnsi="宋体" w:hint="eastAsia"/>
          <w:szCs w:val="21"/>
        </w:rPr>
        <w:t>基金份额持有人递交赎回申请，赎回成立；基金份额登记机构确认赎回时，赎回生效。投资人赎回申请生效后，基金管理人将在</w:t>
      </w:r>
      <w:r>
        <w:rPr>
          <w:rFonts w:ascii="宋体" w:hAnsi="宋体"/>
          <w:szCs w:val="21"/>
        </w:rPr>
        <w:t>T＋</w:t>
      </w:r>
      <w:r>
        <w:rPr>
          <w:rFonts w:ascii="宋体" w:hAnsi="宋体" w:hint="eastAsia"/>
          <w:szCs w:val="21"/>
        </w:rPr>
        <w:t>7</w:t>
      </w:r>
      <w:r>
        <w:rPr>
          <w:rFonts w:ascii="宋体" w:hAnsi="宋体"/>
          <w:szCs w:val="21"/>
        </w:rPr>
        <w:t>日(包括该日)内支付赎回款项。在发生巨额赎回或基金合同载明的其他暂停赎回或延缓支付赎回款项的情形时，款项的支付办法参照基金合同有关条款处理。</w:t>
      </w:r>
    </w:p>
    <w:p w:rsidR="00E13672" w:rsidRDefault="00516B60">
      <w:pPr>
        <w:spacing w:line="360" w:lineRule="auto"/>
        <w:ind w:firstLineChars="200" w:firstLine="420"/>
        <w:jc w:val="left"/>
        <w:rPr>
          <w:rFonts w:ascii="宋体" w:hAnsi="宋体"/>
          <w:szCs w:val="21"/>
        </w:rPr>
      </w:pPr>
      <w:r>
        <w:rPr>
          <w:rFonts w:ascii="宋体" w:hAnsi="宋体" w:hint="eastAsia"/>
          <w:szCs w:val="21"/>
        </w:rPr>
        <w:t>遇交易所或交易市场数据传输延迟、通讯系统故障、银行数据交换系统故障、港股通交易系统或港股通资金交收规则限制或其它非基金管理人及基金托管人所能控制的因素影响业务处理流程，则赎回款项顺延至上述情形消除后的下一个工作日划出。</w:t>
      </w:r>
    </w:p>
    <w:p w:rsidR="00E13672" w:rsidRDefault="00516B60" w:rsidP="00504458">
      <w:pPr>
        <w:pStyle w:val="2"/>
        <w:numPr>
          <w:ilvl w:val="0"/>
          <w:numId w:val="2"/>
        </w:numPr>
        <w:spacing w:beforeLines="50" w:afterLines="50" w:line="240" w:lineRule="auto"/>
        <w:rPr>
          <w:rFonts w:ascii="宋体" w:eastAsia="宋体" w:hAnsi="宋体"/>
          <w:bCs/>
          <w:sz w:val="24"/>
          <w:szCs w:val="24"/>
        </w:rPr>
      </w:pPr>
      <w:bookmarkStart w:id="30" w:name="t_2_5_table"/>
      <w:bookmarkEnd w:id="30"/>
      <w:r>
        <w:rPr>
          <w:rFonts w:ascii="宋体" w:eastAsia="宋体" w:hAnsi="宋体" w:hint="eastAsia"/>
          <w:bCs/>
          <w:sz w:val="24"/>
          <w:szCs w:val="24"/>
        </w:rPr>
        <w:t>日常转换转出业务</w:t>
      </w:r>
    </w:p>
    <w:p w:rsidR="00E13672" w:rsidRDefault="00516B60" w:rsidP="00504458">
      <w:pPr>
        <w:spacing w:beforeLines="50" w:afterLines="50"/>
        <w:rPr>
          <w:rFonts w:ascii="宋体" w:hAnsi="宋体"/>
          <w:b/>
          <w:sz w:val="24"/>
          <w:szCs w:val="20"/>
        </w:rPr>
      </w:pPr>
      <w:r>
        <w:rPr>
          <w:rFonts w:ascii="宋体" w:hAnsi="宋体" w:hint="eastAsia"/>
          <w:b/>
          <w:sz w:val="24"/>
          <w:szCs w:val="20"/>
        </w:rPr>
        <w:t>4.1转换转出费率</w:t>
      </w:r>
    </w:p>
    <w:p w:rsidR="00E13672" w:rsidRDefault="00516B60">
      <w:pPr>
        <w:spacing w:line="360" w:lineRule="auto"/>
        <w:ind w:firstLineChars="200" w:firstLine="420"/>
        <w:jc w:val="left"/>
        <w:rPr>
          <w:rFonts w:ascii="宋体" w:hAnsi="宋体"/>
          <w:szCs w:val="21"/>
        </w:rPr>
      </w:pPr>
      <w:bookmarkStart w:id="31" w:name="t_2_5_0179_a1_fm1"/>
      <w:bookmarkEnd w:id="31"/>
      <w:r>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E13672" w:rsidRDefault="00516B60">
      <w:pPr>
        <w:spacing w:line="360" w:lineRule="auto"/>
        <w:ind w:firstLineChars="200" w:firstLine="420"/>
        <w:jc w:val="left"/>
        <w:rPr>
          <w:rFonts w:ascii="宋体" w:hAnsi="宋体"/>
          <w:szCs w:val="21"/>
        </w:rPr>
      </w:pPr>
      <w:r>
        <w:rPr>
          <w:rFonts w:ascii="宋体" w:hAnsi="宋体" w:hint="eastAsia"/>
          <w:szCs w:val="21"/>
        </w:rPr>
        <w:t>转入份额保留到小数点后两位，剩余部分舍去，舍去部分所代表的资产归转入基金财产所有。</w:t>
      </w:r>
    </w:p>
    <w:p w:rsidR="00E13672" w:rsidRDefault="00516B6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1）如转入基金的申购费率&gt;转出基金的申购费率</w:t>
      </w:r>
    </w:p>
    <w:p w:rsidR="00E13672" w:rsidRDefault="00516B60">
      <w:pPr>
        <w:spacing w:line="360" w:lineRule="auto"/>
        <w:ind w:firstLineChars="200" w:firstLine="420"/>
        <w:jc w:val="left"/>
        <w:rPr>
          <w:rFonts w:ascii="宋体" w:hAnsi="宋体"/>
          <w:szCs w:val="21"/>
        </w:rPr>
      </w:pPr>
      <w:r>
        <w:rPr>
          <w:rFonts w:ascii="宋体" w:hAnsi="宋体" w:hint="eastAsia"/>
          <w:szCs w:val="21"/>
        </w:rPr>
        <w:t>转出金额＝转出基金份额×转出基金当日基金份额净值</w:t>
      </w:r>
    </w:p>
    <w:p w:rsidR="00E13672" w:rsidRDefault="00516B60">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p>
    <w:p w:rsidR="00E13672" w:rsidRDefault="00516B60">
      <w:pPr>
        <w:spacing w:line="360" w:lineRule="auto"/>
        <w:ind w:firstLineChars="200" w:firstLine="420"/>
        <w:jc w:val="left"/>
        <w:rPr>
          <w:rFonts w:ascii="宋体" w:hAnsi="宋体"/>
          <w:szCs w:val="21"/>
        </w:rPr>
      </w:pPr>
      <w:r>
        <w:rPr>
          <w:rFonts w:ascii="宋体" w:hAnsi="宋体" w:hint="eastAsia"/>
          <w:szCs w:val="21"/>
        </w:rPr>
        <w:t>转入总金额＝转出金额－转出基金赎回费</w:t>
      </w:r>
    </w:p>
    <w:p w:rsidR="00E13672" w:rsidRDefault="00516B60">
      <w:pPr>
        <w:spacing w:line="360" w:lineRule="auto"/>
        <w:ind w:firstLineChars="200" w:firstLine="420"/>
        <w:jc w:val="left"/>
        <w:rPr>
          <w:rFonts w:ascii="宋体" w:hAnsi="宋体"/>
          <w:szCs w:val="21"/>
        </w:rPr>
      </w:pPr>
      <w:r>
        <w:rPr>
          <w:rFonts w:ascii="宋体" w:hAnsi="宋体" w:hint="eastAsia"/>
          <w:szCs w:val="21"/>
        </w:rPr>
        <w:t>转入基金申购费补差＝</w:t>
      </w:r>
      <w:r>
        <w:rPr>
          <w:rFonts w:ascii="宋体" w:hAnsi="宋体"/>
          <w:szCs w:val="21"/>
        </w:rPr>
        <w:t>[转入总金额－转入总金额/(1+转入基金申购费率)]</w:t>
      </w:r>
      <w:r>
        <w:rPr>
          <w:rFonts w:ascii="宋体" w:hAnsi="宋体" w:hint="eastAsia"/>
          <w:szCs w:val="21"/>
        </w:rPr>
        <w:t>—</w:t>
      </w:r>
      <w:r>
        <w:rPr>
          <w:rFonts w:ascii="宋体" w:hAnsi="宋体"/>
          <w:szCs w:val="21"/>
        </w:rPr>
        <w:t>[转入总金额－转入总金额/(1+转出基金申购费率)]</w:t>
      </w:r>
    </w:p>
    <w:p w:rsidR="00E13672" w:rsidRDefault="00516B60">
      <w:pPr>
        <w:spacing w:line="360" w:lineRule="auto"/>
        <w:ind w:firstLineChars="200" w:firstLine="420"/>
        <w:jc w:val="left"/>
        <w:rPr>
          <w:rFonts w:ascii="宋体" w:hAnsi="宋体"/>
          <w:szCs w:val="21"/>
        </w:rPr>
      </w:pPr>
      <w:r>
        <w:rPr>
          <w:rFonts w:ascii="宋体" w:hAnsi="宋体" w:hint="eastAsia"/>
          <w:szCs w:val="21"/>
        </w:rPr>
        <w:t>转入净金额＝转入总金额－转入基金申购费补差</w:t>
      </w:r>
    </w:p>
    <w:p w:rsidR="00E13672" w:rsidRDefault="00516B60">
      <w:pPr>
        <w:spacing w:line="360" w:lineRule="auto"/>
        <w:ind w:firstLineChars="200" w:firstLine="420"/>
        <w:jc w:val="left"/>
        <w:rPr>
          <w:rFonts w:ascii="宋体" w:hAnsi="宋体"/>
          <w:szCs w:val="21"/>
        </w:rPr>
      </w:pPr>
      <w:r>
        <w:rPr>
          <w:rFonts w:ascii="宋体" w:hAnsi="宋体" w:hint="eastAsia"/>
          <w:szCs w:val="21"/>
        </w:rPr>
        <w:t>转入份额＝转入净金额</w:t>
      </w:r>
      <w:r>
        <w:rPr>
          <w:rFonts w:ascii="宋体" w:hAnsi="宋体"/>
          <w:szCs w:val="21"/>
        </w:rPr>
        <w:t>/转入基金当日基金份额净值</w:t>
      </w:r>
    </w:p>
    <w:p w:rsidR="00E13672" w:rsidRDefault="00516B60">
      <w:pPr>
        <w:spacing w:line="360" w:lineRule="auto"/>
        <w:ind w:firstLineChars="200" w:firstLine="420"/>
        <w:jc w:val="left"/>
        <w:rPr>
          <w:rFonts w:ascii="宋体" w:hAnsi="宋体"/>
          <w:szCs w:val="21"/>
        </w:rPr>
      </w:pPr>
      <w:r>
        <w:rPr>
          <w:rFonts w:ascii="宋体" w:hAnsi="宋体" w:hint="eastAsia"/>
          <w:szCs w:val="21"/>
        </w:rPr>
        <w:t>基金转换费＝转出基金赎回费＋转入基金申购费补差</w:t>
      </w:r>
    </w:p>
    <w:p w:rsidR="00E13672" w:rsidRDefault="00516B6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2）如转出基金的申购费率≥转入基金的申购费率</w:t>
      </w:r>
    </w:p>
    <w:p w:rsidR="00E13672" w:rsidRDefault="00516B60">
      <w:pPr>
        <w:spacing w:line="360" w:lineRule="auto"/>
        <w:ind w:firstLineChars="200" w:firstLine="420"/>
        <w:jc w:val="left"/>
        <w:rPr>
          <w:rFonts w:ascii="宋体" w:hAnsi="宋体"/>
          <w:szCs w:val="21"/>
        </w:rPr>
      </w:pPr>
      <w:r>
        <w:rPr>
          <w:rFonts w:ascii="宋体" w:hAnsi="宋体" w:hint="eastAsia"/>
          <w:szCs w:val="21"/>
        </w:rPr>
        <w:t>基金转换费用＝转出金额×转出基金赎回费率</w:t>
      </w:r>
    </w:p>
    <w:p w:rsidR="00E13672" w:rsidRDefault="00516B60">
      <w:pPr>
        <w:spacing w:line="360" w:lineRule="auto"/>
        <w:ind w:firstLineChars="200" w:firstLine="420"/>
        <w:jc w:val="left"/>
        <w:rPr>
          <w:rFonts w:ascii="宋体" w:hAnsi="宋体"/>
          <w:szCs w:val="21"/>
        </w:rPr>
      </w:pPr>
      <w:r>
        <w:rPr>
          <w:rFonts w:ascii="宋体" w:hAnsi="宋体"/>
          <w:szCs w:val="21"/>
        </w:rPr>
        <w:t>2．计算基金转换费用所涉及的申购费率和赎回费率均按基金合同、招募说明书规定费率执行，对于通过本公司网上交易、费率优惠活动期间发生的基金转换业务，按照本公司最新公告的相关费率计算基金转换费用。</w:t>
      </w:r>
    </w:p>
    <w:p w:rsidR="00E13672" w:rsidRDefault="00516B60" w:rsidP="00504458">
      <w:pPr>
        <w:spacing w:beforeLines="50" w:afterLines="50"/>
        <w:jc w:val="left"/>
        <w:rPr>
          <w:rFonts w:ascii="宋体" w:hAnsi="宋体"/>
          <w:b/>
          <w:sz w:val="24"/>
          <w:szCs w:val="20"/>
        </w:rPr>
      </w:pPr>
      <w:r>
        <w:rPr>
          <w:rFonts w:ascii="宋体" w:hAnsi="宋体" w:hint="eastAsia"/>
          <w:b/>
          <w:sz w:val="24"/>
          <w:szCs w:val="20"/>
        </w:rPr>
        <w:t>4.2其他与转换转出相关的事项</w:t>
      </w:r>
    </w:p>
    <w:p w:rsidR="00E13672" w:rsidRDefault="00516B60">
      <w:pPr>
        <w:spacing w:line="360" w:lineRule="auto"/>
        <w:ind w:firstLineChars="200" w:firstLine="420"/>
        <w:rPr>
          <w:rFonts w:ascii="宋体" w:hAnsi="宋体"/>
          <w:szCs w:val="21"/>
        </w:rPr>
      </w:pPr>
      <w:bookmarkStart w:id="32" w:name="t_2_5_2824_a1_fm1"/>
      <w:bookmarkEnd w:id="32"/>
      <w:r>
        <w:rPr>
          <w:rFonts w:ascii="宋体" w:hAnsi="宋体"/>
          <w:szCs w:val="21"/>
        </w:rPr>
        <w:t>1．由于各基金销售机构系统及业务安排等原因，开放日的具体交易时间可能有所不同，投资者应参照各基金销售机构的具体规定。</w:t>
      </w:r>
    </w:p>
    <w:p w:rsidR="00E13672" w:rsidRDefault="00516B60">
      <w:pPr>
        <w:spacing w:line="360" w:lineRule="auto"/>
        <w:ind w:firstLineChars="200" w:firstLine="420"/>
        <w:rPr>
          <w:rFonts w:ascii="宋体" w:hAnsi="宋体"/>
          <w:szCs w:val="21"/>
        </w:rPr>
      </w:pPr>
      <w:r>
        <w:rPr>
          <w:rFonts w:ascii="宋体" w:hAnsi="宋体"/>
          <w:szCs w:val="21"/>
        </w:rPr>
        <w:t>2．基金转换只能在同一销售机构进行。转换的两只基金必须都是该销售机构销售的同一基金管理人管理的并且在同一登记机构登记的基金，即：本公司除华商新趋势优选灵活配置混合型证券投资基金（代码：166301）以外的基金产品之间可进行转换。同一只基金的两种分类产品之间不能互相转换。</w:t>
      </w:r>
    </w:p>
    <w:p w:rsidR="00E13672" w:rsidRDefault="00516B60">
      <w:pPr>
        <w:spacing w:line="360" w:lineRule="auto"/>
        <w:ind w:firstLineChars="200" w:firstLine="420"/>
        <w:rPr>
          <w:rFonts w:ascii="宋体" w:hAnsi="宋体"/>
          <w:szCs w:val="21"/>
        </w:rPr>
      </w:pPr>
      <w:r>
        <w:rPr>
          <w:rFonts w:ascii="宋体" w:hAnsi="宋体"/>
          <w:szCs w:val="21"/>
        </w:rPr>
        <w:t>3．基金份额持有人办理基金转换业务时，拟转出的基金必须处于可赎回状态，拟转入的基金必须处于可申购状态。</w:t>
      </w:r>
    </w:p>
    <w:p w:rsidR="00E13672" w:rsidRDefault="00516B60">
      <w:pPr>
        <w:spacing w:line="360" w:lineRule="auto"/>
        <w:ind w:firstLineChars="200" w:firstLine="420"/>
        <w:rPr>
          <w:rFonts w:ascii="宋体" w:hAnsi="宋体"/>
          <w:szCs w:val="21"/>
        </w:rPr>
      </w:pPr>
      <w:r>
        <w:rPr>
          <w:rFonts w:ascii="宋体" w:hAnsi="宋体"/>
          <w:szCs w:val="21"/>
        </w:rPr>
        <w:t>4．基金转换以份</w:t>
      </w:r>
      <w:r>
        <w:rPr>
          <w:rFonts w:ascii="宋体" w:hAnsi="宋体" w:hint="eastAsia"/>
          <w:szCs w:val="21"/>
        </w:rPr>
        <w:t>额为单位进行申请，份额转出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E13672" w:rsidRDefault="00516B60">
      <w:pPr>
        <w:spacing w:line="360" w:lineRule="auto"/>
        <w:ind w:firstLineChars="200" w:firstLine="420"/>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E13672" w:rsidRDefault="00516B60">
      <w:pPr>
        <w:spacing w:line="360" w:lineRule="auto"/>
        <w:ind w:firstLineChars="200" w:firstLine="420"/>
        <w:rPr>
          <w:rFonts w:ascii="宋体" w:hAnsi="宋体"/>
          <w:szCs w:val="21"/>
        </w:rPr>
      </w:pPr>
      <w:r>
        <w:rPr>
          <w:rFonts w:ascii="宋体" w:hAnsi="宋体"/>
          <w:szCs w:val="21"/>
        </w:rPr>
        <w:t>6．基金转换的最低申请份额为300份基金份额，基金份额持有人可将其全部或部分基金份额基金转换，但某笔基金转换导致其在一个销售机构的保留的基金份额余额不</w:t>
      </w:r>
      <w:r>
        <w:rPr>
          <w:rFonts w:ascii="宋体" w:hAnsi="宋体" w:hint="eastAsia"/>
          <w:szCs w:val="21"/>
        </w:rPr>
        <w:t>足</w:t>
      </w:r>
      <w:r>
        <w:rPr>
          <w:rFonts w:ascii="宋体" w:hAnsi="宋体"/>
          <w:szCs w:val="21"/>
        </w:rPr>
        <w:t>1份时，该不足1份基金份额部分将会被强制赎回。</w:t>
      </w:r>
    </w:p>
    <w:p w:rsidR="00E13672" w:rsidRDefault="00516B60">
      <w:pPr>
        <w:spacing w:line="360" w:lineRule="auto"/>
        <w:ind w:firstLineChars="200" w:firstLine="420"/>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E13672" w:rsidRDefault="00516B60">
      <w:pPr>
        <w:spacing w:line="360" w:lineRule="auto"/>
        <w:ind w:firstLineChars="200" w:firstLine="420"/>
        <w:rPr>
          <w:rFonts w:ascii="宋体" w:hAnsi="宋体"/>
          <w:szCs w:val="21"/>
        </w:rPr>
      </w:pPr>
      <w:r>
        <w:rPr>
          <w:rFonts w:ascii="宋体" w:hAnsi="宋体"/>
          <w:szCs w:val="21"/>
        </w:rPr>
        <w:t>8．正常情况下，基金登记机构将在T＋1日对基金份额持有人T日的基金转换业务申请进行有效性确认，办理转出基金的权益扣除以及转入基金的权益登记。在T＋2日后（包括该日）基金份额持有人可查询基金转换的成交情况。</w:t>
      </w:r>
    </w:p>
    <w:p w:rsidR="00E13672" w:rsidRDefault="00516B60">
      <w:pPr>
        <w:spacing w:line="360" w:lineRule="auto"/>
        <w:ind w:firstLineChars="200" w:firstLine="420"/>
        <w:rPr>
          <w:rFonts w:ascii="宋体" w:hAnsi="宋体"/>
          <w:szCs w:val="21"/>
        </w:rPr>
      </w:pPr>
      <w:r>
        <w:rPr>
          <w:rFonts w:ascii="宋体" w:hAnsi="宋体"/>
          <w:szCs w:val="21"/>
        </w:rPr>
        <w:t>9．若本基金单个开放日内的基金份额净赎回申请(赎回申请份额总数加上基金转换</w:t>
      </w:r>
      <w:r>
        <w:rPr>
          <w:rFonts w:ascii="宋体" w:hAnsi="宋体" w:hint="eastAsia"/>
          <w:szCs w:val="21"/>
        </w:rPr>
        <w:t>中转出申请份额总数后扣除申购申请份额总数及基金转换中转入申请份额总数后的余额</w:t>
      </w:r>
      <w:r>
        <w:rPr>
          <w:rFonts w:ascii="宋体" w:hAnsi="宋体"/>
          <w:szCs w:val="21"/>
        </w:rPr>
        <w:t>)超过上一开放日基金总份额的10%，即认为是发生了巨额赎回。发生巨额赎回时，由基金管理人按照基金合同规定的处理程序进行受理。</w:t>
      </w:r>
    </w:p>
    <w:p w:rsidR="00E13672" w:rsidRDefault="00516B60" w:rsidP="00504458">
      <w:pPr>
        <w:pStyle w:val="2"/>
        <w:numPr>
          <w:ilvl w:val="0"/>
          <w:numId w:val="3"/>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基金销售机构</w:t>
      </w:r>
    </w:p>
    <w:p w:rsidR="00E13672" w:rsidRDefault="00516B60" w:rsidP="00504458">
      <w:pPr>
        <w:spacing w:beforeLines="50" w:afterLines="50"/>
        <w:rPr>
          <w:rFonts w:ascii="宋体" w:hAnsi="宋体"/>
          <w:b/>
          <w:sz w:val="24"/>
          <w:szCs w:val="20"/>
        </w:rPr>
      </w:pPr>
      <w:r>
        <w:rPr>
          <w:rFonts w:ascii="宋体" w:hAnsi="宋体" w:hint="eastAsia"/>
          <w:b/>
          <w:sz w:val="24"/>
          <w:szCs w:val="20"/>
        </w:rPr>
        <w:t>5</w:t>
      </w:r>
      <w:r>
        <w:rPr>
          <w:rFonts w:ascii="宋体" w:hAnsi="宋体"/>
          <w:b/>
          <w:sz w:val="24"/>
          <w:szCs w:val="20"/>
        </w:rPr>
        <w:t>.1</w:t>
      </w:r>
      <w:r>
        <w:rPr>
          <w:rFonts w:ascii="宋体" w:hAnsi="宋体" w:hint="eastAsia"/>
          <w:b/>
          <w:sz w:val="24"/>
          <w:szCs w:val="20"/>
        </w:rPr>
        <w:t>直销机构</w:t>
      </w:r>
    </w:p>
    <w:p w:rsidR="00E13672" w:rsidRDefault="00516B60" w:rsidP="00504458">
      <w:pPr>
        <w:spacing w:beforeLines="50" w:afterLines="50" w:line="360" w:lineRule="auto"/>
        <w:jc w:val="left"/>
        <w:rPr>
          <w:rFonts w:ascii="宋体" w:hAnsi="宋体"/>
          <w:szCs w:val="21"/>
        </w:rPr>
      </w:pPr>
      <w:bookmarkStart w:id="33" w:name="t_2_7_2833_a1_fm1"/>
      <w:bookmarkEnd w:id="33"/>
      <w:r>
        <w:rPr>
          <w:rFonts w:ascii="宋体" w:hAnsi="宋体" w:hint="eastAsia"/>
          <w:szCs w:val="21"/>
        </w:rPr>
        <w:t>华商基金管理有限公司</w:t>
      </w:r>
    </w:p>
    <w:p w:rsidR="00E13672" w:rsidRDefault="00516B60" w:rsidP="00504458">
      <w:pPr>
        <w:spacing w:beforeLines="50" w:afterLines="50" w:line="360" w:lineRule="auto"/>
        <w:jc w:val="left"/>
        <w:rPr>
          <w:rFonts w:ascii="宋体" w:hAnsi="宋体"/>
          <w:szCs w:val="21"/>
        </w:rPr>
      </w:pPr>
      <w:r>
        <w:rPr>
          <w:rFonts w:ascii="宋体" w:hAnsi="宋体" w:hint="eastAsia"/>
          <w:szCs w:val="21"/>
        </w:rPr>
        <w:t>公司网址：</w:t>
      </w:r>
      <w:r>
        <w:rPr>
          <w:rFonts w:ascii="宋体" w:hAnsi="宋体"/>
          <w:szCs w:val="21"/>
        </w:rPr>
        <w:t>http://www.hsfund.com</w:t>
      </w:r>
    </w:p>
    <w:p w:rsidR="00E13672" w:rsidRDefault="00516B60" w:rsidP="00504458">
      <w:pPr>
        <w:spacing w:beforeLines="50" w:afterLines="50" w:line="360" w:lineRule="auto"/>
        <w:jc w:val="left"/>
        <w:rPr>
          <w:rFonts w:ascii="宋体" w:hAnsi="宋体"/>
          <w:szCs w:val="21"/>
        </w:rPr>
      </w:pPr>
      <w:r>
        <w:rPr>
          <w:rFonts w:ascii="宋体" w:hAnsi="宋体" w:hint="eastAsia"/>
          <w:szCs w:val="21"/>
        </w:rPr>
        <w:t>客户服务电话：</w:t>
      </w:r>
      <w:r>
        <w:rPr>
          <w:rFonts w:ascii="宋体" w:hAnsi="宋体"/>
          <w:szCs w:val="21"/>
        </w:rPr>
        <w:t>400-700-8880</w:t>
      </w:r>
    </w:p>
    <w:p w:rsidR="00E13672" w:rsidRDefault="00516B60" w:rsidP="00504458">
      <w:pPr>
        <w:spacing w:beforeLines="50" w:afterLines="50" w:line="360" w:lineRule="auto"/>
        <w:jc w:val="left"/>
        <w:rPr>
          <w:rFonts w:ascii="宋体" w:hAnsi="宋体"/>
          <w:szCs w:val="21"/>
        </w:rPr>
      </w:pPr>
      <w:r>
        <w:rPr>
          <w:rFonts w:ascii="宋体" w:hAnsi="宋体" w:hint="eastAsia"/>
          <w:szCs w:val="21"/>
        </w:rPr>
        <w:t>客户服务信箱：</w:t>
      </w:r>
      <w:r>
        <w:rPr>
          <w:rFonts w:ascii="宋体" w:hAnsi="宋体"/>
          <w:szCs w:val="21"/>
        </w:rPr>
        <w:t>services@hsfund.com</w:t>
      </w:r>
    </w:p>
    <w:p w:rsidR="00E13672" w:rsidRDefault="00516B60" w:rsidP="00504458">
      <w:pPr>
        <w:spacing w:beforeLines="50" w:afterLines="50"/>
        <w:jc w:val="left"/>
        <w:rPr>
          <w:rFonts w:ascii="宋体" w:hAnsi="宋体"/>
          <w:b/>
          <w:sz w:val="24"/>
          <w:szCs w:val="20"/>
        </w:rPr>
      </w:pPr>
      <w:r>
        <w:rPr>
          <w:rFonts w:ascii="宋体" w:hAnsi="宋体" w:hint="eastAsia"/>
          <w:b/>
          <w:sz w:val="24"/>
          <w:szCs w:val="20"/>
        </w:rPr>
        <w:t>5</w:t>
      </w:r>
      <w:r>
        <w:rPr>
          <w:rFonts w:ascii="宋体" w:hAnsi="宋体"/>
          <w:b/>
          <w:sz w:val="24"/>
          <w:szCs w:val="20"/>
        </w:rPr>
        <w:t>.2</w:t>
      </w:r>
      <w:r>
        <w:rPr>
          <w:rFonts w:ascii="宋体" w:hAnsi="宋体" w:hint="eastAsia"/>
          <w:b/>
          <w:sz w:val="24"/>
          <w:szCs w:val="20"/>
        </w:rPr>
        <w:t>代销机构</w:t>
      </w:r>
    </w:p>
    <w:tbl>
      <w:tblPr>
        <w:tblW w:w="8549" w:type="dxa"/>
        <w:tblInd w:w="93" w:type="dxa"/>
        <w:tblLook w:val="04A0"/>
      </w:tblPr>
      <w:tblGrid>
        <w:gridCol w:w="1017"/>
        <w:gridCol w:w="4272"/>
        <w:gridCol w:w="1559"/>
        <w:gridCol w:w="1701"/>
      </w:tblGrid>
      <w:tr w:rsidR="000D1B42" w:rsidTr="00A11651">
        <w:trPr>
          <w:trHeight w:val="390"/>
        </w:trPr>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0D1B42" w:rsidRDefault="000D1B42">
            <w:pPr>
              <w:widowControl/>
              <w:jc w:val="left"/>
              <w:rPr>
                <w:rFonts w:ascii="宋体" w:hAnsi="宋体"/>
                <w:b/>
                <w:bCs/>
                <w:color w:val="000000"/>
                <w:kern w:val="0"/>
                <w:szCs w:val="21"/>
              </w:rPr>
            </w:pPr>
            <w:r>
              <w:rPr>
                <w:rFonts w:hint="eastAsia"/>
                <w:b/>
                <w:bCs/>
                <w:color w:val="000000"/>
                <w:szCs w:val="21"/>
              </w:rPr>
              <w:t>序号</w:t>
            </w:r>
          </w:p>
        </w:tc>
        <w:tc>
          <w:tcPr>
            <w:tcW w:w="4272" w:type="dxa"/>
            <w:tcBorders>
              <w:top w:val="single" w:sz="4" w:space="0" w:color="auto"/>
              <w:left w:val="nil"/>
              <w:bottom w:val="single" w:sz="4" w:space="0" w:color="auto"/>
              <w:right w:val="single" w:sz="4" w:space="0" w:color="auto"/>
            </w:tcBorders>
            <w:shd w:val="clear" w:color="auto" w:fill="auto"/>
            <w:vAlign w:val="center"/>
            <w:hideMark/>
          </w:tcPr>
          <w:p w:rsidR="000D1B42" w:rsidRDefault="000D1B42">
            <w:pPr>
              <w:jc w:val="center"/>
              <w:rPr>
                <w:b/>
                <w:bCs/>
                <w:color w:val="000000"/>
                <w:szCs w:val="21"/>
              </w:rPr>
            </w:pPr>
            <w:r>
              <w:rPr>
                <w:rFonts w:hint="eastAsia"/>
                <w:b/>
                <w:bCs/>
                <w:color w:val="000000"/>
                <w:szCs w:val="21"/>
              </w:rPr>
              <w:t>销售机构</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1B42" w:rsidRDefault="000D1B42">
            <w:pPr>
              <w:jc w:val="center"/>
              <w:rPr>
                <w:b/>
                <w:bCs/>
                <w:color w:val="000000"/>
                <w:szCs w:val="21"/>
              </w:rPr>
            </w:pPr>
            <w:r>
              <w:rPr>
                <w:rFonts w:hint="eastAsia"/>
                <w:b/>
                <w:bCs/>
                <w:color w:val="000000"/>
                <w:szCs w:val="21"/>
              </w:rPr>
              <w:t>是否开通定投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B42" w:rsidRDefault="000D1B42">
            <w:pPr>
              <w:jc w:val="center"/>
              <w:rPr>
                <w:b/>
                <w:bCs/>
                <w:color w:val="000000"/>
                <w:szCs w:val="21"/>
              </w:rPr>
            </w:pPr>
            <w:r>
              <w:rPr>
                <w:rFonts w:hint="eastAsia"/>
                <w:b/>
                <w:bCs/>
                <w:color w:val="000000"/>
                <w:szCs w:val="21"/>
              </w:rPr>
              <w:t>是否开通转换</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w:t>
            </w:r>
            <w:r>
              <w:rPr>
                <w:rFonts w:ascii="Times New Roman" w:hAnsi="Times New Roman"/>
                <w:color w:val="000000"/>
                <w:sz w:val="14"/>
                <w:szCs w:val="14"/>
              </w:rPr>
              <w:t xml:space="preserve">   </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中国工商银行股份有限公司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w:t>
            </w:r>
            <w:r>
              <w:rPr>
                <w:rFonts w:ascii="Times New Roman" w:hAnsi="Times New Roman"/>
                <w:color w:val="000000"/>
                <w:sz w:val="14"/>
                <w:szCs w:val="14"/>
              </w:rPr>
              <w:t xml:space="preserve">   </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交通银行股份有限公司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w:t>
            </w:r>
            <w:r>
              <w:rPr>
                <w:rFonts w:ascii="Times New Roman" w:hAnsi="Times New Roman"/>
                <w:color w:val="000000"/>
                <w:sz w:val="14"/>
                <w:szCs w:val="14"/>
              </w:rPr>
              <w:t xml:space="preserve">   </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乌鲁木齐银行股份有限公司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w:t>
            </w:r>
            <w:r>
              <w:rPr>
                <w:rFonts w:ascii="Times New Roman" w:hAnsi="Times New Roman"/>
                <w:color w:val="000000"/>
                <w:sz w:val="14"/>
                <w:szCs w:val="14"/>
              </w:rPr>
              <w:t xml:space="preserve">   </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宁波银行股份有限公司同业易管家平台</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w:t>
            </w:r>
            <w:r>
              <w:rPr>
                <w:rFonts w:ascii="Times New Roman" w:hAnsi="Times New Roman"/>
                <w:color w:val="000000"/>
                <w:sz w:val="14"/>
                <w:szCs w:val="14"/>
              </w:rPr>
              <w:t xml:space="preserve">   </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东莞农村商业银行股份有限公司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兴业银行股份有限公司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华夏银行股份有限公司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渤海银行股份有限公司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平安银行股份有限公司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中国农业银行股份有限公司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华龙证券股份有限公司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嘉实财富管理有限公司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中信建投证券股份有限公司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长江证券股份有限公司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海通证券股份有限公司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国信证券股份有限公司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中信期货有限公司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中国银河证券股份有限公司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第一创业证券股份有限公司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渤海证券股份有限公司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湘财证券股份有限公司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安信证券股份有限公司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西部证券股份有限公司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长城国瑞证券有限公司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万联证券股份有限公司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中信证券股份有限公司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诚通证券股份有限公司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华安证券股份有限公司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29.    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中天证券股份有限公司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天风证券股份有限公司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国新证券股份有限公司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国联证券股份有限公司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首创证券股份有限公司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中信证券（山东）有限责任公司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华鑫证券有限责任公司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开源证券股份有限公司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东莞证券股份有限公司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东吴证券股份有限公司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39.    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国都证券股份有限公司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信达证券股份有限公司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国融证券股份有限公司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东海证券股份有限公司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中国中金财富证券有限公司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中银国际证券股份有限公司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恒泰证券股份有限公司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东方财富证券股份有限公司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华西证券股份有限公司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粤开证券股份有限公司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49.    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国金证券股份有限公司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南京证券股份有限公司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光大证券股份有限公司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东北证券股份有限公司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中信证券华南股份有限公司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国盛证券有限责任公司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中泰证券股份有限公司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申万宏源西部证券有限公司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申万宏源证券有限公司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华泰证券股份有限公司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59.    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英大证券有限责任公司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财通证券股份有限公司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深圳市新兰德证券投资咨询有限公司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和讯信息科技有限公司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上海天天基金销售有限公司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江苏汇林保大基金销售有限公司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上海好买基金销售有限公司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腾安基金销售（深圳）有限公司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北京度小满基金销售有限公司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上海挖财基金销售有限公司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69.    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北京展恒基金销售股份有限公司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南京苏宁基金销售有限公司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诺亚正行基金销售有限公司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宜信普泽（北京）基金销售有限公司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上海长量基金销售有限公司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上海利得基金销售有限公司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深圳众禄基金销售股份有限公司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蚂蚁（杭州）基金销售有限公司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浙江同花顺基金销售有限公司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泛华普益基金销售有限公司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79.    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一路财富（北京）基金销售有限公司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Pr="00A11651" w:rsidRDefault="000D1B42">
            <w:pPr>
              <w:jc w:val="center"/>
              <w:rPr>
                <w:szCs w:val="21"/>
              </w:rPr>
            </w:pPr>
            <w:r w:rsidRPr="00A11651">
              <w:rPr>
                <w:rFonts w:hint="eastAsia"/>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北京中植基金销售有限公司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Pr="00A11651" w:rsidRDefault="000D1B42">
            <w:pPr>
              <w:jc w:val="center"/>
              <w:rPr>
                <w:szCs w:val="21"/>
              </w:rPr>
            </w:pPr>
            <w:r w:rsidRPr="00A11651">
              <w:rPr>
                <w:rFonts w:hint="eastAsia"/>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浦领基金销售有限公司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Pr="00A11651" w:rsidRDefault="000D1B42">
            <w:pPr>
              <w:jc w:val="center"/>
              <w:rPr>
                <w:szCs w:val="21"/>
              </w:rPr>
            </w:pPr>
            <w:r w:rsidRPr="00A11651">
              <w:rPr>
                <w:rFonts w:hint="eastAsia"/>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上海万得基金销售有限公司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上海基煜基金销售有限公司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北京广源达信基金销售有限公司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北京汇成基金销售有限公司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济安财富（北京）基金销售有限公司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泰信财富基金销售有限公司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上海联泰基金销售有限公司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89.    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奕丰基金销售有限公司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珠海盈米基金销售有限公司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京东肯特瑞基金销售有限公司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92.    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和耕传承基金销售有限公司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93.    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大连网金基金销售有限公司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94.    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北京雪球基金销售有限公司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95.    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北京创金启富基金销售有限公司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96.    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上海攀赢基金销售有限公司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97.    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和信证券投资咨询股份有限公司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98.    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博时财富基金销售有限公司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99.    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北京格上富信基金销售有限公司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100.    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天津国美基金销售有限公司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101.    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上海云湾基金销售有限公司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0D1B42">
            <w:pPr>
              <w:jc w:val="left"/>
              <w:rPr>
                <w:color w:val="000000"/>
                <w:szCs w:val="21"/>
              </w:rPr>
            </w:pPr>
            <w:r>
              <w:rPr>
                <w:rFonts w:hint="eastAsia"/>
                <w:color w:val="000000"/>
                <w:szCs w:val="21"/>
              </w:rPr>
              <w:t>10</w:t>
            </w:r>
            <w:r w:rsidR="00CA70BC">
              <w:rPr>
                <w:color w:val="000000"/>
                <w:szCs w:val="21"/>
              </w:rPr>
              <w:t>2</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万家财富基金销售（天津）有限公司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CA70BC" w:rsidP="00CA70BC">
            <w:pPr>
              <w:jc w:val="left"/>
              <w:rPr>
                <w:color w:val="000000"/>
                <w:szCs w:val="21"/>
              </w:rPr>
            </w:pPr>
            <w:r>
              <w:rPr>
                <w:rFonts w:hint="eastAsia"/>
                <w:color w:val="000000"/>
                <w:szCs w:val="21"/>
              </w:rPr>
              <w:t>10</w:t>
            </w:r>
            <w:r>
              <w:rPr>
                <w:color w:val="000000"/>
                <w:szCs w:val="21"/>
              </w:rPr>
              <w:t>3</w:t>
            </w:r>
            <w:r w:rsidR="000D1B42">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海银基金销售有限公司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0D1B42"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0D1B42" w:rsidRDefault="00CA70BC" w:rsidP="00CA70BC">
            <w:pPr>
              <w:jc w:val="left"/>
              <w:rPr>
                <w:color w:val="000000"/>
                <w:szCs w:val="21"/>
              </w:rPr>
            </w:pPr>
            <w:r>
              <w:rPr>
                <w:rFonts w:hint="eastAsia"/>
                <w:color w:val="000000"/>
                <w:szCs w:val="21"/>
              </w:rPr>
              <w:t>10</w:t>
            </w:r>
            <w:r>
              <w:rPr>
                <w:color w:val="000000"/>
                <w:szCs w:val="21"/>
              </w:rPr>
              <w:t>4</w:t>
            </w:r>
            <w:r w:rsidR="000D1B42">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szCs w:val="21"/>
              </w:rPr>
            </w:pPr>
            <w:r>
              <w:rPr>
                <w:rFonts w:hint="eastAsia"/>
                <w:szCs w:val="21"/>
              </w:rPr>
              <w:t>北京坤元基金销售有限公司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0D1B42" w:rsidRDefault="000D1B42">
            <w:pPr>
              <w:jc w:val="center"/>
              <w:rPr>
                <w:color w:val="000000"/>
                <w:szCs w:val="21"/>
              </w:rPr>
            </w:pPr>
            <w:r>
              <w:rPr>
                <w:rFonts w:hint="eastAsia"/>
                <w:color w:val="000000"/>
                <w:szCs w:val="21"/>
              </w:rPr>
              <w:t>是</w:t>
            </w:r>
          </w:p>
        </w:tc>
      </w:tr>
      <w:tr w:rsidR="00CE088D" w:rsidTr="00A11651">
        <w:trPr>
          <w:trHeight w:val="390"/>
        </w:trPr>
        <w:tc>
          <w:tcPr>
            <w:tcW w:w="1017" w:type="dxa"/>
            <w:tcBorders>
              <w:top w:val="nil"/>
              <w:left w:val="single" w:sz="4" w:space="0" w:color="auto"/>
              <w:bottom w:val="single" w:sz="4" w:space="0" w:color="auto"/>
              <w:right w:val="single" w:sz="4" w:space="0" w:color="auto"/>
            </w:tcBorders>
            <w:shd w:val="clear" w:color="auto" w:fill="auto"/>
          </w:tcPr>
          <w:p w:rsidR="00CE088D" w:rsidRDefault="00CE088D" w:rsidP="00CE088D">
            <w:pPr>
              <w:jc w:val="left"/>
              <w:rPr>
                <w:color w:val="000000"/>
                <w:szCs w:val="21"/>
              </w:rPr>
            </w:pPr>
            <w:r>
              <w:rPr>
                <w:rFonts w:hint="eastAsia"/>
                <w:color w:val="000000"/>
                <w:szCs w:val="21"/>
              </w:rPr>
              <w:t>10</w:t>
            </w:r>
            <w:r>
              <w:rPr>
                <w:color w:val="000000"/>
                <w:szCs w:val="21"/>
              </w:rPr>
              <w:t>5</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tcPr>
          <w:p w:rsidR="00CE088D" w:rsidRDefault="00CE088D" w:rsidP="00CE088D">
            <w:pPr>
              <w:jc w:val="center"/>
              <w:rPr>
                <w:szCs w:val="21"/>
              </w:rPr>
            </w:pPr>
            <w:r>
              <w:rPr>
                <w:rFonts w:hint="eastAsia"/>
                <w:szCs w:val="21"/>
              </w:rPr>
              <w:t>深圳市前海排排网基金销售有限责任公司</w:t>
            </w:r>
          </w:p>
        </w:tc>
        <w:tc>
          <w:tcPr>
            <w:tcW w:w="1559" w:type="dxa"/>
            <w:tcBorders>
              <w:top w:val="nil"/>
              <w:left w:val="nil"/>
              <w:bottom w:val="single" w:sz="4" w:space="0" w:color="auto"/>
              <w:right w:val="single" w:sz="4" w:space="0" w:color="auto"/>
            </w:tcBorders>
            <w:shd w:val="clear" w:color="auto" w:fill="auto"/>
            <w:vAlign w:val="center"/>
          </w:tcPr>
          <w:p w:rsidR="00CE088D" w:rsidRDefault="00CE088D" w:rsidP="00CE088D">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tcPr>
          <w:p w:rsidR="00CE088D" w:rsidRDefault="00CE088D" w:rsidP="00CE088D">
            <w:pPr>
              <w:jc w:val="center"/>
              <w:rPr>
                <w:color w:val="000000"/>
                <w:szCs w:val="21"/>
              </w:rPr>
            </w:pPr>
            <w:r>
              <w:rPr>
                <w:rFonts w:hint="eastAsia"/>
                <w:color w:val="000000"/>
                <w:szCs w:val="21"/>
              </w:rPr>
              <w:t>是</w:t>
            </w:r>
          </w:p>
        </w:tc>
      </w:tr>
      <w:tr w:rsidR="00CE088D" w:rsidTr="00A11651">
        <w:trPr>
          <w:trHeight w:val="390"/>
        </w:trPr>
        <w:tc>
          <w:tcPr>
            <w:tcW w:w="1017" w:type="dxa"/>
            <w:tcBorders>
              <w:top w:val="nil"/>
              <w:left w:val="single" w:sz="4" w:space="0" w:color="auto"/>
              <w:bottom w:val="single" w:sz="4" w:space="0" w:color="auto"/>
              <w:right w:val="single" w:sz="4" w:space="0" w:color="auto"/>
            </w:tcBorders>
            <w:shd w:val="clear" w:color="auto" w:fill="auto"/>
            <w:hideMark/>
          </w:tcPr>
          <w:p w:rsidR="00CE088D" w:rsidRDefault="00CE088D" w:rsidP="00CE088D">
            <w:pPr>
              <w:jc w:val="left"/>
              <w:rPr>
                <w:color w:val="000000"/>
                <w:szCs w:val="21"/>
              </w:rPr>
            </w:pPr>
            <w:r>
              <w:rPr>
                <w:rFonts w:hint="eastAsia"/>
                <w:color w:val="000000"/>
                <w:szCs w:val="21"/>
              </w:rPr>
              <w:t>10</w:t>
            </w:r>
            <w:r>
              <w:rPr>
                <w:color w:val="000000"/>
                <w:szCs w:val="21"/>
              </w:rPr>
              <w:t>6</w:t>
            </w:r>
            <w:r>
              <w:rPr>
                <w:rFonts w:hint="eastAsia"/>
                <w:color w:val="000000"/>
                <w:szCs w:val="21"/>
              </w:rPr>
              <w:t>.    </w:t>
            </w:r>
          </w:p>
        </w:tc>
        <w:tc>
          <w:tcPr>
            <w:tcW w:w="4272" w:type="dxa"/>
            <w:tcBorders>
              <w:top w:val="nil"/>
              <w:left w:val="nil"/>
              <w:bottom w:val="single" w:sz="4" w:space="0" w:color="auto"/>
              <w:right w:val="single" w:sz="4" w:space="0" w:color="auto"/>
            </w:tcBorders>
            <w:shd w:val="clear" w:color="auto" w:fill="auto"/>
            <w:vAlign w:val="center"/>
            <w:hideMark/>
          </w:tcPr>
          <w:p w:rsidR="00CE088D" w:rsidRDefault="00CE088D" w:rsidP="00CE088D">
            <w:pPr>
              <w:jc w:val="center"/>
              <w:rPr>
                <w:szCs w:val="21"/>
              </w:rPr>
            </w:pPr>
            <w:r w:rsidRPr="00CE088D">
              <w:rPr>
                <w:rFonts w:hint="eastAsia"/>
                <w:szCs w:val="21"/>
              </w:rPr>
              <w:t>上海陆享基金销售有限公司</w:t>
            </w:r>
          </w:p>
        </w:tc>
        <w:tc>
          <w:tcPr>
            <w:tcW w:w="1559" w:type="dxa"/>
            <w:tcBorders>
              <w:top w:val="nil"/>
              <w:left w:val="nil"/>
              <w:bottom w:val="single" w:sz="4" w:space="0" w:color="auto"/>
              <w:right w:val="single" w:sz="4" w:space="0" w:color="auto"/>
            </w:tcBorders>
            <w:shd w:val="clear" w:color="auto" w:fill="auto"/>
            <w:vAlign w:val="center"/>
            <w:hideMark/>
          </w:tcPr>
          <w:p w:rsidR="00CE088D" w:rsidRDefault="00CE088D" w:rsidP="00CE088D">
            <w:pPr>
              <w:jc w:val="center"/>
              <w:rPr>
                <w:color w:val="000000"/>
                <w:szCs w:val="21"/>
              </w:rPr>
            </w:pPr>
            <w:r>
              <w:rPr>
                <w:rFonts w:hint="eastAsia"/>
                <w:color w:val="000000"/>
                <w:szCs w:val="21"/>
              </w:rPr>
              <w:t>是</w:t>
            </w:r>
          </w:p>
        </w:tc>
        <w:tc>
          <w:tcPr>
            <w:tcW w:w="1701" w:type="dxa"/>
            <w:tcBorders>
              <w:top w:val="nil"/>
              <w:left w:val="nil"/>
              <w:bottom w:val="single" w:sz="4" w:space="0" w:color="auto"/>
              <w:right w:val="single" w:sz="4" w:space="0" w:color="auto"/>
            </w:tcBorders>
            <w:shd w:val="clear" w:color="auto" w:fill="auto"/>
            <w:vAlign w:val="center"/>
            <w:hideMark/>
          </w:tcPr>
          <w:p w:rsidR="00CE088D" w:rsidRDefault="00CE088D" w:rsidP="00CE088D">
            <w:pPr>
              <w:jc w:val="center"/>
              <w:rPr>
                <w:color w:val="000000"/>
                <w:szCs w:val="21"/>
              </w:rPr>
            </w:pPr>
            <w:r>
              <w:rPr>
                <w:rFonts w:hint="eastAsia"/>
                <w:color w:val="000000"/>
                <w:szCs w:val="21"/>
              </w:rPr>
              <w:t>是</w:t>
            </w:r>
          </w:p>
        </w:tc>
      </w:tr>
    </w:tbl>
    <w:p w:rsidR="00E13672" w:rsidRDefault="00516B60" w:rsidP="00504458">
      <w:pPr>
        <w:pStyle w:val="2"/>
        <w:numPr>
          <w:ilvl w:val="0"/>
          <w:numId w:val="3"/>
        </w:numPr>
        <w:spacing w:beforeLines="50" w:afterLines="50" w:line="240" w:lineRule="auto"/>
        <w:jc w:val="left"/>
        <w:rPr>
          <w:rFonts w:ascii="宋体" w:eastAsia="宋体" w:hAnsi="宋体"/>
          <w:bCs/>
          <w:sz w:val="24"/>
          <w:szCs w:val="24"/>
        </w:rPr>
      </w:pPr>
      <w:bookmarkStart w:id="34" w:name="t_2_7_2834_a1_fm1"/>
      <w:bookmarkStart w:id="35" w:name="t_2_8_table"/>
      <w:bookmarkEnd w:id="34"/>
      <w:bookmarkEnd w:id="35"/>
      <w:r>
        <w:rPr>
          <w:rFonts w:ascii="宋体" w:eastAsia="宋体" w:hAnsi="宋体" w:hint="eastAsia"/>
          <w:bCs/>
          <w:sz w:val="24"/>
          <w:szCs w:val="24"/>
        </w:rPr>
        <w:t>基金份额净值公告/基金收益公告的披露安排</w:t>
      </w:r>
    </w:p>
    <w:p w:rsidR="00E13672" w:rsidRDefault="00516B60">
      <w:pPr>
        <w:spacing w:line="360" w:lineRule="auto"/>
        <w:ind w:firstLineChars="200" w:firstLine="420"/>
        <w:jc w:val="left"/>
        <w:rPr>
          <w:rFonts w:ascii="宋体" w:hAnsi="宋体"/>
          <w:szCs w:val="21"/>
        </w:rPr>
      </w:pPr>
      <w:bookmarkStart w:id="36" w:name="t_2_8_2756_a1_fm1"/>
      <w:bookmarkStart w:id="37" w:name="t_2_9_table"/>
      <w:bookmarkEnd w:id="36"/>
      <w:bookmarkEnd w:id="37"/>
      <w:r>
        <w:rPr>
          <w:rFonts w:ascii="宋体" w:hAnsi="宋体" w:hint="eastAsia"/>
          <w:szCs w:val="21"/>
        </w:rPr>
        <w:t>本公司将在不晚于每个开放日的次日，通过规定网站、基金销售机构网站或者营业网点披露开放日的各类基金份额净值和基金份额累计净值，敬请投资者留意。</w:t>
      </w:r>
    </w:p>
    <w:p w:rsidR="00E13672" w:rsidRDefault="00516B60" w:rsidP="00504458">
      <w:pPr>
        <w:pStyle w:val="2"/>
        <w:numPr>
          <w:ilvl w:val="0"/>
          <w:numId w:val="3"/>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其他需要提示的事项</w:t>
      </w:r>
      <w:bookmarkStart w:id="38" w:name="_GoBack"/>
      <w:bookmarkEnd w:id="38"/>
    </w:p>
    <w:p w:rsidR="00E13672" w:rsidRDefault="00516B60">
      <w:pPr>
        <w:adjustRightInd w:val="0"/>
        <w:spacing w:line="360" w:lineRule="auto"/>
        <w:ind w:firstLineChars="200" w:firstLine="420"/>
        <w:jc w:val="left"/>
        <w:rPr>
          <w:rFonts w:ascii="宋体" w:hAnsi="宋体"/>
          <w:szCs w:val="21"/>
        </w:rPr>
      </w:pPr>
      <w:bookmarkStart w:id="39" w:name="t_2_9_2646_a1_fm1"/>
      <w:bookmarkEnd w:id="39"/>
      <w:r>
        <w:rPr>
          <w:rFonts w:ascii="宋体" w:hAnsi="宋体" w:hint="eastAsia"/>
          <w:szCs w:val="21"/>
        </w:rPr>
        <w:t>7</w:t>
      </w:r>
      <w:r>
        <w:rPr>
          <w:rFonts w:ascii="宋体" w:hAnsi="宋体"/>
          <w:szCs w:val="21"/>
        </w:rPr>
        <w:t>.1华商卓越成长一年持有期混合型证券投资基金按照相关法规规定及本基金基金合同约定，每份基金份额的最短持有期限为一年。对于申购所得基金份额，自申购确认日的次一年对日起可申请赎回，如该对日不存在或为非工作日的，则顺延至下一工作日。一年持有期到期日及一年持有期到期日之后，基金份额持有人方可提出赎回申请。</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7</w:t>
      </w:r>
      <w:r>
        <w:rPr>
          <w:rFonts w:ascii="宋体" w:hAnsi="宋体"/>
          <w:szCs w:val="21"/>
        </w:rPr>
        <w:t>.2基金管理人不得在基金合同约定之外的日期或者时间办理基金份额的</w:t>
      </w:r>
      <w:r>
        <w:rPr>
          <w:rFonts w:ascii="宋体" w:hAnsi="宋体" w:hint="eastAsia"/>
          <w:szCs w:val="21"/>
        </w:rPr>
        <w:t>赎回或转换转出</w:t>
      </w:r>
      <w:r>
        <w:rPr>
          <w:rFonts w:ascii="宋体" w:hAnsi="宋体"/>
          <w:szCs w:val="21"/>
        </w:rPr>
        <w:t>。投资者在基金合同约定之外的日期和时间提出</w:t>
      </w:r>
      <w:r>
        <w:rPr>
          <w:rFonts w:ascii="宋体" w:hAnsi="宋体" w:hint="eastAsia"/>
          <w:szCs w:val="21"/>
        </w:rPr>
        <w:t>赎回</w:t>
      </w:r>
      <w:r>
        <w:rPr>
          <w:rFonts w:ascii="宋体" w:hAnsi="宋体"/>
          <w:szCs w:val="21"/>
        </w:rPr>
        <w:t>或转换转</w:t>
      </w:r>
      <w:r>
        <w:rPr>
          <w:rFonts w:ascii="宋体" w:hAnsi="宋体" w:hint="eastAsia"/>
          <w:szCs w:val="21"/>
        </w:rPr>
        <w:t>出</w:t>
      </w:r>
      <w:r>
        <w:rPr>
          <w:rFonts w:ascii="宋体" w:hAnsi="宋体"/>
          <w:szCs w:val="21"/>
        </w:rPr>
        <w:t>申请且登记机构确认接受的，其基金份额</w:t>
      </w:r>
      <w:r>
        <w:rPr>
          <w:rFonts w:ascii="宋体" w:hAnsi="宋体" w:hint="eastAsia"/>
          <w:szCs w:val="21"/>
        </w:rPr>
        <w:t>赎回</w:t>
      </w:r>
      <w:r>
        <w:rPr>
          <w:rFonts w:ascii="宋体" w:hAnsi="宋体"/>
          <w:szCs w:val="21"/>
        </w:rPr>
        <w:t>、转换转</w:t>
      </w:r>
      <w:r>
        <w:rPr>
          <w:rFonts w:ascii="宋体" w:hAnsi="宋体" w:hint="eastAsia"/>
          <w:szCs w:val="21"/>
        </w:rPr>
        <w:t>出</w:t>
      </w:r>
      <w:r>
        <w:rPr>
          <w:rFonts w:ascii="宋体" w:hAnsi="宋体"/>
          <w:szCs w:val="21"/>
        </w:rPr>
        <w:t>价格为下一开放日基金</w:t>
      </w:r>
      <w:r>
        <w:rPr>
          <w:rFonts w:ascii="宋体" w:hAnsi="宋体" w:hint="eastAsia"/>
          <w:szCs w:val="21"/>
        </w:rPr>
        <w:t>份额赎回或转换转出的价格。</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销售机构对赎回申请的受理并不代表申请一定成功，而仅代表销售机构确实接收到申</w:t>
      </w:r>
      <w:r>
        <w:rPr>
          <w:rFonts w:ascii="宋体" w:hAnsi="宋体"/>
          <w:szCs w:val="21"/>
        </w:rPr>
        <w:t>请。赎回的确认以登记机构的确认结果为准。对于申请的确认情况，投资者应及时查询。</w:t>
      </w:r>
    </w:p>
    <w:p w:rsidR="00E13672" w:rsidRDefault="00E13672">
      <w:pPr>
        <w:adjustRightInd w:val="0"/>
        <w:spacing w:line="360" w:lineRule="auto"/>
        <w:ind w:firstLineChars="200" w:firstLine="420"/>
        <w:jc w:val="left"/>
        <w:rPr>
          <w:rFonts w:ascii="宋体" w:hAnsi="宋体"/>
          <w:szCs w:val="21"/>
        </w:rPr>
      </w:pP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风险提示：</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本基金设置基金份额持有人最短持有期限。基金份额持有人持有的每份基金份额最短持有期限为一年，在最短持有期限内该份基金份额不可赎回或转换转出。提请投资者注意本基金的申购赎回安排和相应流动性风险，合理安排投资计划。</w:t>
      </w:r>
    </w:p>
    <w:p w:rsidR="00E13672" w:rsidRDefault="00E2799E">
      <w:pPr>
        <w:adjustRightInd w:val="0"/>
        <w:spacing w:line="360" w:lineRule="auto"/>
        <w:ind w:firstLineChars="200" w:firstLine="420"/>
        <w:jc w:val="left"/>
        <w:rPr>
          <w:rFonts w:ascii="宋体" w:hAnsi="宋体"/>
          <w:szCs w:val="21"/>
        </w:rPr>
      </w:pPr>
      <w:r w:rsidRPr="00E2799E">
        <w:rPr>
          <w:rFonts w:ascii="宋体" w:hAnsi="宋体" w:hint="eastAsia"/>
          <w:szCs w:val="21"/>
        </w:rPr>
        <w:t>本基金可根据投资策略需要或不同配置地市场环境的变化，选择将部分基金资产投资于港股或选择不将基金资产投资于港股，基金资产并非必然投资港股。</w:t>
      </w:r>
      <w:r w:rsidR="00516B60">
        <w:rPr>
          <w:rFonts w:ascii="宋体" w:hAnsi="宋体" w:hint="eastAsia"/>
          <w:szCs w:val="21"/>
        </w:rPr>
        <w:t>本基金的投资范围包括内地与香港股票市场交易互联互通机制允许买卖的港股通标的股票，除与其他投资于沪深市场股票的基金所面临的共同风险外，本基金还将面临投资港股通标的股票的特有风险。</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敬请投资者于投资前认真阅读本基金的基金合同、招募说明书（更新）和基金产品资料概要（更新）等法律文件。</w:t>
      </w:r>
    </w:p>
    <w:p w:rsidR="00E13672" w:rsidRDefault="00516B60">
      <w:pPr>
        <w:adjustRightInd w:val="0"/>
        <w:spacing w:line="360" w:lineRule="auto"/>
        <w:ind w:firstLineChars="200" w:firstLine="420"/>
        <w:jc w:val="left"/>
        <w:rPr>
          <w:rFonts w:ascii="宋体" w:hAnsi="宋体"/>
          <w:szCs w:val="21"/>
        </w:rPr>
      </w:pPr>
      <w:r>
        <w:rPr>
          <w:rFonts w:ascii="宋体" w:hAnsi="宋体" w:hint="eastAsia"/>
          <w:szCs w:val="21"/>
        </w:rPr>
        <w:t>投资有风险，选择须谨慎。</w:t>
      </w:r>
    </w:p>
    <w:p w:rsidR="00E13672" w:rsidRDefault="00E13672">
      <w:pPr>
        <w:adjustRightInd w:val="0"/>
        <w:spacing w:line="360" w:lineRule="auto"/>
        <w:jc w:val="left"/>
        <w:rPr>
          <w:rFonts w:ascii="宋体" w:hAnsi="宋体"/>
          <w:szCs w:val="21"/>
        </w:rPr>
      </w:pPr>
    </w:p>
    <w:p w:rsidR="00E13672" w:rsidRDefault="00516B60">
      <w:pPr>
        <w:spacing w:line="360" w:lineRule="auto"/>
        <w:jc w:val="right"/>
        <w:rPr>
          <w:rFonts w:ascii="宋体" w:hAnsi="宋体"/>
          <w:szCs w:val="21"/>
        </w:rPr>
      </w:pPr>
      <w:r>
        <w:rPr>
          <w:rFonts w:ascii="宋体" w:hAnsi="宋体" w:hint="eastAsia"/>
          <w:szCs w:val="21"/>
        </w:rPr>
        <w:t>华商基金管理有限公司</w:t>
      </w:r>
    </w:p>
    <w:p w:rsidR="00E13672" w:rsidRDefault="00516B60">
      <w:pPr>
        <w:spacing w:line="360" w:lineRule="auto"/>
        <w:jc w:val="right"/>
        <w:rPr>
          <w:rFonts w:ascii="宋体" w:hAnsi="宋体"/>
          <w:szCs w:val="21"/>
        </w:rPr>
      </w:pPr>
      <w:r>
        <w:rPr>
          <w:rFonts w:ascii="宋体" w:hAnsi="宋体"/>
          <w:szCs w:val="21"/>
        </w:rPr>
        <w:t>202</w:t>
      </w:r>
      <w:r>
        <w:rPr>
          <w:rFonts w:ascii="宋体" w:hAnsi="宋体" w:hint="eastAsia"/>
          <w:szCs w:val="21"/>
        </w:rPr>
        <w:t>3</w:t>
      </w:r>
      <w:r>
        <w:rPr>
          <w:rFonts w:ascii="宋体" w:hAnsi="宋体"/>
          <w:szCs w:val="21"/>
        </w:rPr>
        <w:t>年3月1日</w:t>
      </w:r>
    </w:p>
    <w:sectPr w:rsidR="00E13672" w:rsidSect="00D216EA">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B" w:rsidRDefault="00F22FDB">
      <w:r>
        <w:separator/>
      </w:r>
    </w:p>
  </w:endnote>
  <w:endnote w:type="continuationSeparator" w:id="0">
    <w:p w:rsidR="00F22FDB" w:rsidRDefault="00F22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E1" w:rsidRDefault="00D05FE1">
    <w:pPr>
      <w:pStyle w:val="a6"/>
      <w:jc w:val="center"/>
    </w:pPr>
    <w:r>
      <w:rPr>
        <w:rFonts w:hint="eastAsia"/>
      </w:rPr>
      <w:t>第</w:t>
    </w:r>
    <w:r>
      <w:rPr>
        <w:rFonts w:hint="eastAsia"/>
      </w:rPr>
      <w:t xml:space="preserve"> </w:t>
    </w:r>
    <w:r w:rsidR="00D216EA">
      <w:fldChar w:fldCharType="begin"/>
    </w:r>
    <w:r>
      <w:instrText xml:space="preserve"> PAGE   \* MERGEFORMAT </w:instrText>
    </w:r>
    <w:r w:rsidR="00D216EA">
      <w:fldChar w:fldCharType="separate"/>
    </w:r>
    <w:r w:rsidR="00504458">
      <w:rPr>
        <w:noProof/>
      </w:rPr>
      <w:t>1</w:t>
    </w:r>
    <w:r w:rsidR="00D216EA">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504458">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B" w:rsidRDefault="00F22FDB">
      <w:r>
        <w:separator/>
      </w:r>
    </w:p>
  </w:footnote>
  <w:footnote w:type="continuationSeparator" w:id="0">
    <w:p w:rsidR="00F22FDB" w:rsidRDefault="00F2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E1" w:rsidRDefault="00D05FE1">
    <w:pPr>
      <w:pStyle w:val="a7"/>
      <w:jc w:val="right"/>
    </w:pPr>
    <w:r>
      <w:rPr>
        <w:rFonts w:hint="eastAsia"/>
      </w:rPr>
      <w:t>华商卓越成长一年持有期混合型证券投资基金开放日常赎回、转换转出业务的公告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46D426"/>
    <w:multiLevelType w:val="multilevel"/>
    <w:tmpl w:val="CF46D426"/>
    <w:lvl w:ilvl="0">
      <w:start w:val="4"/>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ascii="宋体" w:eastAsia="宋体" w:hAnsi="宋体" w:cs="宋体"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EAC26D6D"/>
    <w:multiLevelType w:val="multilevel"/>
    <w:tmpl w:val="EAC26D6D"/>
    <w:lvl w:ilvl="0">
      <w:start w:val="5"/>
      <w:numFmt w:val="decimal"/>
      <w:lvlText w:val="%1."/>
      <w:lvlJc w:val="left"/>
      <w:pPr>
        <w:ind w:left="420" w:hanging="4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DAD0FFA"/>
    <w:multiLevelType w:val="multilevel"/>
    <w:tmpl w:val="0DAD0FFA"/>
    <w:lvl w:ilvl="0">
      <w:start w:val="1"/>
      <w:numFmt w:val="decimal"/>
      <w:lvlText w:val="%1."/>
      <w:lvlJc w:val="left"/>
      <w:pPr>
        <w:ind w:left="420" w:hanging="4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4B692FBF"/>
    <w:multiLevelType w:val="multilevel"/>
    <w:tmpl w:val="4B692F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764bc3cb-2fd0-4ecb-b650-32b951ce7fb6"/>
  </w:docVars>
  <w:rsids>
    <w:rsidRoot w:val="00172A27"/>
    <w:rsid w:val="000803F8"/>
    <w:rsid w:val="000C1B14"/>
    <w:rsid w:val="000D1B42"/>
    <w:rsid w:val="000E5A5C"/>
    <w:rsid w:val="00103FEF"/>
    <w:rsid w:val="00130B97"/>
    <w:rsid w:val="00135AFB"/>
    <w:rsid w:val="00172A27"/>
    <w:rsid w:val="00174C50"/>
    <w:rsid w:val="001C3B10"/>
    <w:rsid w:val="001F56C1"/>
    <w:rsid w:val="00237049"/>
    <w:rsid w:val="002D70F6"/>
    <w:rsid w:val="003231AB"/>
    <w:rsid w:val="00327CA9"/>
    <w:rsid w:val="003328C1"/>
    <w:rsid w:val="00386F04"/>
    <w:rsid w:val="003F2B07"/>
    <w:rsid w:val="00413DF7"/>
    <w:rsid w:val="00427C2B"/>
    <w:rsid w:val="004310F0"/>
    <w:rsid w:val="00443640"/>
    <w:rsid w:val="00447E29"/>
    <w:rsid w:val="004E574B"/>
    <w:rsid w:val="00504458"/>
    <w:rsid w:val="00516B60"/>
    <w:rsid w:val="005672D8"/>
    <w:rsid w:val="00584B32"/>
    <w:rsid w:val="00590930"/>
    <w:rsid w:val="005D4FC8"/>
    <w:rsid w:val="00601AF8"/>
    <w:rsid w:val="00650A76"/>
    <w:rsid w:val="00653F10"/>
    <w:rsid w:val="006548AB"/>
    <w:rsid w:val="006565BF"/>
    <w:rsid w:val="00665A27"/>
    <w:rsid w:val="007058EF"/>
    <w:rsid w:val="007316EA"/>
    <w:rsid w:val="007819BB"/>
    <w:rsid w:val="00793AD7"/>
    <w:rsid w:val="00816C07"/>
    <w:rsid w:val="00851811"/>
    <w:rsid w:val="00855B87"/>
    <w:rsid w:val="008612BF"/>
    <w:rsid w:val="008820FF"/>
    <w:rsid w:val="00890EE5"/>
    <w:rsid w:val="0090786B"/>
    <w:rsid w:val="009634D2"/>
    <w:rsid w:val="009A4C73"/>
    <w:rsid w:val="009A58D5"/>
    <w:rsid w:val="009C69E2"/>
    <w:rsid w:val="009D4325"/>
    <w:rsid w:val="009F0070"/>
    <w:rsid w:val="00A11651"/>
    <w:rsid w:val="00A120BC"/>
    <w:rsid w:val="00A2099C"/>
    <w:rsid w:val="00A250A4"/>
    <w:rsid w:val="00AB2ED6"/>
    <w:rsid w:val="00AC1D1F"/>
    <w:rsid w:val="00AE34DF"/>
    <w:rsid w:val="00B431E8"/>
    <w:rsid w:val="00B76529"/>
    <w:rsid w:val="00B850AE"/>
    <w:rsid w:val="00B97D50"/>
    <w:rsid w:val="00BF2E58"/>
    <w:rsid w:val="00BF6B4C"/>
    <w:rsid w:val="00C56375"/>
    <w:rsid w:val="00C60247"/>
    <w:rsid w:val="00C67BBE"/>
    <w:rsid w:val="00CA357C"/>
    <w:rsid w:val="00CA70BC"/>
    <w:rsid w:val="00CD0530"/>
    <w:rsid w:val="00CD290D"/>
    <w:rsid w:val="00CE088D"/>
    <w:rsid w:val="00D011BF"/>
    <w:rsid w:val="00D05FE1"/>
    <w:rsid w:val="00D216EA"/>
    <w:rsid w:val="00D81BF6"/>
    <w:rsid w:val="00DB119F"/>
    <w:rsid w:val="00DC7D02"/>
    <w:rsid w:val="00E13672"/>
    <w:rsid w:val="00E2799E"/>
    <w:rsid w:val="00E330E6"/>
    <w:rsid w:val="00EA5998"/>
    <w:rsid w:val="00F22FDB"/>
    <w:rsid w:val="00F236F8"/>
    <w:rsid w:val="00F34E60"/>
    <w:rsid w:val="00F40622"/>
    <w:rsid w:val="00F61B54"/>
    <w:rsid w:val="00F94C4C"/>
    <w:rsid w:val="00FB1BEF"/>
    <w:rsid w:val="00FB1D53"/>
    <w:rsid w:val="00FF546F"/>
    <w:rsid w:val="109938C4"/>
    <w:rsid w:val="1E8704C1"/>
    <w:rsid w:val="283F3862"/>
    <w:rsid w:val="2BAA5F0A"/>
    <w:rsid w:val="34ED3EE5"/>
    <w:rsid w:val="3AFA1655"/>
    <w:rsid w:val="47705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EA"/>
    <w:pPr>
      <w:widowControl w:val="0"/>
      <w:jc w:val="both"/>
    </w:pPr>
    <w:rPr>
      <w:rFonts w:ascii="Calibri" w:hAnsi="Calibri"/>
      <w:kern w:val="2"/>
      <w:sz w:val="21"/>
      <w:szCs w:val="22"/>
    </w:rPr>
  </w:style>
  <w:style w:type="paragraph" w:styleId="2">
    <w:name w:val="heading 2"/>
    <w:basedOn w:val="a"/>
    <w:next w:val="a"/>
    <w:link w:val="2Char"/>
    <w:qFormat/>
    <w:rsid w:val="00D216EA"/>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D216EA"/>
    <w:pPr>
      <w:shd w:val="clear" w:color="auto" w:fill="000080"/>
    </w:pPr>
  </w:style>
  <w:style w:type="paragraph" w:styleId="a4">
    <w:name w:val="annotation text"/>
    <w:basedOn w:val="a"/>
    <w:link w:val="Char"/>
    <w:uiPriority w:val="99"/>
    <w:semiHidden/>
    <w:unhideWhenUsed/>
    <w:rsid w:val="00D216EA"/>
    <w:pPr>
      <w:jc w:val="left"/>
    </w:pPr>
  </w:style>
  <w:style w:type="paragraph" w:styleId="a5">
    <w:name w:val="Balloon Text"/>
    <w:basedOn w:val="a"/>
    <w:link w:val="Char0"/>
    <w:uiPriority w:val="99"/>
    <w:semiHidden/>
    <w:unhideWhenUsed/>
    <w:qFormat/>
    <w:rsid w:val="00D216EA"/>
    <w:rPr>
      <w:sz w:val="18"/>
      <w:szCs w:val="18"/>
    </w:rPr>
  </w:style>
  <w:style w:type="paragraph" w:styleId="a6">
    <w:name w:val="footer"/>
    <w:basedOn w:val="a"/>
    <w:link w:val="Char1"/>
    <w:qFormat/>
    <w:rsid w:val="00D216EA"/>
    <w:pPr>
      <w:tabs>
        <w:tab w:val="center" w:pos="4153"/>
        <w:tab w:val="right" w:pos="8306"/>
      </w:tabs>
      <w:snapToGrid w:val="0"/>
      <w:jc w:val="left"/>
    </w:pPr>
    <w:rPr>
      <w:sz w:val="18"/>
      <w:szCs w:val="18"/>
    </w:rPr>
  </w:style>
  <w:style w:type="paragraph" w:styleId="a7">
    <w:name w:val="header"/>
    <w:basedOn w:val="a"/>
    <w:link w:val="Char2"/>
    <w:qFormat/>
    <w:rsid w:val="00D216E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D216EA"/>
    <w:pPr>
      <w:snapToGrid w:val="0"/>
      <w:jc w:val="left"/>
    </w:pPr>
    <w:rPr>
      <w:rFonts w:ascii="Times New Roman" w:hAnsi="Times New Roman"/>
      <w:sz w:val="18"/>
      <w:szCs w:val="20"/>
    </w:rPr>
  </w:style>
  <w:style w:type="paragraph" w:styleId="a9">
    <w:name w:val="annotation subject"/>
    <w:basedOn w:val="a4"/>
    <w:next w:val="a4"/>
    <w:link w:val="Char4"/>
    <w:uiPriority w:val="99"/>
    <w:semiHidden/>
    <w:unhideWhenUsed/>
    <w:rsid w:val="00D216EA"/>
    <w:rPr>
      <w:b/>
      <w:bCs/>
    </w:rPr>
  </w:style>
  <w:style w:type="character" w:styleId="aa">
    <w:name w:val="annotation reference"/>
    <w:basedOn w:val="a0"/>
    <w:uiPriority w:val="99"/>
    <w:semiHidden/>
    <w:unhideWhenUsed/>
    <w:rsid w:val="00D216EA"/>
    <w:rPr>
      <w:sz w:val="21"/>
      <w:szCs w:val="21"/>
    </w:rPr>
  </w:style>
  <w:style w:type="character" w:styleId="ab">
    <w:name w:val="footnote reference"/>
    <w:qFormat/>
    <w:rsid w:val="00D216EA"/>
    <w:rPr>
      <w:vertAlign w:val="superscript"/>
    </w:rPr>
  </w:style>
  <w:style w:type="character" w:customStyle="1" w:styleId="Char2">
    <w:name w:val="页眉 Char"/>
    <w:link w:val="a7"/>
    <w:qFormat/>
    <w:rsid w:val="00D216EA"/>
    <w:rPr>
      <w:kern w:val="2"/>
      <w:sz w:val="18"/>
      <w:szCs w:val="18"/>
    </w:rPr>
  </w:style>
  <w:style w:type="character" w:customStyle="1" w:styleId="Char3">
    <w:name w:val="脚注文本 Char"/>
    <w:link w:val="a8"/>
    <w:qFormat/>
    <w:rsid w:val="00D216EA"/>
    <w:rPr>
      <w:rFonts w:ascii="Times New Roman" w:hAnsi="Times New Roman"/>
      <w:kern w:val="2"/>
      <w:sz w:val="18"/>
    </w:rPr>
  </w:style>
  <w:style w:type="character" w:customStyle="1" w:styleId="Char1">
    <w:name w:val="页脚 Char"/>
    <w:link w:val="a6"/>
    <w:qFormat/>
    <w:rsid w:val="00D216EA"/>
    <w:rPr>
      <w:kern w:val="2"/>
      <w:sz w:val="18"/>
      <w:szCs w:val="18"/>
    </w:rPr>
  </w:style>
  <w:style w:type="character" w:customStyle="1" w:styleId="2Char">
    <w:name w:val="标题 2 Char"/>
    <w:link w:val="2"/>
    <w:qFormat/>
    <w:rsid w:val="00D216EA"/>
    <w:rPr>
      <w:rFonts w:ascii="Arial" w:eastAsia="黑体" w:hAnsi="Arial"/>
      <w:b/>
      <w:kern w:val="2"/>
      <w:sz w:val="32"/>
    </w:rPr>
  </w:style>
  <w:style w:type="paragraph" w:customStyle="1" w:styleId="Char5">
    <w:name w:val="Char"/>
    <w:basedOn w:val="a"/>
    <w:qFormat/>
    <w:rsid w:val="00D216EA"/>
    <w:rPr>
      <w:rFonts w:ascii="Times New Roman" w:hAnsi="Times New Roman"/>
      <w:szCs w:val="24"/>
    </w:rPr>
  </w:style>
  <w:style w:type="paragraph" w:styleId="ac">
    <w:name w:val="List Paragraph"/>
    <w:basedOn w:val="a"/>
    <w:uiPriority w:val="34"/>
    <w:qFormat/>
    <w:rsid w:val="00D216EA"/>
    <w:pPr>
      <w:ind w:firstLineChars="200" w:firstLine="420"/>
    </w:pPr>
  </w:style>
  <w:style w:type="paragraph" w:customStyle="1" w:styleId="1">
    <w:name w:val="修订1"/>
    <w:hidden/>
    <w:uiPriority w:val="99"/>
    <w:semiHidden/>
    <w:qFormat/>
    <w:rsid w:val="00D216EA"/>
    <w:rPr>
      <w:rFonts w:ascii="Calibri" w:hAnsi="Calibri"/>
      <w:kern w:val="2"/>
      <w:sz w:val="21"/>
      <w:szCs w:val="22"/>
    </w:rPr>
  </w:style>
  <w:style w:type="character" w:customStyle="1" w:styleId="Char0">
    <w:name w:val="批注框文本 Char"/>
    <w:basedOn w:val="a0"/>
    <w:link w:val="a5"/>
    <w:uiPriority w:val="99"/>
    <w:semiHidden/>
    <w:qFormat/>
    <w:rsid w:val="00D216EA"/>
    <w:rPr>
      <w:kern w:val="2"/>
      <w:sz w:val="18"/>
      <w:szCs w:val="18"/>
    </w:rPr>
  </w:style>
  <w:style w:type="character" w:customStyle="1" w:styleId="Char">
    <w:name w:val="批注文字 Char"/>
    <w:basedOn w:val="a0"/>
    <w:link w:val="a4"/>
    <w:uiPriority w:val="99"/>
    <w:semiHidden/>
    <w:qFormat/>
    <w:rsid w:val="00D216EA"/>
    <w:rPr>
      <w:rFonts w:ascii="Calibri" w:hAnsi="Calibri"/>
      <w:kern w:val="2"/>
      <w:sz w:val="21"/>
      <w:szCs w:val="22"/>
    </w:rPr>
  </w:style>
  <w:style w:type="character" w:customStyle="1" w:styleId="Char4">
    <w:name w:val="批注主题 Char"/>
    <w:basedOn w:val="Char"/>
    <w:link w:val="a9"/>
    <w:uiPriority w:val="99"/>
    <w:semiHidden/>
    <w:qFormat/>
    <w:rsid w:val="00D216EA"/>
    <w:rPr>
      <w:rFonts w:ascii="Calibri" w:hAnsi="Calibri"/>
      <w:b/>
      <w:bCs/>
      <w:kern w:val="2"/>
      <w:sz w:val="21"/>
      <w:szCs w:val="22"/>
    </w:rPr>
  </w:style>
  <w:style w:type="paragraph" w:customStyle="1" w:styleId="20">
    <w:name w:val="修订2"/>
    <w:hidden/>
    <w:uiPriority w:val="99"/>
    <w:semiHidden/>
    <w:rsid w:val="00D216EA"/>
    <w:rPr>
      <w:rFonts w:ascii="Calibri" w:hAnsi="Calibri"/>
      <w:kern w:val="2"/>
      <w:sz w:val="21"/>
      <w:szCs w:val="22"/>
    </w:rPr>
  </w:style>
  <w:style w:type="paragraph" w:styleId="ad">
    <w:name w:val="Revision"/>
    <w:hidden/>
    <w:uiPriority w:val="99"/>
    <w:semiHidden/>
    <w:rsid w:val="00C5637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72171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9849-F070-4A17-A354-A8D1918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5587</Characters>
  <Application>Microsoft Office Word</Application>
  <DocSecurity>4</DocSecurity>
  <Lines>46</Lines>
  <Paragraphs>13</Paragraphs>
  <ScaleCrop>false</ScaleCrop>
  <Company>P R C</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cp:lastPrinted>2023-02-20T07:32:00Z</cp:lastPrinted>
  <dcterms:created xsi:type="dcterms:W3CDTF">2023-02-28T16:00:00Z</dcterms:created>
  <dcterms:modified xsi:type="dcterms:W3CDTF">2023-02-28T16:00:00Z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5269AF21651F457BBB6F504E70F8ACCB</vt:lpwstr>
  </property>
</Properties>
</file>