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2" w:rsidRPr="00B64A1E" w:rsidRDefault="00440882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a3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新华医疗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（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600587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RDefault="00440882" w:rsidP="0057502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="00575028" w:rsidRPr="00472218">
        <w:rPr>
          <w:kern w:val="0"/>
          <w:sz w:val="24"/>
        </w:rPr>
        <w:t>部分</w:t>
      </w:r>
      <w:r w:rsidR="00377AFD" w:rsidRPr="00472218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="00F20762" w:rsidRPr="00472218">
        <w:rPr>
          <w:kern w:val="0"/>
          <w:sz w:val="24"/>
        </w:rPr>
        <w:t>山东新华医疗器械股份有限公司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RDefault="00440882" w:rsidP="00387016">
      <w:pPr>
        <w:widowControl/>
        <w:spacing w:after="240"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根据中国证监会《公开募集</w:t>
      </w:r>
      <w:bookmarkStart w:id="0" w:name="_GoBack"/>
      <w:bookmarkEnd w:id="0"/>
      <w:r>
        <w:rPr>
          <w:kern w:val="0"/>
          <w:sz w:val="24"/>
        </w:rPr>
        <w:t>证券投资基金信息披露管理办法》</w:t>
      </w:r>
      <w:r w:rsidR="00EA10E2" w:rsidRPr="00472218">
        <w:rPr>
          <w:kern w:val="0"/>
          <w:sz w:val="24"/>
        </w:rPr>
        <w:t>《关于基金投资非公开发行股票等流通受限证券有关问题的通知》等有关规定</w:t>
      </w:r>
      <w:r w:rsidR="00EA10E2" w:rsidRPr="00472218">
        <w:rPr>
          <w:kern w:val="0"/>
          <w:sz w:val="24"/>
        </w:rPr>
        <w:t>,</w:t>
      </w:r>
      <w:r w:rsidR="00EA10E2" w:rsidRPr="00472218">
        <w:rPr>
          <w:kern w:val="0"/>
          <w:sz w:val="24"/>
        </w:rPr>
        <w:t>本公司现将</w:t>
      </w:r>
      <w:r w:rsidR="00E80951" w:rsidRPr="00E80951">
        <w:rPr>
          <w:rFonts w:hint="eastAsia"/>
          <w:kern w:val="0"/>
          <w:sz w:val="24"/>
        </w:rPr>
        <w:t>旗下</w:t>
      </w:r>
      <w:r w:rsidR="00FC7DF3" w:rsidRPr="00472218">
        <w:rPr>
          <w:kern w:val="0"/>
          <w:sz w:val="24"/>
        </w:rPr>
        <w:t>基金</w:t>
      </w:r>
      <w:r w:rsidR="00EA10E2" w:rsidRPr="00472218">
        <w:rPr>
          <w:kern w:val="0"/>
          <w:sz w:val="24"/>
        </w:rPr>
        <w:t>获配</w:t>
      </w:r>
      <w:r w:rsidR="00F20762" w:rsidRPr="00472218">
        <w:rPr>
          <w:kern w:val="0"/>
          <w:sz w:val="24"/>
        </w:rPr>
        <w:t>山东新华医疗器械股份有限公司</w:t>
      </w:r>
      <w:r w:rsidR="00EA10E2" w:rsidRPr="00472218">
        <w:rPr>
          <w:kern w:val="0"/>
          <w:sz w:val="24"/>
        </w:rPr>
        <w:t>非公开发行股票情况披露如下：</w:t>
      </w:r>
    </w:p>
    <w:tbl>
      <w:tblPr>
        <w:tblStyle w:val="a8"/>
        <w:tblW w:w="0" w:type="auto"/>
        <w:jc w:val="center"/>
        <w:tblLook w:val="04A0"/>
      </w:tblPr>
      <w:tblGrid>
        <w:gridCol w:w="2201"/>
        <w:gridCol w:w="1043"/>
        <w:gridCol w:w="1496"/>
        <w:gridCol w:w="858"/>
        <w:gridCol w:w="1424"/>
        <w:gridCol w:w="918"/>
        <w:gridCol w:w="582"/>
      </w:tblGrid>
      <w:tr w:rsidR="006A13CC" w:rsidTr="00387016">
        <w:trPr>
          <w:jc w:val="center"/>
        </w:trPr>
        <w:tc>
          <w:tcPr>
            <w:tcW w:w="992" w:type="dxa"/>
            <w:vAlign w:val="center"/>
          </w:tcPr>
          <w:p w:rsidR="00387016" w:rsidRPr="0054726D" w:rsidRDefault="00440882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41" w:type="dxa"/>
            <w:vAlign w:val="center"/>
          </w:tcPr>
          <w:p w:rsidR="00387016" w:rsidRPr="0054726D" w:rsidRDefault="00440882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94" w:type="dxa"/>
            <w:vAlign w:val="center"/>
          </w:tcPr>
          <w:p w:rsidR="00387016" w:rsidRPr="0054726D" w:rsidRDefault="00440882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993" w:type="dxa"/>
            <w:vAlign w:val="center"/>
          </w:tcPr>
          <w:p w:rsidR="00387016" w:rsidRPr="0054726D" w:rsidRDefault="00440882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17" w:type="dxa"/>
            <w:vAlign w:val="center"/>
          </w:tcPr>
          <w:p w:rsidR="00387016" w:rsidRPr="0054726D" w:rsidRDefault="00440882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134" w:type="dxa"/>
            <w:vAlign w:val="center"/>
          </w:tcPr>
          <w:p w:rsidR="00387016" w:rsidRPr="0054726D" w:rsidRDefault="00440882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788" w:type="dxa"/>
            <w:vAlign w:val="center"/>
          </w:tcPr>
          <w:p w:rsidR="00387016" w:rsidRPr="0054726D" w:rsidRDefault="00440882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R="006A13CC">
        <w:trPr>
          <w:jc w:val="center"/>
        </w:trPr>
        <w:tc>
          <w:tcPr>
            <w:tcW w:w="0" w:type="auto"/>
            <w:vAlign w:val="center"/>
          </w:tcPr>
          <w:p w:rsidR="006A13CC" w:rsidRDefault="00440882">
            <w:pPr>
              <w:jc w:val="center"/>
            </w:pPr>
            <w:r>
              <w:rPr>
                <w:szCs w:val="21"/>
              </w:rPr>
              <w:t>易方达新经济灵活配置混合型证券投资基金</w:t>
            </w:r>
          </w:p>
        </w:tc>
        <w:tc>
          <w:tcPr>
            <w:tcW w:w="0" w:type="auto"/>
            <w:vAlign w:val="center"/>
          </w:tcPr>
          <w:p w:rsidR="006A13CC" w:rsidRDefault="00440882">
            <w:pPr>
              <w:jc w:val="center"/>
            </w:pPr>
            <w:r>
              <w:rPr>
                <w:szCs w:val="21"/>
              </w:rPr>
              <w:t>427,717</w:t>
            </w:r>
          </w:p>
        </w:tc>
        <w:tc>
          <w:tcPr>
            <w:tcW w:w="0" w:type="auto"/>
            <w:vAlign w:val="center"/>
          </w:tcPr>
          <w:p w:rsidR="006A13CC" w:rsidRDefault="00440882">
            <w:pPr>
              <w:jc w:val="center"/>
            </w:pPr>
            <w:r>
              <w:rPr>
                <w:szCs w:val="21"/>
              </w:rPr>
              <w:t>10,000,023.46</w:t>
            </w:r>
          </w:p>
        </w:tc>
        <w:tc>
          <w:tcPr>
            <w:tcW w:w="0" w:type="auto"/>
            <w:vAlign w:val="center"/>
          </w:tcPr>
          <w:p w:rsidR="006A13CC" w:rsidRDefault="00440882">
            <w:pPr>
              <w:jc w:val="center"/>
            </w:pPr>
            <w:r>
              <w:rPr>
                <w:szCs w:val="21"/>
              </w:rPr>
              <w:t>0.11%</w:t>
            </w:r>
          </w:p>
        </w:tc>
        <w:tc>
          <w:tcPr>
            <w:tcW w:w="0" w:type="auto"/>
            <w:vAlign w:val="center"/>
          </w:tcPr>
          <w:p w:rsidR="006A13CC" w:rsidRDefault="00440882">
            <w:pPr>
              <w:jc w:val="center"/>
            </w:pPr>
            <w:r>
              <w:rPr>
                <w:szCs w:val="21"/>
              </w:rPr>
              <w:t>11,676,674.10</w:t>
            </w:r>
          </w:p>
        </w:tc>
        <w:tc>
          <w:tcPr>
            <w:tcW w:w="0" w:type="auto"/>
            <w:vAlign w:val="center"/>
          </w:tcPr>
          <w:p w:rsidR="006A13CC" w:rsidRDefault="00440882">
            <w:pPr>
              <w:jc w:val="center"/>
            </w:pPr>
            <w:r>
              <w:rPr>
                <w:szCs w:val="21"/>
              </w:rPr>
              <w:t>0.13%</w:t>
            </w:r>
          </w:p>
        </w:tc>
        <w:tc>
          <w:tcPr>
            <w:tcW w:w="0" w:type="auto"/>
            <w:vAlign w:val="center"/>
          </w:tcPr>
          <w:p w:rsidR="006A13CC" w:rsidRDefault="00440882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6A13CC">
        <w:trPr>
          <w:jc w:val="center"/>
        </w:trPr>
        <w:tc>
          <w:tcPr>
            <w:tcW w:w="0" w:type="auto"/>
            <w:vAlign w:val="center"/>
          </w:tcPr>
          <w:p w:rsidR="006A13CC" w:rsidRDefault="00440882">
            <w:pPr>
              <w:jc w:val="center"/>
            </w:pPr>
            <w:r>
              <w:rPr>
                <w:szCs w:val="21"/>
              </w:rPr>
              <w:t>易方达品质动能三年持有期混合型证券投资基金</w:t>
            </w:r>
          </w:p>
        </w:tc>
        <w:tc>
          <w:tcPr>
            <w:tcW w:w="0" w:type="auto"/>
            <w:vAlign w:val="center"/>
          </w:tcPr>
          <w:p w:rsidR="006A13CC" w:rsidRDefault="00440882">
            <w:pPr>
              <w:jc w:val="center"/>
            </w:pPr>
            <w:r>
              <w:rPr>
                <w:szCs w:val="21"/>
              </w:rPr>
              <w:t>855,431</w:t>
            </w:r>
          </w:p>
        </w:tc>
        <w:tc>
          <w:tcPr>
            <w:tcW w:w="0" w:type="auto"/>
            <w:vAlign w:val="center"/>
          </w:tcPr>
          <w:p w:rsidR="006A13CC" w:rsidRDefault="00440882">
            <w:pPr>
              <w:jc w:val="center"/>
            </w:pPr>
            <w:r>
              <w:rPr>
                <w:szCs w:val="21"/>
              </w:rPr>
              <w:t>19,999,976.78</w:t>
            </w:r>
          </w:p>
        </w:tc>
        <w:tc>
          <w:tcPr>
            <w:tcW w:w="0" w:type="auto"/>
            <w:vAlign w:val="center"/>
          </w:tcPr>
          <w:p w:rsidR="006A13CC" w:rsidRDefault="00440882">
            <w:pPr>
              <w:jc w:val="center"/>
            </w:pPr>
            <w:r>
              <w:rPr>
                <w:szCs w:val="21"/>
              </w:rPr>
              <w:t>0.20%</w:t>
            </w:r>
          </w:p>
        </w:tc>
        <w:tc>
          <w:tcPr>
            <w:tcW w:w="0" w:type="auto"/>
            <w:vAlign w:val="center"/>
          </w:tcPr>
          <w:p w:rsidR="006A13CC" w:rsidRDefault="00440882">
            <w:pPr>
              <w:jc w:val="center"/>
            </w:pPr>
            <w:r>
              <w:rPr>
                <w:szCs w:val="21"/>
              </w:rPr>
              <w:t>23,353,266.30</w:t>
            </w:r>
          </w:p>
        </w:tc>
        <w:tc>
          <w:tcPr>
            <w:tcW w:w="0" w:type="auto"/>
            <w:vAlign w:val="center"/>
          </w:tcPr>
          <w:p w:rsidR="006A13CC" w:rsidRDefault="00440882">
            <w:pPr>
              <w:jc w:val="center"/>
            </w:pPr>
            <w:r>
              <w:rPr>
                <w:szCs w:val="21"/>
              </w:rPr>
              <w:t>0.23%</w:t>
            </w:r>
          </w:p>
        </w:tc>
        <w:tc>
          <w:tcPr>
            <w:tcW w:w="0" w:type="auto"/>
            <w:vAlign w:val="center"/>
          </w:tcPr>
          <w:p w:rsidR="006A13CC" w:rsidRDefault="00440882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RDefault="00387016" w:rsidP="006905CB">
      <w:pPr>
        <w:spacing w:line="360" w:lineRule="auto"/>
        <w:rPr>
          <w:kern w:val="0"/>
          <w:sz w:val="24"/>
        </w:rPr>
      </w:pPr>
    </w:p>
    <w:p w:rsidR="006905CB" w:rsidRPr="00472218" w:rsidRDefault="00440882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="00F20762" w:rsidRPr="00472218">
        <w:rPr>
          <w:kern w:val="0"/>
          <w:sz w:val="24"/>
        </w:rPr>
        <w:t>2023</w:t>
      </w:r>
      <w:r w:rsidR="00F20762" w:rsidRPr="00472218">
        <w:rPr>
          <w:kern w:val="0"/>
          <w:sz w:val="24"/>
        </w:rPr>
        <w:t>年</w:t>
      </w:r>
      <w:r w:rsidR="00F20762" w:rsidRPr="00472218">
        <w:rPr>
          <w:kern w:val="0"/>
          <w:sz w:val="24"/>
        </w:rPr>
        <w:t>2</w:t>
      </w:r>
      <w:r w:rsidR="00F20762" w:rsidRPr="00472218">
        <w:rPr>
          <w:kern w:val="0"/>
          <w:sz w:val="24"/>
        </w:rPr>
        <w:t>月</w:t>
      </w:r>
      <w:r w:rsidR="00F20762" w:rsidRPr="00472218">
        <w:rPr>
          <w:kern w:val="0"/>
          <w:sz w:val="24"/>
        </w:rPr>
        <w:t>23</w:t>
      </w:r>
      <w:r w:rsidR="00F20762" w:rsidRPr="00472218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RDefault="00440882" w:rsidP="00E94FC4">
      <w:pPr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="003F4B29" w:rsidRPr="00472218">
        <w:rPr>
          <w:kern w:val="0"/>
          <w:sz w:val="24"/>
        </w:rPr>
        <w:t>。</w:t>
      </w:r>
    </w:p>
    <w:p w:rsidR="006905CB" w:rsidRPr="00472218" w:rsidRDefault="00440882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RDefault="00440882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2023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2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25</w:t>
      </w:r>
      <w:r w:rsidRPr="00472218">
        <w:rPr>
          <w:kern w:val="0"/>
          <w:sz w:val="24"/>
        </w:rPr>
        <w:t>日</w:t>
      </w: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Pr="00EA10E2" w:rsidRDefault="008068CA" w:rsidP="00740340">
      <w:pPr>
        <w:spacing w:line="360" w:lineRule="auto"/>
        <w:jc w:val="right"/>
      </w:pPr>
    </w:p>
    <w:sectPr w:rsidR="008068CA" w:rsidRPr="00EA10E2"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37EFE"/>
    <w:rsid w:val="00440882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13CC"/>
    <w:rsid w:val="006A6F40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73256"/>
    <w:rsid w:val="00C74CAB"/>
    <w:rsid w:val="00C76D21"/>
    <w:rsid w:val="00CA7C64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a3">
    <w:name w:val="Strong"/>
    <w:qFormat/>
    <w:rsid w:val="00EA10E2"/>
    <w:rPr>
      <w:b/>
      <w:bCs/>
    </w:rPr>
  </w:style>
  <w:style w:type="character" w:styleId="HTML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semiHidden/>
    <w:rsid w:val="00EA10E2"/>
    <w:rPr>
      <w:sz w:val="18"/>
      <w:szCs w:val="18"/>
    </w:rPr>
  </w:style>
  <w:style w:type="paragraph" w:styleId="a5">
    <w:name w:val="header"/>
    <w:basedOn w:val="a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A6FD4"/>
    <w:rPr>
      <w:kern w:val="2"/>
      <w:sz w:val="18"/>
      <w:szCs w:val="18"/>
    </w:rPr>
  </w:style>
  <w:style w:type="paragraph" w:styleId="a6">
    <w:name w:val="footer"/>
    <w:basedOn w:val="a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A6FD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068CA"/>
    <w:pPr>
      <w:ind w:leftChars="2500" w:left="100"/>
    </w:pPr>
  </w:style>
  <w:style w:type="character" w:customStyle="1" w:styleId="Char1">
    <w:name w:val="日期 Char"/>
    <w:link w:val="a7"/>
    <w:rsid w:val="008068CA"/>
    <w:rPr>
      <w:kern w:val="2"/>
      <w:sz w:val="21"/>
      <w:szCs w:val="24"/>
    </w:rPr>
  </w:style>
  <w:style w:type="table" w:styleId="a8">
    <w:name w:val="Table Grid"/>
    <w:basedOn w:val="a1"/>
    <w:rsid w:val="0038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50AE-C898-49DB-809F-6D5D8C11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2023-02-24T16:01:00Z</dcterms:created>
  <dcterms:modified xsi:type="dcterms:W3CDTF">2023-02-24T16:01:00Z</dcterms:modified>
</cp:coreProperties>
</file>